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5E09FEFF" wp14:editId="40886C94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A7333">
        <w:rPr>
          <w:rFonts w:ascii="Verdana" w:hAnsi="Verdana" w:cs="Arial"/>
          <w:color w:val="575756"/>
          <w:sz w:val="20"/>
          <w:szCs w:val="20"/>
        </w:rPr>
        <w:t>25</w:t>
      </w:r>
      <w:r w:rsidR="0037602B">
        <w:rPr>
          <w:rFonts w:ascii="Verdana" w:hAnsi="Verdana" w:cs="Arial"/>
          <w:color w:val="575756"/>
          <w:sz w:val="20"/>
          <w:szCs w:val="20"/>
        </w:rPr>
        <w:t xml:space="preserve"> września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BE244B" w:rsidRPr="00470F56" w:rsidRDefault="009854B6" w:rsidP="0058459A">
      <w:pPr>
        <w:tabs>
          <w:tab w:val="left" w:pos="6825"/>
        </w:tabs>
        <w:rPr>
          <w:rFonts w:ascii="Verdana" w:hAnsi="Verdana"/>
          <w:color w:val="254F9B"/>
          <w:sz w:val="28"/>
          <w:szCs w:val="28"/>
        </w:rPr>
      </w:pPr>
      <w:bookmarkStart w:id="0" w:name="_Hlk487522170"/>
      <w:r>
        <w:rPr>
          <w:rFonts w:ascii="Verdana" w:hAnsi="Verdana"/>
          <w:color w:val="254F9B"/>
          <w:sz w:val="28"/>
          <w:szCs w:val="28"/>
        </w:rPr>
        <w:t xml:space="preserve">Nowe marki dołączyły do </w:t>
      </w:r>
      <w:r w:rsidRPr="00470F56">
        <w:rPr>
          <w:rFonts w:ascii="Verdana" w:hAnsi="Verdana"/>
          <w:color w:val="254F9B"/>
          <w:sz w:val="28"/>
          <w:szCs w:val="28"/>
        </w:rPr>
        <w:t xml:space="preserve">najemców Metropolitan </w:t>
      </w:r>
      <w:proofErr w:type="spellStart"/>
      <w:r w:rsidRPr="00470F56">
        <w:rPr>
          <w:rFonts w:ascii="Verdana" w:hAnsi="Verdana"/>
          <w:color w:val="254F9B"/>
          <w:sz w:val="28"/>
          <w:szCs w:val="28"/>
        </w:rPr>
        <w:t>Outlet</w:t>
      </w:r>
      <w:proofErr w:type="spellEnd"/>
      <w:r w:rsidRPr="00470F56">
        <w:rPr>
          <w:rFonts w:ascii="Verdana" w:hAnsi="Verdana"/>
          <w:color w:val="254F9B"/>
          <w:sz w:val="28"/>
          <w:szCs w:val="28"/>
        </w:rPr>
        <w:t xml:space="preserve"> Bydgoszcz</w:t>
      </w:r>
      <w:r w:rsidR="00FA6CE7">
        <w:rPr>
          <w:rFonts w:ascii="Verdana" w:hAnsi="Verdana"/>
          <w:color w:val="254F9B"/>
          <w:sz w:val="28"/>
          <w:szCs w:val="28"/>
        </w:rPr>
        <w:t xml:space="preserve"> </w:t>
      </w:r>
    </w:p>
    <w:bookmarkEnd w:id="0"/>
    <w:p w:rsidR="00D82911" w:rsidRPr="007618E0" w:rsidRDefault="00BB7411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Wzbogaca się grono najemców pierwszego w Bydgoszczy centrum wyprzedażowego Metropolitan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. Do znanych marek dołączył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Wittchen</w:t>
      </w:r>
      <w:proofErr w:type="spellEnd"/>
      <w:r w:rsidR="009853B3">
        <w:rPr>
          <w:rFonts w:ascii="Verdana" w:hAnsi="Verdana"/>
          <w:b/>
          <w:color w:val="575756"/>
          <w:sz w:val="20"/>
          <w:szCs w:val="20"/>
        </w:rPr>
        <w:t xml:space="preserve"> -</w:t>
      </w:r>
      <w:r w:rsidR="008E123F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="00537CCF">
        <w:rPr>
          <w:rFonts w:ascii="Verdana" w:hAnsi="Verdana"/>
          <w:b/>
          <w:color w:val="575756"/>
          <w:sz w:val="20"/>
          <w:szCs w:val="20"/>
        </w:rPr>
        <w:t xml:space="preserve">lider ekskluzywnej </w:t>
      </w:r>
      <w:r w:rsidR="008E123F">
        <w:rPr>
          <w:rFonts w:ascii="Verdana" w:hAnsi="Verdana"/>
          <w:b/>
          <w:color w:val="575756"/>
          <w:sz w:val="20"/>
          <w:szCs w:val="20"/>
        </w:rPr>
        <w:t xml:space="preserve">galanterii skórzanej </w:t>
      </w:r>
      <w:r>
        <w:rPr>
          <w:rFonts w:ascii="Verdana" w:hAnsi="Verdana"/>
          <w:b/>
          <w:color w:val="575756"/>
          <w:sz w:val="20"/>
          <w:szCs w:val="20"/>
        </w:rPr>
        <w:t xml:space="preserve">oraz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Kubenz</w:t>
      </w:r>
      <w:proofErr w:type="spellEnd"/>
      <w:r w:rsidR="009853B3">
        <w:rPr>
          <w:rFonts w:ascii="Verdana" w:hAnsi="Verdana"/>
          <w:b/>
          <w:color w:val="575756"/>
          <w:sz w:val="20"/>
          <w:szCs w:val="20"/>
        </w:rPr>
        <w:t xml:space="preserve"> -</w:t>
      </w:r>
      <w:r w:rsidR="007F5AD5">
        <w:rPr>
          <w:rFonts w:ascii="Verdana" w:hAnsi="Verdana"/>
          <w:b/>
          <w:color w:val="575756"/>
          <w:sz w:val="20"/>
          <w:szCs w:val="20"/>
        </w:rPr>
        <w:t xml:space="preserve"> producent wysokiej jakości odzieży męskiej. </w:t>
      </w:r>
    </w:p>
    <w:p w:rsidR="00CE6C78" w:rsidRPr="00A8627D" w:rsidRDefault="00F31D9E" w:rsidP="00CE6C78">
      <w:pPr>
        <w:jc w:val="both"/>
        <w:rPr>
          <w:rFonts w:ascii="Verdana" w:hAnsi="Verdana"/>
          <w:color w:val="575756"/>
          <w:sz w:val="20"/>
          <w:szCs w:val="20"/>
        </w:rPr>
      </w:pPr>
      <w:r w:rsidRPr="001202DC">
        <w:rPr>
          <w:rFonts w:ascii="Verdana" w:hAnsi="Verdana" w:cs="Arial"/>
          <w:color w:val="575756"/>
          <w:sz w:val="20"/>
          <w:szCs w:val="20"/>
        </w:rPr>
        <w:t xml:space="preserve">Kolejne 250 mkw. powierzchni handlowej bydgoskiego centrum wyprzedażowego Metropolitan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C50AAA" w:rsidRPr="001202DC">
        <w:rPr>
          <w:rFonts w:ascii="Verdana" w:hAnsi="Verdana" w:cs="Arial"/>
          <w:color w:val="575756"/>
          <w:sz w:val="20"/>
          <w:szCs w:val="20"/>
        </w:rPr>
        <w:t>, którego właścicielem jest Carrefour Polska,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 zostało wynajęte. Lokal o powierzchni 106 mkw. zajmie firma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Wittchen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- </w:t>
      </w:r>
      <w:r w:rsidR="00BB7411" w:rsidRPr="001202DC">
        <w:rPr>
          <w:rFonts w:ascii="Verdana" w:hAnsi="Verdana" w:cs="Arial"/>
          <w:color w:val="575756"/>
          <w:sz w:val="20"/>
          <w:szCs w:val="20"/>
        </w:rPr>
        <w:t>lider na polskim rynku luksusowych dodatków skórzanych w segmencie klasy wyższej i średniej</w:t>
      </w:r>
      <w:r w:rsidRPr="001202DC">
        <w:rPr>
          <w:rFonts w:ascii="Verdana" w:hAnsi="Verdana" w:cs="Arial"/>
          <w:color w:val="575756"/>
          <w:sz w:val="20"/>
          <w:szCs w:val="20"/>
        </w:rPr>
        <w:t>.</w:t>
      </w:r>
      <w:r w:rsidR="007F5AD5" w:rsidRPr="001202DC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Najemca zaoferuje szeroką ofertę </w:t>
      </w:r>
      <w:r w:rsidR="00BB0DBF" w:rsidRPr="001202DC">
        <w:rPr>
          <w:rFonts w:ascii="Verdana" w:hAnsi="Verdana" w:cs="Arial"/>
          <w:color w:val="575756"/>
          <w:sz w:val="20"/>
          <w:szCs w:val="20"/>
        </w:rPr>
        <w:t xml:space="preserve">produktów, w której dostępne będą </w:t>
      </w:r>
      <w:r w:rsidR="00147D76" w:rsidRPr="001202DC">
        <w:rPr>
          <w:rFonts w:ascii="Verdana" w:hAnsi="Verdana" w:cs="Arial"/>
          <w:color w:val="575756"/>
          <w:sz w:val="20"/>
          <w:szCs w:val="20"/>
        </w:rPr>
        <w:t>wyjątkowe</w:t>
      </w:r>
      <w:r w:rsidR="00147D76" w:rsidRPr="00A8627D">
        <w:rPr>
          <w:rFonts w:ascii="Verdana" w:hAnsi="Verdana"/>
          <w:color w:val="575756"/>
          <w:sz w:val="20"/>
          <w:szCs w:val="20"/>
        </w:rPr>
        <w:t xml:space="preserve"> </w:t>
      </w:r>
      <w:r w:rsidR="00147D76" w:rsidRPr="00D61D58">
        <w:rPr>
          <w:rFonts w:ascii="Verdana" w:hAnsi="Verdana"/>
          <w:color w:val="575756"/>
          <w:sz w:val="20"/>
          <w:szCs w:val="20"/>
        </w:rPr>
        <w:t>kolekcje torebek, odzieży, perfum, butów</w:t>
      </w:r>
      <w:r w:rsidRPr="00D61D58">
        <w:rPr>
          <w:rFonts w:ascii="Verdana" w:hAnsi="Verdana"/>
          <w:color w:val="575756"/>
          <w:sz w:val="20"/>
          <w:szCs w:val="20"/>
        </w:rPr>
        <w:t>, a także dodatków</w:t>
      </w:r>
      <w:r w:rsidR="00147D76" w:rsidRPr="00D61D58">
        <w:rPr>
          <w:rFonts w:ascii="Verdana" w:hAnsi="Verdana"/>
          <w:color w:val="575756"/>
          <w:sz w:val="20"/>
          <w:szCs w:val="20"/>
        </w:rPr>
        <w:t xml:space="preserve"> takich</w:t>
      </w:r>
      <w:r w:rsidRPr="00D61D58">
        <w:rPr>
          <w:rFonts w:ascii="Verdana" w:hAnsi="Verdana"/>
          <w:color w:val="575756"/>
          <w:sz w:val="20"/>
          <w:szCs w:val="20"/>
        </w:rPr>
        <w:t>,</w:t>
      </w:r>
      <w:r w:rsidR="00147D76" w:rsidRPr="00D61D58">
        <w:rPr>
          <w:rFonts w:ascii="Verdana" w:hAnsi="Verdana"/>
          <w:color w:val="575756"/>
          <w:sz w:val="20"/>
          <w:szCs w:val="20"/>
        </w:rPr>
        <w:t xml:space="preserve"> jak krawaty, apaszki, paski, czapki czy rękawiczki</w:t>
      </w:r>
      <w:r w:rsidR="00BB0DBF" w:rsidRPr="00D61D58">
        <w:rPr>
          <w:rFonts w:ascii="Verdana" w:hAnsi="Verdana"/>
          <w:color w:val="575756"/>
          <w:sz w:val="20"/>
          <w:szCs w:val="20"/>
        </w:rPr>
        <w:t xml:space="preserve"> w obniżonych cenach</w:t>
      </w:r>
      <w:r w:rsidR="00147D76" w:rsidRPr="00D61D58">
        <w:rPr>
          <w:rFonts w:ascii="Verdana" w:hAnsi="Verdana"/>
          <w:color w:val="575756"/>
          <w:sz w:val="20"/>
          <w:szCs w:val="20"/>
        </w:rPr>
        <w:t>.</w:t>
      </w:r>
      <w:r w:rsidR="00147D76" w:rsidRPr="00A8627D">
        <w:rPr>
          <w:rFonts w:ascii="Verdana" w:hAnsi="Verdana"/>
          <w:color w:val="575756"/>
          <w:sz w:val="20"/>
          <w:szCs w:val="20"/>
        </w:rPr>
        <w:t xml:space="preserve"> </w:t>
      </w:r>
    </w:p>
    <w:p w:rsidR="0011020A" w:rsidRPr="001202DC" w:rsidRDefault="00F31D9E" w:rsidP="00CE6C78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202DC">
        <w:rPr>
          <w:rFonts w:ascii="Verdana" w:hAnsi="Verdana" w:cs="Arial"/>
          <w:color w:val="575756"/>
          <w:sz w:val="20"/>
          <w:szCs w:val="20"/>
        </w:rPr>
        <w:t>Z kolei w lokalu o powierzchni 145 mkw. m</w:t>
      </w:r>
      <w:r w:rsidR="00CE6C78" w:rsidRPr="001202DC">
        <w:rPr>
          <w:rFonts w:ascii="Verdana" w:hAnsi="Verdana" w:cs="Arial"/>
          <w:color w:val="575756"/>
          <w:sz w:val="20"/>
          <w:szCs w:val="20"/>
        </w:rPr>
        <w:t xml:space="preserve">arka </w:t>
      </w:r>
      <w:proofErr w:type="spellStart"/>
      <w:r w:rsidR="00CE6C78" w:rsidRPr="001202DC">
        <w:rPr>
          <w:rFonts w:ascii="Verdana" w:hAnsi="Verdana" w:cs="Arial"/>
          <w:color w:val="575756"/>
          <w:sz w:val="20"/>
          <w:szCs w:val="20"/>
        </w:rPr>
        <w:t>K</w:t>
      </w:r>
      <w:r w:rsidR="00C50AAA" w:rsidRPr="001202DC">
        <w:rPr>
          <w:rFonts w:ascii="Verdana" w:hAnsi="Verdana" w:cs="Arial"/>
          <w:color w:val="575756"/>
          <w:sz w:val="20"/>
          <w:szCs w:val="20"/>
        </w:rPr>
        <w:t>ubenz</w:t>
      </w:r>
      <w:proofErr w:type="spellEnd"/>
      <w:r w:rsidR="00C50AAA" w:rsidRPr="001202D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CE6C78" w:rsidRPr="001202DC">
        <w:rPr>
          <w:rFonts w:ascii="Verdana" w:hAnsi="Verdana" w:cs="Arial"/>
          <w:color w:val="575756"/>
          <w:sz w:val="20"/>
          <w:szCs w:val="20"/>
        </w:rPr>
        <w:t xml:space="preserve">zaoferuje kolekcję mody dla mężczyzn ceniących elegancję i najwyższą jakość. </w:t>
      </w:r>
      <w:proofErr w:type="spellStart"/>
      <w:r w:rsidR="00CE6C78" w:rsidRPr="001202DC">
        <w:rPr>
          <w:rFonts w:ascii="Verdana" w:hAnsi="Verdana" w:cs="Arial"/>
          <w:color w:val="575756"/>
          <w:sz w:val="20"/>
          <w:szCs w:val="20"/>
        </w:rPr>
        <w:t>Kubenz</w:t>
      </w:r>
      <w:proofErr w:type="spellEnd"/>
      <w:r w:rsidR="00CE6C78" w:rsidRPr="001202DC">
        <w:rPr>
          <w:rFonts w:ascii="Verdana" w:hAnsi="Verdana" w:cs="Arial"/>
          <w:color w:val="575756"/>
          <w:sz w:val="20"/>
          <w:szCs w:val="20"/>
        </w:rPr>
        <w:t xml:space="preserve"> to wyraz klasyki i stylu dedykowany nowoczesnemu, dynamicznemu mężczyźnie - bez względu na jego wiek i pozycję zawodową. </w:t>
      </w:r>
      <w:r w:rsidR="0011020A" w:rsidRPr="001202DC">
        <w:rPr>
          <w:rFonts w:ascii="Verdana" w:hAnsi="Verdana" w:cs="Arial"/>
          <w:color w:val="575756"/>
          <w:sz w:val="20"/>
          <w:szCs w:val="20"/>
        </w:rPr>
        <w:t>W ofercie sklepu znajdą się zarówno klasyczne, jak również casualowe, nieformalne stylizacje.</w:t>
      </w:r>
    </w:p>
    <w:p w:rsidR="0011020A" w:rsidRDefault="00BB0DBF" w:rsidP="0011020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bookmarkStart w:id="1" w:name="_Hlk492993457"/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– </w:t>
      </w:r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Segment </w:t>
      </w:r>
      <w:proofErr w:type="spellStart"/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>fashion</w:t>
      </w:r>
      <w:proofErr w:type="spellEnd"/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stanowi podstawę dobrze funkcjonującego centrum wyprzedażowego. Dobrze, gdy jest on uzupełniony o akcesoria, dodatki i galanterię skórzaną. Dlatego cieszymy się, że do grona najemców Metropolitan </w:t>
      </w:r>
      <w:proofErr w:type="spellStart"/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Bydgoszcz dołączyły dwie polskie marki, które doskonale uzupełnią ofertę modową centrum </w:t>
      </w:r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 xml:space="preserve">– podkreśla Grażyna </w:t>
      </w:r>
      <w:proofErr w:type="spellStart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>Melibruda</w:t>
      </w:r>
      <w:proofErr w:type="spellEnd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>Associate</w:t>
      </w:r>
      <w:proofErr w:type="spellEnd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>Director</w:t>
      </w:r>
      <w:proofErr w:type="spellEnd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 xml:space="preserve"> Retail </w:t>
      </w:r>
      <w:proofErr w:type="spellStart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>Agency</w:t>
      </w:r>
      <w:proofErr w:type="spellEnd"/>
      <w:r w:rsidRPr="00A8627D">
        <w:rPr>
          <w:rFonts w:ascii="Verdana" w:hAnsi="Verdana" w:cs="Arial"/>
          <w:color w:val="575756"/>
          <w:sz w:val="20"/>
          <w:szCs w:val="20"/>
          <w:lang w:eastAsia="en-US"/>
        </w:rPr>
        <w:t xml:space="preserve"> w JLL.</w:t>
      </w:r>
      <w:bookmarkEnd w:id="1"/>
    </w:p>
    <w:p w:rsidR="0011020A" w:rsidRDefault="0011020A" w:rsidP="0011020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11020A" w:rsidRPr="001202DC" w:rsidRDefault="0011020A" w:rsidP="0011020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Metropolitan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zaoferuje mieszkańcom regionu nowoczesną przestrzeń zakupową. Na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powierzchni 17 000 mkw. znajdzie się ponad 60 salonów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outletowych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- modowych, sportowych, obuwniczych, wyposażenia wnętrz z ofertą w atrakcyjnych cenach. Sektor mody będą tworzyć takie marki, jak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Guess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Próchnik, Franco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Ferruzzi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Lavard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By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Insomnia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Evolution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Bagatelle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London Hill,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Italian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Fashion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ONYXX czy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Ewtex</w:t>
      </w:r>
      <w:proofErr w:type="spellEnd"/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>, s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ektor sportu 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- 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marka 4F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>, zaś ofertę wyposażenia wnętrz zapewnią</w:t>
      </w:r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marki </w:t>
      </w:r>
      <w:proofErr w:type="spellStart"/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>Dajar</w:t>
      </w:r>
      <w:proofErr w:type="spellEnd"/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Home &amp; Garden oraz Home &amp; Cook wraz z hipermarketem Carrefour</w:t>
      </w:r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. 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W Metropolitan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powstanie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także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pierwszy w Bydgoszczy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outletowy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salon z elegancką biżuterią firmy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Apart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. Ofertę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obiektu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uzupełnią </w:t>
      </w:r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>również liczne punkty gastronomiczne i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usługowe</w:t>
      </w:r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, plac zabaw dla dzieci czy stacja paliw. </w:t>
      </w:r>
      <w:r w:rsidR="00141DDD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Mocną stroną inwestycji 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będzie </w:t>
      </w:r>
      <w:r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z pewnością 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>funkcjonujący w nowej odsłonie hipermarket Carrefour o</w:t>
      </w:r>
      <w:r w:rsidR="005202A5" w:rsidRPr="001202DC">
        <w:rPr>
          <w:rFonts w:ascii="Verdana" w:hAnsi="Verdana" w:cs="Arial"/>
          <w:color w:val="575756"/>
          <w:sz w:val="20"/>
          <w:szCs w:val="20"/>
          <w:lang w:eastAsia="en-US"/>
        </w:rPr>
        <w:t> 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powierzchni </w:t>
      </w:r>
      <w:r w:rsidR="00CD5E33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blisko </w:t>
      </w:r>
      <w:r w:rsidR="005A6517" w:rsidRPr="001202DC">
        <w:rPr>
          <w:rFonts w:ascii="Verdana" w:hAnsi="Verdana" w:cs="Arial"/>
          <w:color w:val="575756"/>
          <w:sz w:val="20"/>
          <w:szCs w:val="20"/>
          <w:lang w:eastAsia="en-US"/>
        </w:rPr>
        <w:t>6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000 mkw.</w:t>
      </w:r>
      <w:r w:rsidR="00CD5E33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</w:p>
    <w:p w:rsidR="0011020A" w:rsidRPr="001202DC" w:rsidRDefault="0011020A" w:rsidP="0011020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321061" w:rsidRPr="001202DC" w:rsidRDefault="00321061" w:rsidP="00791F2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202DC">
        <w:rPr>
          <w:rFonts w:ascii="Verdana" w:hAnsi="Verdana" w:cs="Arial"/>
          <w:color w:val="575756"/>
          <w:sz w:val="20"/>
          <w:szCs w:val="20"/>
        </w:rPr>
        <w:t xml:space="preserve">Projekt posiada już prawomocne pozwolenie na budowę. </w:t>
      </w:r>
      <w:r w:rsidR="00FC1351" w:rsidRPr="001202DC">
        <w:rPr>
          <w:rFonts w:ascii="Verdana" w:hAnsi="Verdana" w:cs="Arial"/>
          <w:color w:val="575756"/>
          <w:sz w:val="20"/>
          <w:szCs w:val="20"/>
        </w:rPr>
        <w:t>Obecnie trwa proces wyłonienia</w:t>
      </w:r>
      <w:r w:rsidR="00F65E7F" w:rsidRPr="001202DC">
        <w:rPr>
          <w:rFonts w:ascii="Verdana" w:hAnsi="Verdana" w:cs="Arial"/>
          <w:color w:val="575756"/>
          <w:sz w:val="20"/>
          <w:szCs w:val="20"/>
        </w:rPr>
        <w:t xml:space="preserve"> generalnego wykonawcy </w:t>
      </w:r>
      <w:r w:rsidR="0011020A" w:rsidRPr="001202DC">
        <w:rPr>
          <w:rFonts w:ascii="Verdana" w:hAnsi="Verdana" w:cs="Arial"/>
          <w:color w:val="575756"/>
          <w:sz w:val="20"/>
          <w:szCs w:val="20"/>
        </w:rPr>
        <w:t>inwestycji</w:t>
      </w:r>
      <w:r w:rsidR="00F65E7F" w:rsidRPr="001202DC">
        <w:rPr>
          <w:rFonts w:ascii="Verdana" w:hAnsi="Verdana" w:cs="Arial"/>
          <w:color w:val="575756"/>
          <w:sz w:val="20"/>
          <w:szCs w:val="20"/>
        </w:rPr>
        <w:t>. Zakończenie prac budowlanych i o</w:t>
      </w:r>
      <w:r w:rsidRPr="001202DC">
        <w:rPr>
          <w:rFonts w:ascii="Verdana" w:hAnsi="Verdana" w:cs="Arial"/>
          <w:color w:val="575756"/>
          <w:sz w:val="20"/>
          <w:szCs w:val="20"/>
        </w:rPr>
        <w:t>twarcie Metropolit</w:t>
      </w:r>
      <w:r w:rsidR="00141DDD" w:rsidRPr="001202DC">
        <w:rPr>
          <w:rFonts w:ascii="Verdana" w:hAnsi="Verdana" w:cs="Arial"/>
          <w:color w:val="575756"/>
          <w:sz w:val="20"/>
          <w:szCs w:val="20"/>
        </w:rPr>
        <w:t xml:space="preserve">an </w:t>
      </w:r>
      <w:proofErr w:type="spellStart"/>
      <w:r w:rsidR="00141DDD"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141DDD" w:rsidRPr="001202DC">
        <w:rPr>
          <w:rFonts w:ascii="Verdana" w:hAnsi="Verdana" w:cs="Arial"/>
          <w:color w:val="575756"/>
          <w:sz w:val="20"/>
          <w:szCs w:val="20"/>
        </w:rPr>
        <w:t xml:space="preserve"> zaplanowano na </w:t>
      </w:r>
      <w:r w:rsidR="00FA6CE7" w:rsidRPr="001202DC">
        <w:rPr>
          <w:rFonts w:ascii="Verdana" w:hAnsi="Verdana" w:cs="Arial"/>
          <w:color w:val="575756"/>
          <w:sz w:val="20"/>
          <w:szCs w:val="20"/>
        </w:rPr>
        <w:t xml:space="preserve">jesień </w:t>
      </w:r>
      <w:r w:rsidRPr="001202DC">
        <w:rPr>
          <w:rFonts w:ascii="Verdana" w:hAnsi="Verdana" w:cs="Arial"/>
          <w:color w:val="575756"/>
          <w:sz w:val="20"/>
          <w:szCs w:val="20"/>
        </w:rPr>
        <w:t>2018 rok</w:t>
      </w:r>
      <w:r w:rsidR="00FA6CE7" w:rsidRPr="001202DC">
        <w:rPr>
          <w:rFonts w:ascii="Verdana" w:hAnsi="Verdana" w:cs="Arial"/>
          <w:color w:val="575756"/>
          <w:sz w:val="20"/>
          <w:szCs w:val="20"/>
        </w:rPr>
        <w:t>u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. NEINVER, czołowy operator centrów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w Polsce i</w:t>
      </w:r>
      <w:r w:rsidR="005202A5" w:rsidRPr="001202DC">
        <w:rPr>
          <w:rFonts w:ascii="Verdana" w:hAnsi="Verdana" w:cs="Arial"/>
          <w:color w:val="575756"/>
          <w:sz w:val="20"/>
          <w:szCs w:val="20"/>
        </w:rPr>
        <w:t> 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Europie z wieloletnim doświadczeniem w branży, będzie odpowiedzialny za zarządzanie powstającym centrum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outletowym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>.</w:t>
      </w:r>
    </w:p>
    <w:p w:rsidR="0011020A" w:rsidRPr="00224EC4" w:rsidRDefault="0011020A" w:rsidP="0011020A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224EC4">
        <w:rPr>
          <w:rFonts w:ascii="Verdana" w:hAnsi="Verdana" w:cs="Arial"/>
          <w:b/>
          <w:color w:val="575756"/>
          <w:sz w:val="16"/>
          <w:szCs w:val="16"/>
        </w:rPr>
        <w:lastRenderedPageBreak/>
        <w:t>O Carrefour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5B159C" w:rsidRPr="00A8627D" w:rsidRDefault="005B159C" w:rsidP="005B159C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Metropolitan </w:t>
      </w:r>
      <w:proofErr w:type="spellStart"/>
      <w:r w:rsidRPr="00A8627D">
        <w:rPr>
          <w:rFonts w:ascii="Verdana" w:hAnsi="Verdana" w:cs="Arial"/>
          <w:b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 w Bydgoszczy</w:t>
      </w:r>
    </w:p>
    <w:p w:rsidR="005B159C" w:rsidRPr="00A8627D" w:rsidRDefault="005B159C" w:rsidP="005B159C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Metropolitan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Bydgoszcz. Obecnie w strefie do 90 minut jazdy samochodem do powstającego centrum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outletowego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mieszka ponad dwa miliony jego przyszłych klientów.</w:t>
      </w:r>
    </w:p>
    <w:p w:rsidR="005B159C" w:rsidRPr="00A8627D" w:rsidRDefault="005B159C" w:rsidP="005B159C">
      <w:pPr>
        <w:spacing w:line="360" w:lineRule="auto"/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www.metropolitanoutlet.com</w:t>
      </w:r>
    </w:p>
    <w:p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NEINVER </w:t>
      </w:r>
    </w:p>
    <w:p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NEINVER jest wiodącym europejskim deweloperem, inwestorem oraz zarządcą nieruchomości i funduszy. </w:t>
      </w:r>
      <w:r w:rsidRPr="00A8627D">
        <w:rPr>
          <w:rFonts w:ascii="Verdana" w:hAnsi="Verdana" w:cs="Arial"/>
          <w:color w:val="575756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Od ponad 20 lat strategia rozwoju Grupy NEINVER opiera się na specjalizacji w sektorze centrów wyprzedażowych. Ta hiszpańska firma zarządza 17 obiektami o łącznej powierzchni najmu 349.000 m2, funkcjonującymi pod markami The Style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Outlets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i FACTORY.</w:t>
      </w:r>
    </w:p>
    <w:p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W Polsce NEINVER wybudował dotychczas ponad 250.000 m² nowoczesnej powierzchni handlowej: sieć centrów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FACTORY w czterech miastach: Warszawa (Ursus, Annopol), Wrocław, Poznań i Kraków, parki handlowe Futura w Krakowie i Wrocławiu, Galerię Malta oraz Galerię Katowicką wraz ze zintegrowanym centrum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komunikacyjno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– handlowym.</w:t>
      </w:r>
    </w:p>
    <w:p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Jedną z kluczowych wartości NEINVER jest prowadzenie działalności zgodnie z zasadami zrównoważonego budownictwa i odpowiedzialności społecznej. Grupa – jako pierwsza na rynku – uzyskała certyfikat BREEAM In-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Use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dla całego swojego europejskiego portfolio centrów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>.</w:t>
      </w:r>
    </w:p>
    <w:p w:rsidR="008A7333" w:rsidRDefault="008A7333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</w:p>
    <w:p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bookmarkStart w:id="2" w:name="_GoBack"/>
      <w:bookmarkEnd w:id="2"/>
      <w:r w:rsidRPr="00A8627D">
        <w:rPr>
          <w:rFonts w:ascii="Verdana" w:hAnsi="Verdana" w:cs="Arial"/>
          <w:b/>
          <w:color w:val="575756"/>
          <w:sz w:val="16"/>
          <w:szCs w:val="16"/>
        </w:rPr>
        <w:lastRenderedPageBreak/>
        <w:t>O JLL</w:t>
      </w:r>
    </w:p>
    <w:p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:rsidR="00321061" w:rsidRPr="00A8627D" w:rsidRDefault="00321061" w:rsidP="00DB190F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JLL jest międzynarodową firmą doradczą świadczącą kompleksowe usługi na rynku nieruchomości, sklasyfikowaną na liście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Fortune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LaSalle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Investment Management (spółka w ramach grupy), zarządza aktywami o łąc</w:t>
      </w:r>
      <w:r w:rsidR="00DB190F" w:rsidRPr="00A8627D">
        <w:rPr>
          <w:rFonts w:ascii="Verdana" w:hAnsi="Verdana" w:cs="Arial"/>
          <w:color w:val="575756"/>
          <w:sz w:val="16"/>
          <w:szCs w:val="16"/>
        </w:rPr>
        <w:t>znej wartości ok. 55,3 mld USD.</w:t>
      </w:r>
    </w:p>
    <w:p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</w:t>
      </w:r>
      <w:proofErr w:type="spellStart"/>
      <w:r w:rsidRPr="00A8627D">
        <w:rPr>
          <w:rFonts w:ascii="Verdana" w:hAnsi="Verdana" w:cs="Arial"/>
          <w:b/>
          <w:color w:val="575756"/>
          <w:sz w:val="16"/>
          <w:szCs w:val="16"/>
        </w:rPr>
        <w:t>SpaceArchitects</w:t>
      </w:r>
      <w:proofErr w:type="spellEnd"/>
    </w:p>
    <w:p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:rsidR="00321061" w:rsidRPr="00A8627D" w:rsidRDefault="00321061" w:rsidP="00475371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W dorobku pracowni</w:t>
      </w:r>
      <w:r w:rsidR="00B2760D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="00B2760D" w:rsidRPr="00A8627D">
        <w:rPr>
          <w:rFonts w:ascii="Verdana" w:hAnsi="Verdana" w:cs="Arial"/>
          <w:color w:val="575756"/>
          <w:sz w:val="16"/>
          <w:szCs w:val="16"/>
        </w:rPr>
        <w:t>SpaceArchitects</w:t>
      </w:r>
      <w:proofErr w:type="spellEnd"/>
      <w:r w:rsidR="00B2760D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A8627D">
        <w:rPr>
          <w:rFonts w:ascii="Verdana" w:hAnsi="Verdana" w:cs="Arial"/>
          <w:color w:val="575756"/>
          <w:sz w:val="16"/>
          <w:szCs w:val="16"/>
        </w:rPr>
        <w:t>znajdują się projekty innych obie</w:t>
      </w:r>
      <w:r w:rsidR="00F96483" w:rsidRPr="00A8627D">
        <w:rPr>
          <w:rFonts w:ascii="Verdana" w:hAnsi="Verdana" w:cs="Arial"/>
          <w:color w:val="575756"/>
          <w:sz w:val="16"/>
          <w:szCs w:val="16"/>
        </w:rPr>
        <w:t>któw wielkopowierzchniowych, mię</w:t>
      </w:r>
      <w:r w:rsidRPr="00A8627D">
        <w:rPr>
          <w:rFonts w:ascii="Verdana" w:hAnsi="Verdana" w:cs="Arial"/>
          <w:color w:val="575756"/>
          <w:sz w:val="16"/>
          <w:szCs w:val="16"/>
        </w:rPr>
        <w:t xml:space="preserve">dzy innymi rozbudowa i przebudowa Centrum Handlowego Carrefour w Olsztynie (26 000 mkw.), rozbudowa i przebudowa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Factory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w Ursusie</w:t>
      </w:r>
      <w:r w:rsidR="00475371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A8627D">
        <w:rPr>
          <w:rFonts w:ascii="Verdana" w:hAnsi="Verdana" w:cs="Arial"/>
          <w:color w:val="575756"/>
          <w:sz w:val="16"/>
          <w:szCs w:val="16"/>
        </w:rPr>
        <w:t xml:space="preserve">(współautor) (13 000 mkw.), Centrum Handlowego Gdańsk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Regional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Centre dla White Star Real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(90 000 mkw.), jak również parków handlowych, budynków mieszkaniowych i biurowych. Do grona swoich Klientów, oprócz Carrefour Polska, zalicza m.in. White Star Real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, Mota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Engil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– Central Europe,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Ove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Arup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, Walencja Development, PPL,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Claybark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limited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>.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24" w:rsidRDefault="00C64124">
      <w:pPr>
        <w:spacing w:after="0" w:line="240" w:lineRule="auto"/>
      </w:pPr>
      <w:r>
        <w:separator/>
      </w:r>
    </w:p>
  </w:endnote>
  <w:endnote w:type="continuationSeparator" w:id="0">
    <w:p w:rsidR="00C64124" w:rsidRDefault="00C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24" w:rsidRDefault="00C64124">
      <w:pPr>
        <w:spacing w:after="0" w:line="240" w:lineRule="auto"/>
      </w:pPr>
      <w:r>
        <w:separator/>
      </w:r>
    </w:p>
  </w:footnote>
  <w:footnote w:type="continuationSeparator" w:id="0">
    <w:p w:rsidR="00C64124" w:rsidRDefault="00C64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2F69"/>
    <w:rsid w:val="000C3B97"/>
    <w:rsid w:val="000C3C24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1020A"/>
    <w:rsid w:val="001202DC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47D76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51A"/>
    <w:rsid w:val="001E7160"/>
    <w:rsid w:val="001F081E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93539"/>
    <w:rsid w:val="00294B3D"/>
    <w:rsid w:val="00297BB0"/>
    <w:rsid w:val="002A1211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906"/>
    <w:rsid w:val="009B0326"/>
    <w:rsid w:val="009B3D8F"/>
    <w:rsid w:val="009B3E60"/>
    <w:rsid w:val="009C1715"/>
    <w:rsid w:val="009C2A22"/>
    <w:rsid w:val="009C42B7"/>
    <w:rsid w:val="009C7547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5516C"/>
    <w:rsid w:val="00A66049"/>
    <w:rsid w:val="00A76D60"/>
    <w:rsid w:val="00A8322E"/>
    <w:rsid w:val="00A8627D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5E33"/>
    <w:rsid w:val="00CE03E3"/>
    <w:rsid w:val="00CE2968"/>
    <w:rsid w:val="00CE6B36"/>
    <w:rsid w:val="00CE6C78"/>
    <w:rsid w:val="00CE7C10"/>
    <w:rsid w:val="00CF7747"/>
    <w:rsid w:val="00D00BC4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10197"/>
    <w:rsid w:val="00E15366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C4AF-3079-444F-ADDE-28BE08E7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7818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turkiee023</cp:lastModifiedBy>
  <cp:revision>7</cp:revision>
  <cp:lastPrinted>2017-09-13T06:20:00Z</cp:lastPrinted>
  <dcterms:created xsi:type="dcterms:W3CDTF">2017-09-21T12:51:00Z</dcterms:created>
  <dcterms:modified xsi:type="dcterms:W3CDTF">2017-09-22T13:59:00Z</dcterms:modified>
</cp:coreProperties>
</file>