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BD" w:rsidRDefault="004D05E9" w:rsidP="00746268">
      <w:pPr>
        <w:spacing w:after="0" w:line="360" w:lineRule="auto"/>
        <w:rPr>
          <w:b/>
          <w:sz w:val="24"/>
          <w:szCs w:val="24"/>
        </w:rPr>
      </w:pPr>
      <w:r w:rsidRPr="00BF0AFB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94B4CB" wp14:editId="18162320">
            <wp:simplePos x="0" y="0"/>
            <wp:positionH relativeFrom="column">
              <wp:posOffset>536354</wp:posOffset>
            </wp:positionH>
            <wp:positionV relativeFrom="paragraph">
              <wp:posOffset>-440938</wp:posOffset>
            </wp:positionV>
            <wp:extent cx="2076450" cy="1019175"/>
            <wp:effectExtent l="0" t="0" r="0" b="9525"/>
            <wp:wrapNone/>
            <wp:docPr id="5" name="Obraz 1" descr="Z:\2015\Logotypy\NEW logo et charte\logo_fec_CMJN_2014_CMJ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Z:\2015\Logotypy\NEW logo et charte\logo_fec_CMJN_2014_CMJN-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6A7B70" wp14:editId="6160AB7F">
            <wp:simplePos x="0" y="0"/>
            <wp:positionH relativeFrom="margin">
              <wp:posOffset>4277995</wp:posOffset>
            </wp:positionH>
            <wp:positionV relativeFrom="margin">
              <wp:posOffset>-375920</wp:posOffset>
            </wp:positionV>
            <wp:extent cx="1438275" cy="866140"/>
            <wp:effectExtent l="0" t="0" r="9525" b="0"/>
            <wp:wrapSquare wrapText="bothSides"/>
            <wp:docPr id="4" name="Obraz 1" descr="Logotyp ABC Zdrowego Żywi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ABC Zdrowego Żywien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52079C6" wp14:editId="52670F1C">
            <wp:simplePos x="0" y="0"/>
            <wp:positionH relativeFrom="column">
              <wp:posOffset>24130</wp:posOffset>
            </wp:positionH>
            <wp:positionV relativeFrom="paragraph">
              <wp:posOffset>-480695</wp:posOffset>
            </wp:positionV>
            <wp:extent cx="11049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3BD" w:rsidRPr="00592A9C" w:rsidRDefault="000C63BD" w:rsidP="00592A9C">
      <w:pPr>
        <w:spacing w:after="0" w:line="360" w:lineRule="auto"/>
        <w:jc w:val="both"/>
        <w:rPr>
          <w:rFonts w:ascii="Verdana" w:hAnsi="Verdana" w:cs="Times New Roman"/>
          <w:b/>
          <w:color w:val="7F7F7F" w:themeColor="text1" w:themeTint="80"/>
          <w:sz w:val="16"/>
          <w:szCs w:val="16"/>
        </w:rPr>
      </w:pPr>
    </w:p>
    <w:p w:rsidR="00F00756" w:rsidRDefault="00F00756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</w:p>
    <w:p w:rsidR="00FF1110" w:rsidRPr="00943904" w:rsidRDefault="00A45DC0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  <w:r>
        <w:rPr>
          <w:rFonts w:ascii="Verdana" w:hAnsi="Verdana" w:cs="Arial"/>
          <w:color w:val="595959" w:themeColor="text1" w:themeTint="A6"/>
          <w:sz w:val="20"/>
          <w:szCs w:val="20"/>
        </w:rPr>
        <w:t xml:space="preserve">Warszawa, </w:t>
      </w:r>
      <w:r w:rsidR="00320628">
        <w:rPr>
          <w:rFonts w:ascii="Verdana" w:hAnsi="Verdana" w:cs="Arial"/>
          <w:color w:val="595959" w:themeColor="text1" w:themeTint="A6"/>
          <w:sz w:val="20"/>
          <w:szCs w:val="20"/>
        </w:rPr>
        <w:t>29</w:t>
      </w:r>
      <w:r w:rsidR="00263129">
        <w:rPr>
          <w:rFonts w:ascii="Verdana" w:hAnsi="Verdana" w:cs="Arial"/>
          <w:color w:val="595959" w:themeColor="text1" w:themeTint="A6"/>
          <w:sz w:val="20"/>
          <w:szCs w:val="20"/>
        </w:rPr>
        <w:t xml:space="preserve"> listopad</w:t>
      </w:r>
      <w:r w:rsidR="00FF1110" w:rsidRPr="00943904">
        <w:rPr>
          <w:rFonts w:ascii="Verdana" w:hAnsi="Verdana" w:cs="Arial"/>
          <w:color w:val="595959" w:themeColor="text1" w:themeTint="A6"/>
          <w:sz w:val="20"/>
          <w:szCs w:val="20"/>
        </w:rPr>
        <w:t>a 2017 r.</w:t>
      </w:r>
    </w:p>
    <w:p w:rsidR="00066F29" w:rsidRPr="0037575E" w:rsidRDefault="009B3460" w:rsidP="0037575E">
      <w:pPr>
        <w:jc w:val="both"/>
        <w:rPr>
          <w:rFonts w:ascii="Verdana" w:hAnsi="Verdana"/>
          <w:color w:val="254F9B"/>
          <w:sz w:val="28"/>
          <w:szCs w:val="28"/>
        </w:rPr>
      </w:pPr>
      <w:r>
        <w:rPr>
          <w:rFonts w:ascii="Verdana" w:hAnsi="Verdana"/>
          <w:color w:val="254F9B"/>
          <w:sz w:val="28"/>
          <w:szCs w:val="28"/>
        </w:rPr>
        <w:t>Czy Dolny Śląsk skutecznie walczy z otyłością?</w:t>
      </w:r>
      <w:r w:rsidR="00664C7F">
        <w:rPr>
          <w:rFonts w:ascii="Verdana" w:hAnsi="Verdana"/>
          <w:color w:val="254F9B"/>
          <w:sz w:val="28"/>
          <w:szCs w:val="28"/>
        </w:rPr>
        <w:t xml:space="preserve"> </w:t>
      </w:r>
    </w:p>
    <w:p w:rsidR="009B3460" w:rsidRDefault="009B3460" w:rsidP="009B346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Z wyników badania „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Dlaczego edukacja żywieniowa w Polsce jest potrzebna?”</w:t>
      </w:r>
      <w:r w:rsidR="00B35540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, które zostało przeprowadzone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na zlecenie SGGW i sfinansowane przez Fundację Carrefour, wynika, że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w regionie 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południowo-zachodnim największa liczba dzieci ma nadwagę. Badanie zrealizowano </w:t>
      </w:r>
      <w:r w:rsidRPr="006A34D3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na potrzeby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trzeciej edycji programu edukacyjno-bad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awczego „ABC Zdrowego Żywienia”.</w:t>
      </w:r>
    </w:p>
    <w:p w:rsidR="009B3460" w:rsidRDefault="009B3460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F20810" w:rsidRPr="009244CE" w:rsidRDefault="009B3460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Czy dzieci z Dolnego</w:t>
      </w:r>
      <w:r w:rsidR="00664C7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Śląsk</w:t>
      </w: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 trzymają formę?</w:t>
      </w:r>
      <w:r w:rsidR="00F20810" w:rsidRPr="009244CE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</w:t>
      </w:r>
    </w:p>
    <w:p w:rsidR="009B3460" w:rsidRPr="00664C7F" w:rsidRDefault="009B3460" w:rsidP="009B3460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</w:t>
      </w:r>
      <w:r>
        <w:rPr>
          <w:rFonts w:ascii="Verdana" w:hAnsi="Verdana"/>
          <w:color w:val="595959" w:themeColor="text1" w:themeTint="A6"/>
          <w:sz w:val="20"/>
          <w:szCs w:val="20"/>
        </w:rPr>
        <w:t>yniki ogólnopolskiego</w:t>
      </w:r>
      <w:r w:rsidRPr="009244CE">
        <w:rPr>
          <w:rFonts w:ascii="Verdana" w:hAnsi="Verdana"/>
          <w:color w:val="595959" w:themeColor="text1" w:themeTint="A6"/>
          <w:sz w:val="20"/>
          <w:szCs w:val="20"/>
        </w:rPr>
        <w:t xml:space="preserve"> badania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„Dlacz</w:t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ego edukacja żywieniowa dzieci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 Polsce jest potrzebna?”</w:t>
      </w:r>
      <w:r w:rsidRPr="009244CE">
        <w:rPr>
          <w:rStyle w:val="Odwoanieprzypisudolnego"/>
          <w:rFonts w:ascii="Verdana" w:eastAsia="Calibri" w:hAnsi="Verdana" w:cs="Arial"/>
          <w:color w:val="595959" w:themeColor="text1" w:themeTint="A6"/>
          <w:sz w:val="20"/>
          <w:szCs w:val="20"/>
        </w:rPr>
        <w:footnoteReference w:id="1"/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  <w:szCs w:val="20"/>
        </w:rPr>
        <w:t>wskazują, że w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 regionie </w:t>
      </w:r>
      <w:r>
        <w:rPr>
          <w:rFonts w:ascii="Verdana" w:hAnsi="Verdana" w:cs="Times New Roman"/>
          <w:color w:val="595959" w:themeColor="text1" w:themeTint="A6"/>
          <w:sz w:val="20"/>
        </w:rPr>
        <w:t xml:space="preserve">Południowo-Zachodnim wykazano 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niższą niż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664C7F">
        <w:rPr>
          <w:rFonts w:ascii="Verdana" w:hAnsi="Verdana"/>
          <w:color w:val="595959" w:themeColor="text1" w:themeTint="A6"/>
          <w:sz w:val="20"/>
        </w:rPr>
        <w:t>w innych regionach liczbę dzieci z niedowagą i tych z prawidłową masą ciała oraz wyższą niż w innych regionach liczbę dzieci z nadwagą</w:t>
      </w:r>
      <w:r>
        <w:rPr>
          <w:rFonts w:ascii="Verdana" w:hAnsi="Verdana"/>
          <w:color w:val="595959" w:themeColor="text1" w:themeTint="A6"/>
          <w:sz w:val="20"/>
        </w:rPr>
        <w:t xml:space="preserve">. </w:t>
      </w:r>
      <w:r w:rsidR="00320628">
        <w:rPr>
          <w:rFonts w:ascii="Verdana" w:hAnsi="Verdana"/>
          <w:color w:val="595959" w:themeColor="text1" w:themeTint="A6"/>
          <w:sz w:val="20"/>
        </w:rPr>
        <w:t>Zauważono</w:t>
      </w:r>
      <w:r w:rsidRPr="00D729A4">
        <w:rPr>
          <w:rFonts w:ascii="Verdana" w:hAnsi="Verdana"/>
          <w:color w:val="595959" w:themeColor="text1" w:themeTint="A6"/>
          <w:sz w:val="20"/>
        </w:rPr>
        <w:t xml:space="preserve"> także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</w:rPr>
        <w:t>większą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różnicę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664C7F">
        <w:rPr>
          <w:rFonts w:ascii="Verdana" w:hAnsi="Verdana"/>
          <w:color w:val="595959" w:themeColor="text1" w:themeTint="A6"/>
          <w:sz w:val="20"/>
        </w:rPr>
        <w:t xml:space="preserve">w odpowiedziach </w:t>
      </w:r>
      <w:r>
        <w:rPr>
          <w:rFonts w:ascii="Verdana" w:hAnsi="Verdana"/>
          <w:color w:val="595959" w:themeColor="text1" w:themeTint="A6"/>
          <w:sz w:val="20"/>
        </w:rPr>
        <w:t>pomiędzy dziećmi i ich matkami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w kwestii częstotliwości jedzenia słodyczy – dzie</w:t>
      </w:r>
      <w:r w:rsidR="00320628">
        <w:rPr>
          <w:rFonts w:ascii="Verdana" w:hAnsi="Verdana"/>
          <w:color w:val="595959" w:themeColor="text1" w:themeTint="A6"/>
          <w:sz w:val="20"/>
        </w:rPr>
        <w:t>ci deklarowały jedzenie słodkich przekąsek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częściej, niż deklarowały </w:t>
      </w:r>
      <w:r w:rsidR="009540DB">
        <w:rPr>
          <w:rFonts w:ascii="Verdana" w:hAnsi="Verdana"/>
          <w:color w:val="595959" w:themeColor="text1" w:themeTint="A6"/>
          <w:sz w:val="20"/>
        </w:rPr>
        <w:br/>
      </w:r>
      <w:r w:rsidRPr="00664C7F">
        <w:rPr>
          <w:rFonts w:ascii="Verdana" w:hAnsi="Verdana"/>
          <w:color w:val="595959" w:themeColor="text1" w:themeTint="A6"/>
          <w:sz w:val="20"/>
        </w:rPr>
        <w:t xml:space="preserve">to matki. Ponadto, wykazano wyższą niż w innych regionach liczbę dzieci i matek, które 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664C7F">
        <w:rPr>
          <w:rFonts w:ascii="Verdana" w:hAnsi="Verdana"/>
          <w:color w:val="595959" w:themeColor="text1" w:themeTint="A6"/>
          <w:sz w:val="20"/>
        </w:rPr>
        <w:t xml:space="preserve">do </w:t>
      </w:r>
      <w:r>
        <w:rPr>
          <w:rFonts w:ascii="Verdana" w:hAnsi="Verdana"/>
          <w:color w:val="595959" w:themeColor="text1" w:themeTint="A6"/>
          <w:sz w:val="20"/>
        </w:rPr>
        <w:t>napojów dodają dużą ilość cukru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. Co więcej, w tym rejonie wykazano niższą niż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664C7F">
        <w:rPr>
          <w:rFonts w:ascii="Verdana" w:hAnsi="Verdana"/>
          <w:color w:val="595959" w:themeColor="text1" w:themeTint="A6"/>
          <w:sz w:val="20"/>
        </w:rPr>
        <w:t xml:space="preserve">w innych lokacjach liczbę dzieci </w:t>
      </w:r>
      <w:r>
        <w:rPr>
          <w:rFonts w:ascii="Verdana" w:hAnsi="Verdana"/>
          <w:color w:val="595959" w:themeColor="text1" w:themeTint="A6"/>
          <w:sz w:val="20"/>
        </w:rPr>
        <w:t>aktywnych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fizycz</w:t>
      </w:r>
      <w:r>
        <w:rPr>
          <w:rFonts w:ascii="Verdana" w:hAnsi="Verdana"/>
          <w:color w:val="595959" w:themeColor="text1" w:themeTint="A6"/>
          <w:sz w:val="20"/>
        </w:rPr>
        <w:t>nie w czasie wolnym – te wszystkie czynniki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</w:rPr>
        <w:t xml:space="preserve">mogą </w:t>
      </w:r>
      <w:r w:rsidRPr="00664C7F">
        <w:rPr>
          <w:rFonts w:ascii="Verdana" w:hAnsi="Verdana"/>
          <w:color w:val="595959" w:themeColor="text1" w:themeTint="A6"/>
          <w:sz w:val="20"/>
        </w:rPr>
        <w:t xml:space="preserve">negatywnie wpływać na ich </w:t>
      </w:r>
      <w:r>
        <w:rPr>
          <w:rFonts w:ascii="Verdana" w:hAnsi="Verdana"/>
          <w:color w:val="595959" w:themeColor="text1" w:themeTint="A6"/>
          <w:sz w:val="20"/>
        </w:rPr>
        <w:t xml:space="preserve">nieprawidłową </w:t>
      </w:r>
      <w:r w:rsidRPr="00664C7F">
        <w:rPr>
          <w:rFonts w:ascii="Verdana" w:hAnsi="Verdana"/>
          <w:color w:val="595959" w:themeColor="text1" w:themeTint="A6"/>
          <w:sz w:val="20"/>
        </w:rPr>
        <w:t>masę ciała.</w:t>
      </w:r>
    </w:p>
    <w:p w:rsidR="009B3460" w:rsidRDefault="009B3460" w:rsidP="009B3460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:rsidR="009B3460" w:rsidRDefault="009B3460" w:rsidP="009B3460">
      <w:pPr>
        <w:spacing w:after="0"/>
        <w:jc w:val="both"/>
        <w:rPr>
          <w:rFonts w:ascii="Verdana" w:hAnsi="Verdana" w:cs="Times New Roman"/>
          <w:color w:val="595959" w:themeColor="text1" w:themeTint="A6"/>
          <w:sz w:val="20"/>
        </w:rPr>
      </w:pPr>
      <w:r w:rsidRPr="00F077D2">
        <w:rPr>
          <w:rFonts w:ascii="Verdana" w:hAnsi="Verdana" w:cs="Times New Roman"/>
          <w:color w:val="595959" w:themeColor="text1" w:themeTint="A6"/>
          <w:sz w:val="20"/>
        </w:rPr>
        <w:t xml:space="preserve">Warto dodać, że wyniki ogólnopolskiego badania „Dlaczego edukacja żywieniowa dzieci </w:t>
      </w:r>
      <w:r>
        <w:rPr>
          <w:rFonts w:ascii="Verdana" w:hAnsi="Verdana" w:cs="Times New Roman"/>
          <w:color w:val="595959" w:themeColor="text1" w:themeTint="A6"/>
          <w:sz w:val="20"/>
        </w:rPr>
        <w:br/>
      </w:r>
      <w:r w:rsidRPr="00F077D2">
        <w:rPr>
          <w:rFonts w:ascii="Verdana" w:hAnsi="Verdana" w:cs="Times New Roman"/>
          <w:color w:val="595959" w:themeColor="text1" w:themeTint="A6"/>
          <w:sz w:val="20"/>
        </w:rPr>
        <w:t>w Polsce jest potrzebna?” wykazały, że w skali kraju, co szóste przebadane dziecko charakteryzuje się nadmierną masą ciała, a co ósme ma niedowagę. Problem nadmiernej masy ciała częściej dotyczy dzieci młodszych (7-9 lat) niż starszych (10-12 lat). Jednak nie wszędzie sytuacja ta wygląda tak samo.</w:t>
      </w:r>
    </w:p>
    <w:p w:rsidR="009B3460" w:rsidRPr="004A7182" w:rsidRDefault="009B3460" w:rsidP="009B3460">
      <w:pPr>
        <w:spacing w:after="0"/>
        <w:jc w:val="both"/>
        <w:rPr>
          <w:rFonts w:ascii="Verdana" w:hAnsi="Verdana" w:cs="Times New Roman"/>
          <w:color w:val="595959" w:themeColor="text1" w:themeTint="A6"/>
          <w:sz w:val="20"/>
        </w:rPr>
      </w:pPr>
    </w:p>
    <w:p w:rsidR="009244CE" w:rsidRPr="009244CE" w:rsidRDefault="009244CE" w:rsidP="008062EA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9244CE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Zrealizowane na potrzeby projektu badanie „Dlaczego edukacja żywieniowa dzieci </w:t>
      </w:r>
      <w:r w:rsidRPr="009244CE">
        <w:rPr>
          <w:rFonts w:ascii="Verdana" w:eastAsia="Calibri" w:hAnsi="Verdana" w:cs="Arial"/>
          <w:i/>
          <w:color w:val="595959" w:themeColor="text1" w:themeTint="A6"/>
          <w:sz w:val="20"/>
        </w:rPr>
        <w:br/>
        <w:t>w Polsce jest potrzeba?” pokazało nam,</w:t>
      </w:r>
      <w:r w:rsidR="004D05E9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że dużo </w:t>
      </w:r>
      <w:r w:rsidRPr="009244CE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jest jeszcze do zrobienia w kwestii edukacji żywieniowej – nie tylko dzieci, ale także ich rodziców. Mimo faktu, że dwie pierwsze edycje programu „ABC Zdrowego Żywienia”, zrealizowanego dzięki grantowi Fundacji Carrefour, przyniosły zauważalny wzrost świadomości żywieniowej osób uczestniczących w warsztatach, to wciąż widoczna jest potrzeba dalszego kształcenia </w:t>
      </w:r>
      <w:r w:rsidRPr="009244CE">
        <w:rPr>
          <w:rFonts w:ascii="Verdana" w:eastAsia="Calibri" w:hAnsi="Verdana" w:cs="Arial"/>
          <w:i/>
          <w:color w:val="595959" w:themeColor="text1" w:themeTint="A6"/>
          <w:sz w:val="20"/>
        </w:rPr>
        <w:br/>
        <w:t xml:space="preserve">w tym zakresie – </w:t>
      </w:r>
      <w:r w:rsidRPr="009244CE">
        <w:rPr>
          <w:rFonts w:ascii="Verdana" w:eastAsia="Calibri" w:hAnsi="Verdana" w:cs="Arial"/>
          <w:color w:val="595959" w:themeColor="text1" w:themeTint="A6"/>
          <w:sz w:val="20"/>
        </w:rPr>
        <w:t xml:space="preserve">powiedziała prof. dr hab. Krystyna Gutkowska, Dziekan Wydziału Nauk </w:t>
      </w:r>
      <w:r w:rsidRPr="009244CE">
        <w:rPr>
          <w:rFonts w:ascii="Verdana" w:eastAsia="Calibri" w:hAnsi="Verdana" w:cs="Arial"/>
          <w:color w:val="595959" w:themeColor="text1" w:themeTint="A6"/>
          <w:sz w:val="20"/>
        </w:rPr>
        <w:br/>
        <w:t xml:space="preserve">o Żywieniu Człowieka i Konsumpcji SGGW, koordynator projektu „ABC Zdrowego Żywienia”. </w:t>
      </w:r>
    </w:p>
    <w:p w:rsidR="009B3460" w:rsidRDefault="009B3460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9B3460" w:rsidRDefault="009B3460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9244CE" w:rsidRPr="009244CE" w:rsidRDefault="0030051A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lastRenderedPageBreak/>
        <w:t>„</w:t>
      </w:r>
      <w:r w:rsidR="009244CE" w:rsidRPr="009244CE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 Zdrowego Żywienia</w:t>
      </w: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 w:rsidR="00C757BC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w tym roku dotrze do dzieci z </w:t>
      </w:r>
      <w:r w:rsidR="007631CA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Wrocławia i Psar</w:t>
      </w:r>
    </w:p>
    <w:p w:rsidR="00306758" w:rsidRPr="009244CE" w:rsidRDefault="00306758" w:rsidP="008062EA">
      <w:pPr>
        <w:jc w:val="both"/>
        <w:rPr>
          <w:rFonts w:ascii="Verdana" w:eastAsia="Calibri" w:hAnsi="Verdana" w:cs="Arial"/>
          <w:color w:val="595959" w:themeColor="text1" w:themeTint="A6"/>
          <w:sz w:val="20"/>
          <w:lang w:eastAsia="en-US"/>
        </w:rPr>
      </w:pP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tegorocznej edycji</w:t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z regionu Dolnego Śląska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udział w zajęciach </w:t>
      </w:r>
      <w:r w:rsid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biorą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dzieci ze Szkoły Podstawowej nr </w:t>
      </w:r>
      <w:r w:rsidR="004E16E9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71, Szkoły Podstawowej nr 17, </w:t>
      </w:r>
      <w:bookmarkStart w:id="0" w:name="_GoBack"/>
      <w:bookmarkEnd w:id="0"/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Szkoły Podstawowej </w:t>
      </w:r>
      <w:r w:rsidR="009540DB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nr 63 z Wrocławia oraz Szkoły Podstawowej w Psarach. 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Zajęcia w tych szkołach prowadzą specjaliści z Wydziału</w:t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Biotechnologii i Nauk o Żywności Uniwersytetu Przyrodniczego </w:t>
      </w:r>
      <w:r w:rsidR="00DB7172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we Wrocławiu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</w:t>
      </w:r>
      <w:r w:rsidR="00DA6EB4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jednostki będącej od początku partnerem w realizacji programu. Pracownicy z tego Wydziału </w:t>
      </w:r>
      <w:r w:rsid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przybliżają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dzieciom zasady zdrowego odżywienia oraz higieny</w:t>
      </w:r>
      <w:r w:rsid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przygotowania posiłków</w:t>
      </w:r>
      <w:r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.</w:t>
      </w:r>
      <w:r w:rsid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AA614B" w:rsidRPr="00AA614B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zajęciach uczestniczyć będą również dzieci pochodzące ze środowisk o trudnej sytuacji materialnej. Dzieci te wymagają szczególnej troski w zakresie prawidłowego żywienia, ponieważ ze względu na nienajlepszą sytuację ekonomiczną swoich rodzin są bardziej narażone na gorsze jakościowo odżywianie.</w:t>
      </w:r>
      <w:r w:rsidR="00AA614B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3824AC" w:rsidRP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Trzecia edycja programu „ABC Zdrowego Żywienia” skierowana jest do uczniów klas drugich</w:t>
      </w:r>
      <w:r w:rsidR="00AA614B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i trzecich szkół podstawowych</w:t>
      </w:r>
      <w:r w:rsidR="003824AC" w:rsidRPr="003824A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. Celem tej edycji będzie upowszechnienie zasad prawidłowego żywienia, właściwego wyboru produktów polecanych dla dzieci, zasad higieny oraz roli żywienia w prawidłowym rozwoju psychofizycznym. </w:t>
      </w:r>
      <w:r w:rsidR="008062EA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Zajęcia </w:t>
      </w:r>
      <w:r w:rsidR="00FE63F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uzupełnią</w:t>
      </w:r>
      <w:r w:rsidR="008062E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atrakcyjn</w:t>
      </w:r>
      <w:r w:rsidR="00FE63F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e</w:t>
      </w:r>
      <w:r w:rsidR="008062EA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materiał</w:t>
      </w:r>
      <w:r w:rsidR="00FE63F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y</w:t>
      </w:r>
      <w:r w:rsidR="008062EA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FE63F6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edukacyjn</w:t>
      </w:r>
      <w:r w:rsidR="00FE63F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e</w:t>
      </w:r>
      <w:r w:rsidR="00FE63F6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przygotowan</w:t>
      </w:r>
      <w:r w:rsidR="00FE63F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e</w:t>
      </w:r>
      <w:r w:rsidR="00FE63F6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8062EA" w:rsidRPr="009244CE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specjalnie na pot</w:t>
      </w:r>
      <w:r w:rsidR="00A45DC0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rzeby </w:t>
      </w:r>
      <w:r w:rsidR="005268B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warsztatów </w:t>
      </w:r>
      <w:r w:rsidR="00742C71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p</w:t>
      </w:r>
      <w:r w:rsidR="005268B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rogramu </w:t>
      </w:r>
      <w:r w:rsidR="0030051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„</w:t>
      </w:r>
      <w:r w:rsidR="005268B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ABC Zdrowego Żywienia</w:t>
      </w:r>
      <w:r w:rsidR="0030051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”</w:t>
      </w:r>
      <w:r w:rsidR="00EE3D9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. </w:t>
      </w:r>
    </w:p>
    <w:p w:rsidR="00DA62F5" w:rsidRPr="006131E0" w:rsidRDefault="00C757BC" w:rsidP="00F2081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9244CE">
        <w:rPr>
          <w:rFonts w:ascii="Verdana" w:eastAsia="Calibri" w:hAnsi="Verdana" w:cs="Arial"/>
          <w:i/>
          <w:color w:val="595959" w:themeColor="text1" w:themeTint="A6"/>
          <w:sz w:val="20"/>
        </w:rPr>
        <w:t>–</w:t>
      </w:r>
      <w:r w:rsidR="00EB1280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</w:t>
      </w:r>
      <w:r w:rsidR="00EA2BCA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Wyniki przeprowadzonego badania „Dlaczego edukacja żywieniowa dzieci w Polsce jest potrzeba” pokazały, że w szczególności nasz region wymaga inwestycji w programy edukacyjne dotyczące zdrowego odżywiania. </w:t>
      </w:r>
      <w:r w:rsid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Niepokojące w przypadku regionu Południowo-Zachodniego jest </w:t>
      </w:r>
      <w:r w:rsidR="00320628">
        <w:rPr>
          <w:rFonts w:ascii="Verdana" w:eastAsia="Calibri" w:hAnsi="Verdana" w:cs="Arial"/>
          <w:i/>
          <w:color w:val="595959" w:themeColor="text1" w:themeTint="A6"/>
          <w:sz w:val="20"/>
        </w:rPr>
        <w:t>duże spożycie</w:t>
      </w:r>
      <w:r w:rsid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cukru, zarówno w postaci słodyczy</w:t>
      </w:r>
      <w:r w:rsidR="003824AC">
        <w:rPr>
          <w:rFonts w:ascii="Verdana" w:eastAsia="Calibri" w:hAnsi="Verdana" w:cs="Arial"/>
          <w:i/>
          <w:color w:val="595959" w:themeColor="text1" w:themeTint="A6"/>
          <w:sz w:val="20"/>
        </w:rPr>
        <w:t>,</w:t>
      </w:r>
      <w:r w:rsid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jak </w:t>
      </w:r>
      <w:r w:rsidR="009540DB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i </w:t>
      </w:r>
      <w:r w:rsidR="00CF7DE2">
        <w:rPr>
          <w:rFonts w:ascii="Verdana" w:eastAsia="Calibri" w:hAnsi="Verdana" w:cs="Arial"/>
          <w:i/>
          <w:color w:val="595959" w:themeColor="text1" w:themeTint="A6"/>
          <w:sz w:val="20"/>
        </w:rPr>
        <w:t>słodzonych</w:t>
      </w:r>
      <w:r w:rsid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napojów, a także mniejsza niż w innych lokalizacjach aktywność fizyczna. </w:t>
      </w:r>
      <w:r w:rsidR="00CF7DE2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Liczę, że program „ABC Zdrowego Żywienia” uświadomi dzieciom jak istotne jest zdrowe odżywianie i uprawianie sportu </w:t>
      </w:r>
      <w:r w:rsidR="00F20810" w:rsidRPr="006131E0">
        <w:rPr>
          <w:rFonts w:ascii="Verdana" w:eastAsia="Calibri" w:hAnsi="Verdana" w:cs="Arial"/>
          <w:i/>
          <w:color w:val="595959" w:themeColor="text1" w:themeTint="A6"/>
          <w:sz w:val="20"/>
          <w:lang w:eastAsia="en-US"/>
        </w:rPr>
        <w:t xml:space="preserve">– </w:t>
      </w:r>
      <w:r w:rsidR="00F20810" w:rsidRPr="00306758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powiedziała </w:t>
      </w:r>
      <w:r w:rsidR="00F20810" w:rsidRPr="006131E0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dr hab. </w:t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Monika </w:t>
      </w:r>
      <w:proofErr w:type="spellStart"/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Bronkowska</w:t>
      </w:r>
      <w:proofErr w:type="spellEnd"/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</w:t>
      </w:r>
      <w:r w:rsidR="00D40A4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7631CA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z Wydziału Biotechnologii i Nauk o Żywności, Katedry Żywienia Człowieka, Uniwersytetu Przyrodniczego we Wrocławiu</w:t>
      </w:r>
      <w:r w:rsidR="00E427CD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, lokalny koordynator programu</w:t>
      </w:r>
      <w:r w:rsidR="00F20810" w:rsidRPr="006131E0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„ABC Zdrowego Żywienia”. </w:t>
      </w:r>
    </w:p>
    <w:p w:rsidR="00D40A46" w:rsidRDefault="00D40A46" w:rsidP="005B15C1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5B15C1" w:rsidRPr="005B15C1" w:rsidRDefault="00170C5E" w:rsidP="005B15C1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Fundacja Carrefour już po raz trzeci wspiera program </w:t>
      </w:r>
      <w:r w:rsidR="0030051A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„</w:t>
      </w:r>
      <w:r w:rsidR="00306758" w:rsidRPr="00306758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</w:t>
      </w: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Zdrowego Żywienia</w:t>
      </w:r>
      <w:r w:rsidR="0030051A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</w:t>
      </w:r>
    </w:p>
    <w:p w:rsidR="00EA2BCA" w:rsidRPr="00EA2BCA" w:rsidRDefault="00EA2BCA" w:rsidP="00EA2BCA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EA2BCA">
        <w:rPr>
          <w:rFonts w:ascii="Verdana" w:eastAsia="Calibri" w:hAnsi="Verdana" w:cs="Arial"/>
          <w:i/>
          <w:color w:val="595959" w:themeColor="text1" w:themeTint="A6"/>
          <w:sz w:val="20"/>
        </w:rPr>
        <w:t>– Carrefour chętnie wspiera wartościowe inicjatywy, które mają realny wpływ na poprawę jakości życia naszych klientów. Program „ABC Zdrowego Żywienia” przynosi właśnie taki efekt i edukuje najmłodsze pokolenie, które ma coraz większy wpływ na decyzje zakup</w:t>
      </w:r>
      <w:r w:rsidR="00320628">
        <w:rPr>
          <w:rFonts w:ascii="Verdana" w:eastAsia="Calibri" w:hAnsi="Verdana" w:cs="Arial"/>
          <w:i/>
          <w:color w:val="595959" w:themeColor="text1" w:themeTint="A6"/>
          <w:sz w:val="20"/>
        </w:rPr>
        <w:t>owe całej rodziny. Mam</w:t>
      </w:r>
      <w:r w:rsidRP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nadzieję, że nasze działania pozwolą nauczyć</w:t>
      </w:r>
      <w:r w:rsidR="00320628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dzieci</w:t>
      </w:r>
      <w:r w:rsidRP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zdrowych nawyków żywieniowych, które zostaną zapamiętane przez </w:t>
      </w:r>
      <w:r w:rsidR="00320628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nie </w:t>
      </w:r>
      <w:r w:rsidRPr="00EA2BCA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na całe życie </w:t>
      </w:r>
      <w:r w:rsidRPr="00EA2BCA">
        <w:rPr>
          <w:rFonts w:ascii="Verdana" w:eastAsia="Calibri" w:hAnsi="Verdana" w:cs="Arial"/>
          <w:color w:val="595959" w:themeColor="text1" w:themeTint="A6"/>
          <w:sz w:val="20"/>
        </w:rPr>
        <w:t xml:space="preserve">– powiedział Robert </w:t>
      </w:r>
      <w:proofErr w:type="spellStart"/>
      <w:r w:rsidRPr="00EA2BCA">
        <w:rPr>
          <w:rFonts w:ascii="Verdana" w:eastAsia="Calibri" w:hAnsi="Verdana" w:cs="Arial"/>
          <w:color w:val="595959" w:themeColor="text1" w:themeTint="A6"/>
          <w:sz w:val="20"/>
        </w:rPr>
        <w:t>Noceń</w:t>
      </w:r>
      <w:proofErr w:type="spellEnd"/>
      <w:r w:rsidRPr="00EA2BCA">
        <w:rPr>
          <w:rFonts w:ascii="Verdana" w:eastAsia="Calibri" w:hAnsi="Verdana" w:cs="Arial"/>
          <w:color w:val="595959" w:themeColor="text1" w:themeTint="A6"/>
          <w:sz w:val="20"/>
        </w:rPr>
        <w:t xml:space="preserve">, Sekretarz Generalny Carrefour Polska. </w:t>
      </w:r>
    </w:p>
    <w:p w:rsidR="003824AC" w:rsidRPr="003824AC" w:rsidRDefault="003824AC" w:rsidP="003824AC">
      <w:pPr>
        <w:jc w:val="both"/>
        <w:rPr>
          <w:rFonts w:ascii="Verdana" w:hAnsi="Verdana"/>
          <w:color w:val="595959" w:themeColor="text1" w:themeTint="A6"/>
          <w:sz w:val="20"/>
          <w:szCs w:val="20"/>
        </w:rPr>
      </w:pPr>
      <w:r w:rsidRPr="003824AC">
        <w:rPr>
          <w:rFonts w:ascii="Verdana" w:hAnsi="Verdana"/>
          <w:color w:val="595959" w:themeColor="text1" w:themeTint="A6"/>
          <w:sz w:val="20"/>
          <w:szCs w:val="20"/>
        </w:rPr>
        <w:t xml:space="preserve">Program „ABC Zdrowego Żywienia” jest realizowany od 2015 roku. Pierwsza edycja, </w:t>
      </w:r>
      <w:r w:rsidR="003E083E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3824AC">
        <w:rPr>
          <w:rFonts w:ascii="Verdana" w:hAnsi="Verdana"/>
          <w:color w:val="595959" w:themeColor="text1" w:themeTint="A6"/>
          <w:sz w:val="20"/>
          <w:szCs w:val="20"/>
        </w:rPr>
        <w:t xml:space="preserve">w ramach której przeprowadzono 240 warsztatów, skierowana była do dzieci i młodzieży oraz osób starszych. Zajęcia edukacyjne obejmowały 5 warsztatów tematycznych. </w:t>
      </w:r>
    </w:p>
    <w:p w:rsidR="002B5981" w:rsidRPr="009244CE" w:rsidRDefault="003824AC" w:rsidP="003824AC">
      <w:pPr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  <w:r w:rsidRPr="003824AC">
        <w:rPr>
          <w:rFonts w:ascii="Verdana" w:hAnsi="Verdana"/>
          <w:color w:val="595959" w:themeColor="text1" w:themeTint="A6"/>
          <w:sz w:val="20"/>
          <w:szCs w:val="20"/>
        </w:rPr>
        <w:t xml:space="preserve">Jej rezultaty, a zwłaszcza wyraźny wzrost świadomości żywieniowej osób uczestniczących w warsztatach, potwierdziły potrzebę kontynuacji działań edukacyjnych dla wzmocnienia uzyskanych efektów. Druga edycja programu „ABC Zdrowego Żywienia”, została zrealizowana w 2016 roku i była skierowana do dzieci ze szkół podstawowych w wieku 11-13 lat. Cykl warsztatów obejmował 3 bloki tematyczne, które realizowane były </w:t>
      </w:r>
      <w:r w:rsidR="003E083E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3824AC">
        <w:rPr>
          <w:rFonts w:ascii="Verdana" w:hAnsi="Verdana"/>
          <w:color w:val="595959" w:themeColor="text1" w:themeTint="A6"/>
          <w:sz w:val="20"/>
          <w:szCs w:val="20"/>
        </w:rPr>
        <w:t xml:space="preserve">w oparciu o specjalnie opracowane scenariusze zajęć. II edycja programu została zrealizowana wspólnie z 7 ośrodkami akademickimi z Krakowa, Wrocławia, Olsztyna, Lublina, Gdyni, Białegostoku i Białej Podlaskiej. W blisko 200 warsztatach edukacyjnych, </w:t>
      </w:r>
      <w:r w:rsidRPr="003824AC">
        <w:rPr>
          <w:rFonts w:ascii="Verdana" w:hAnsi="Verdana"/>
          <w:color w:val="595959" w:themeColor="text1" w:themeTint="A6"/>
          <w:sz w:val="20"/>
          <w:szCs w:val="20"/>
        </w:rPr>
        <w:lastRenderedPageBreak/>
        <w:t xml:space="preserve">przeprowadzonych w ramach programu, wzięło udział ponad 1000 uczniów klas czwartych i piątych, z których ponad 40% wywodziło się z rodzin o trudnej sytuacji materialnej. III edycja programu ponownie skierowana jest do uczniów szkół podstawowych, tym razem klas drugich i trzecich. </w:t>
      </w:r>
      <w:r w:rsidR="00D40A46">
        <w:rPr>
          <w:rFonts w:ascii="Verdana" w:hAnsi="Verdana"/>
          <w:color w:val="595959" w:themeColor="text1" w:themeTint="A6"/>
          <w:sz w:val="20"/>
          <w:szCs w:val="20"/>
        </w:rPr>
        <w:t xml:space="preserve">Organizatorzy szacują, że w zajęciach weźmie udział około 1700 dzieci. </w:t>
      </w:r>
      <w:r w:rsidRPr="003824AC">
        <w:rPr>
          <w:rFonts w:ascii="Verdana" w:hAnsi="Verdana"/>
          <w:color w:val="595959" w:themeColor="text1" w:themeTint="A6"/>
          <w:sz w:val="20"/>
          <w:szCs w:val="20"/>
        </w:rPr>
        <w:t>Tegoroczna edycja, tak jak poprzednie, koordynowana jest przez Wydział Nauk o Żywieniu Człowieka i Konsumpcji Szkoły Głównej Gospodarstwa Wiejskiego w Warszawie i realizowana wspólnie z ośrodkami akademickimi z Krakowa, Wrocławia, Olsztyna, Lublina, Gdyni, Poznania i Białej Podlaskiej. Fundacja Carrefour na trzy edycje programu badawczo-edukacyjnego „ABC Zdrowego Żywienia” przekazała do tej pory łącznie 579 505 euro.</w:t>
      </w:r>
    </w:p>
    <w:p w:rsidR="003E083E" w:rsidRDefault="003E083E" w:rsidP="00EA2BCA">
      <w:pPr>
        <w:spacing w:line="240" w:lineRule="auto"/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</w:p>
    <w:p w:rsidR="00592A9C" w:rsidRPr="00EA2BCA" w:rsidRDefault="00592A9C" w:rsidP="00EA2BCA">
      <w:pPr>
        <w:spacing w:line="240" w:lineRule="auto"/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  <w:r w:rsidRPr="00EA2BCA"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  <w:t>O Wydziale Nauk o Żywieniu Człowieka i Konsumpcji</w:t>
      </w:r>
    </w:p>
    <w:p w:rsidR="00592A9C" w:rsidRPr="00EA2BCA" w:rsidRDefault="00592A9C" w:rsidP="00EA2BCA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Wydział Nauk o Żywieniu Człowieka i Konsumpcji powstał w 1977 r., jako pierwsza w Polsce i w Europie środkowo-wschodniej placówka akademicka </w:t>
      </w:r>
      <w:r w:rsidR="002E5BB7"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prowadząca badania naukowe i dydaktykę </w:t>
      </w: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 zakresie nauki </w:t>
      </w:r>
      <w:r w:rsidR="00F00756"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o żywieniu człowieka. Profil dydaktyczny, w tym edukacyjny oraz badania naukowe Wydziału koncentrują się na żywieniowych uwarunkowaniach zdrowia i jakości życia w wybranych subpopulacjach; optymalizacji postępowania dietetycznego w profilaktyce i terapii różnych schorzeń; rozwiązaniach techniczno-technologicznych sprzyjających innowacyjności i konkurencyjności producentów żywności; kształtowaniu jakości sensorycznej, wartości odżywczej oraz bezpieczeństwa zdrowotnego żywności, a także ochronie i edukacji konsumentów na rynku żywności oraz szeroko pojętej edukacji żywieniowej skierowanej do różnych grup populacyjnych.</w:t>
      </w:r>
    </w:p>
    <w:p w:rsidR="00592A9C" w:rsidRPr="00EA2BCA" w:rsidRDefault="00592A9C" w:rsidP="00EA2BCA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O Carrefour</w:t>
      </w:r>
    </w:p>
    <w:p w:rsidR="00592A9C" w:rsidRPr="00EA2BCA" w:rsidRDefault="00592A9C" w:rsidP="00EA2BCA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omnikanałowa</w:t>
      </w:r>
      <w:proofErr w:type="spellEnd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sieć handlowa, pod szyldem której działa w Polsce ponad 800 sklepów </w:t>
      </w:r>
      <w:r w:rsidR="00A45047"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592A9C" w:rsidRPr="00EA2BCA" w:rsidRDefault="00592A9C" w:rsidP="00EA2BCA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multilokalną</w:t>
      </w:r>
      <w:proofErr w:type="spellEnd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, </w:t>
      </w:r>
      <w:proofErr w:type="spellStart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multiformatową</w:t>
      </w:r>
      <w:proofErr w:type="spellEnd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i </w:t>
      </w:r>
      <w:proofErr w:type="spellStart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multikanałową</w:t>
      </w:r>
      <w:proofErr w:type="spellEnd"/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, obsługującą codziennie 13 milionów klientów na całym świecie.</w:t>
      </w:r>
    </w:p>
    <w:p w:rsidR="00160571" w:rsidRPr="00EA2BCA" w:rsidRDefault="00592A9C" w:rsidP="00EA2BCA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:rsidR="0006480C" w:rsidRPr="00EA2BCA" w:rsidRDefault="0006480C" w:rsidP="00EA2BCA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EA2BCA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Badanie „Dlaczego edukacja żywieniowa dzieci w Polsce jest potrzebna?”</w:t>
      </w:r>
    </w:p>
    <w:p w:rsidR="0006480C" w:rsidRPr="00EA2BCA" w:rsidRDefault="0006480C" w:rsidP="00EA2BCA">
      <w:pPr>
        <w:spacing w:after="0" w:line="240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W ramach projektu </w:t>
      </w:r>
      <w:r w:rsidR="0030051A" w:rsidRPr="00EA2BCA">
        <w:rPr>
          <w:rFonts w:ascii="Verdana" w:hAnsi="Verdana"/>
          <w:color w:val="595959" w:themeColor="text1" w:themeTint="A6"/>
          <w:sz w:val="16"/>
          <w:szCs w:val="16"/>
        </w:rPr>
        <w:t>„</w:t>
      </w:r>
      <w:r w:rsidRPr="00EA2BCA">
        <w:rPr>
          <w:rFonts w:ascii="Verdana" w:hAnsi="Verdana"/>
          <w:color w:val="595959" w:themeColor="text1" w:themeTint="A6"/>
          <w:sz w:val="16"/>
          <w:szCs w:val="16"/>
        </w:rPr>
        <w:t>ABC Zdrowego Żywienia</w:t>
      </w:r>
      <w:r w:rsidR="0030051A" w:rsidRPr="00EA2BCA">
        <w:rPr>
          <w:rFonts w:ascii="Verdana" w:hAnsi="Verdana"/>
          <w:color w:val="595959" w:themeColor="text1" w:themeTint="A6"/>
          <w:sz w:val="16"/>
          <w:szCs w:val="16"/>
        </w:rPr>
        <w:t>”</w:t>
      </w:r>
      <w:r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, na zlecenie </w:t>
      </w:r>
      <w:r w:rsidR="00FE63F6" w:rsidRPr="00EA2BCA">
        <w:rPr>
          <w:rFonts w:ascii="Verdana" w:hAnsi="Verdana"/>
          <w:color w:val="595959" w:themeColor="text1" w:themeTint="A6"/>
          <w:sz w:val="16"/>
          <w:szCs w:val="16"/>
        </w:rPr>
        <w:t>Wydziału Nauk o Żywieniu Człowieka i Konsumpcji SGGW w Warszawie</w:t>
      </w:r>
      <w:r w:rsidR="00E96869"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, </w:t>
      </w:r>
      <w:proofErr w:type="spellStart"/>
      <w:r w:rsidR="00E96869" w:rsidRPr="00EA2BCA">
        <w:rPr>
          <w:rFonts w:ascii="Verdana" w:hAnsi="Verdana"/>
          <w:color w:val="595959" w:themeColor="text1" w:themeTint="A6"/>
          <w:sz w:val="16"/>
          <w:szCs w:val="16"/>
        </w:rPr>
        <w:t>GfK</w:t>
      </w:r>
      <w:proofErr w:type="spellEnd"/>
      <w:r w:rsidR="00E96869"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 Polonia zrealizowała</w:t>
      </w:r>
      <w:r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 ogólnopolskie badanie pt. „Dlaczego edukacja żywieniowa dzieci w Polsce jest potrzebna?”. Przeprowadzone zostało </w:t>
      </w:r>
      <w:r w:rsidR="00FE63F6"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ono </w:t>
      </w:r>
      <w:r w:rsidRPr="00EA2BCA">
        <w:rPr>
          <w:rFonts w:ascii="Verdana" w:hAnsi="Verdana"/>
          <w:color w:val="595959" w:themeColor="text1" w:themeTint="A6"/>
          <w:sz w:val="16"/>
          <w:szCs w:val="16"/>
        </w:rPr>
        <w:t>na próbie 800 dzieci w wieku 7-12 lat i 800 matek</w:t>
      </w:r>
      <w:r w:rsidR="00FE63F6" w:rsidRPr="00EA2BCA">
        <w:rPr>
          <w:rFonts w:ascii="Verdana" w:hAnsi="Verdana"/>
          <w:color w:val="595959" w:themeColor="text1" w:themeTint="A6"/>
          <w:sz w:val="16"/>
          <w:szCs w:val="16"/>
        </w:rPr>
        <w:t>,</w:t>
      </w:r>
      <w:r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 w sierpniu 2017 r. </w:t>
      </w:r>
      <w:r w:rsidR="00E96869"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Badanie sfinansowano </w:t>
      </w:r>
      <w:r w:rsidR="005268BF" w:rsidRPr="00EA2BCA">
        <w:rPr>
          <w:rFonts w:ascii="Verdana" w:hAnsi="Verdana"/>
          <w:color w:val="595959" w:themeColor="text1" w:themeTint="A6"/>
          <w:sz w:val="16"/>
          <w:szCs w:val="16"/>
        </w:rPr>
        <w:t>z</w:t>
      </w:r>
      <w:r w:rsidR="00E96869" w:rsidRPr="00EA2BCA">
        <w:rPr>
          <w:rFonts w:ascii="Verdana" w:hAnsi="Verdana"/>
          <w:color w:val="595959" w:themeColor="text1" w:themeTint="A6"/>
          <w:sz w:val="16"/>
          <w:szCs w:val="16"/>
        </w:rPr>
        <w:t xml:space="preserve"> grantu Fundacji Carrefour.</w:t>
      </w:r>
    </w:p>
    <w:p w:rsidR="0006480C" w:rsidRPr="0006480C" w:rsidRDefault="0006480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0"/>
          <w:szCs w:val="16"/>
        </w:rPr>
      </w:pPr>
    </w:p>
    <w:sectPr w:rsidR="0006480C" w:rsidRPr="0006480C" w:rsidSect="0049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C9" w:rsidRDefault="009B06C9" w:rsidP="00E04AA5">
      <w:pPr>
        <w:spacing w:after="0" w:line="240" w:lineRule="auto"/>
      </w:pPr>
      <w:r>
        <w:separator/>
      </w:r>
    </w:p>
  </w:endnote>
  <w:endnote w:type="continuationSeparator" w:id="0">
    <w:p w:rsidR="009B06C9" w:rsidRDefault="009B06C9" w:rsidP="00E0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C9" w:rsidRDefault="009B06C9" w:rsidP="00E04AA5">
      <w:pPr>
        <w:spacing w:after="0" w:line="240" w:lineRule="auto"/>
      </w:pPr>
      <w:r>
        <w:separator/>
      </w:r>
    </w:p>
  </w:footnote>
  <w:footnote w:type="continuationSeparator" w:id="0">
    <w:p w:rsidR="009B06C9" w:rsidRDefault="009B06C9" w:rsidP="00E04AA5">
      <w:pPr>
        <w:spacing w:after="0" w:line="240" w:lineRule="auto"/>
      </w:pPr>
      <w:r>
        <w:continuationSeparator/>
      </w:r>
    </w:p>
  </w:footnote>
  <w:footnote w:id="1">
    <w:p w:rsidR="009B3460" w:rsidRPr="00C87AE5" w:rsidRDefault="009B3460" w:rsidP="009B3460">
      <w:pPr>
        <w:pStyle w:val="Tekstprzypisudolnego"/>
        <w:ind w:left="142" w:hanging="142"/>
        <w:rPr>
          <w:rFonts w:ascii="Verdana" w:hAnsi="Verdana"/>
          <w:color w:val="595959" w:themeColor="text1" w:themeTint="A6"/>
        </w:rPr>
      </w:pPr>
      <w:r w:rsidRPr="00347EFB">
        <w:rPr>
          <w:rStyle w:val="Odwoanieprzypisudolnego"/>
          <w:rFonts w:ascii="Verdana" w:hAnsi="Verdana"/>
          <w:color w:val="595959" w:themeColor="text1" w:themeTint="A6"/>
          <w:sz w:val="16"/>
        </w:rPr>
        <w:footnoteRef/>
      </w:r>
      <w:r w:rsidRPr="00347EFB">
        <w:rPr>
          <w:rFonts w:ascii="Verdana" w:hAnsi="Verdana"/>
          <w:color w:val="595959" w:themeColor="text1" w:themeTint="A6"/>
          <w:sz w:val="16"/>
        </w:rPr>
        <w:t xml:space="preserve"> Badanie </w:t>
      </w:r>
      <w:proofErr w:type="spellStart"/>
      <w:r w:rsidRPr="00347EFB">
        <w:rPr>
          <w:rFonts w:ascii="Verdana" w:hAnsi="Verdana"/>
          <w:color w:val="595959" w:themeColor="text1" w:themeTint="A6"/>
          <w:sz w:val="16"/>
        </w:rPr>
        <w:t>GfK</w:t>
      </w:r>
      <w:proofErr w:type="spellEnd"/>
      <w:r w:rsidRPr="00347EFB">
        <w:rPr>
          <w:rFonts w:ascii="Verdana" w:hAnsi="Verdana"/>
          <w:color w:val="595959" w:themeColor="text1" w:themeTint="A6"/>
          <w:sz w:val="16"/>
        </w:rPr>
        <w:t xml:space="preserve"> Polonia „Dlaczego edukacja żywieniowa dzieci w Polsce jest potrzebna” przygotowane na zlecenie Wydziału Nauk o Żywieniu Człowieka i Konsumpcji, SGGW w Warszawie (sierpień, 2017)</w:t>
      </w:r>
      <w:r>
        <w:rPr>
          <w:rFonts w:ascii="Verdana" w:hAnsi="Verdana"/>
          <w:color w:val="595959" w:themeColor="text1" w:themeTint="A6"/>
          <w:sz w:val="16"/>
        </w:rPr>
        <w:t>, sfinansowane z grantu Fundacji Carrefour</w:t>
      </w:r>
      <w:r w:rsidRPr="00347EFB">
        <w:rPr>
          <w:rFonts w:ascii="Verdana" w:hAnsi="Verdana"/>
          <w:color w:val="595959" w:themeColor="text1" w:themeTint="A6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173"/>
    <w:multiLevelType w:val="hybridMultilevel"/>
    <w:tmpl w:val="30BE7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E4BD0"/>
    <w:multiLevelType w:val="hybridMultilevel"/>
    <w:tmpl w:val="0B2C0162"/>
    <w:lvl w:ilvl="0" w:tplc="703C45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516DF"/>
    <w:multiLevelType w:val="hybridMultilevel"/>
    <w:tmpl w:val="CF1A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36884"/>
    <w:multiLevelType w:val="hybridMultilevel"/>
    <w:tmpl w:val="B376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97226"/>
    <w:multiLevelType w:val="hybridMultilevel"/>
    <w:tmpl w:val="B76C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396"/>
    <w:multiLevelType w:val="hybridMultilevel"/>
    <w:tmpl w:val="0A826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BD"/>
    <w:rsid w:val="0001068B"/>
    <w:rsid w:val="00024A0C"/>
    <w:rsid w:val="00033081"/>
    <w:rsid w:val="00045BB3"/>
    <w:rsid w:val="0006480C"/>
    <w:rsid w:val="00066F29"/>
    <w:rsid w:val="000913C5"/>
    <w:rsid w:val="00093B0D"/>
    <w:rsid w:val="000A067E"/>
    <w:rsid w:val="000A597F"/>
    <w:rsid w:val="000A7D01"/>
    <w:rsid w:val="000C2717"/>
    <w:rsid w:val="000C63BD"/>
    <w:rsid w:val="000D2DA9"/>
    <w:rsid w:val="00103207"/>
    <w:rsid w:val="00126334"/>
    <w:rsid w:val="00131AAE"/>
    <w:rsid w:val="00146671"/>
    <w:rsid w:val="00160571"/>
    <w:rsid w:val="00167683"/>
    <w:rsid w:val="00170C5E"/>
    <w:rsid w:val="0017263B"/>
    <w:rsid w:val="001773B4"/>
    <w:rsid w:val="001B4727"/>
    <w:rsid w:val="001D3EF5"/>
    <w:rsid w:val="001D65FD"/>
    <w:rsid w:val="001E6C57"/>
    <w:rsid w:val="001F2636"/>
    <w:rsid w:val="00203875"/>
    <w:rsid w:val="00221135"/>
    <w:rsid w:val="00232555"/>
    <w:rsid w:val="00263129"/>
    <w:rsid w:val="0027735F"/>
    <w:rsid w:val="002B5981"/>
    <w:rsid w:val="002E5BB7"/>
    <w:rsid w:val="002F5F04"/>
    <w:rsid w:val="0030051A"/>
    <w:rsid w:val="00306758"/>
    <w:rsid w:val="00320628"/>
    <w:rsid w:val="00330E4B"/>
    <w:rsid w:val="00347EFB"/>
    <w:rsid w:val="00363D30"/>
    <w:rsid w:val="003743D5"/>
    <w:rsid w:val="0037575E"/>
    <w:rsid w:val="0037701D"/>
    <w:rsid w:val="003824AC"/>
    <w:rsid w:val="003868B8"/>
    <w:rsid w:val="003968F1"/>
    <w:rsid w:val="003E0298"/>
    <w:rsid w:val="003E083E"/>
    <w:rsid w:val="0040026F"/>
    <w:rsid w:val="0042161C"/>
    <w:rsid w:val="004334CC"/>
    <w:rsid w:val="004342D3"/>
    <w:rsid w:val="00467DF8"/>
    <w:rsid w:val="004842A2"/>
    <w:rsid w:val="004912D2"/>
    <w:rsid w:val="004A792C"/>
    <w:rsid w:val="004D05E9"/>
    <w:rsid w:val="004E0BBF"/>
    <w:rsid w:val="004E16E9"/>
    <w:rsid w:val="00502570"/>
    <w:rsid w:val="005268BF"/>
    <w:rsid w:val="0053194A"/>
    <w:rsid w:val="005565A0"/>
    <w:rsid w:val="00571EE0"/>
    <w:rsid w:val="00583857"/>
    <w:rsid w:val="00592A9C"/>
    <w:rsid w:val="005B15C1"/>
    <w:rsid w:val="005E3092"/>
    <w:rsid w:val="006131E0"/>
    <w:rsid w:val="00630272"/>
    <w:rsid w:val="00634762"/>
    <w:rsid w:val="0063680F"/>
    <w:rsid w:val="00651C5D"/>
    <w:rsid w:val="00664C7F"/>
    <w:rsid w:val="006717BA"/>
    <w:rsid w:val="006A5052"/>
    <w:rsid w:val="006B6D46"/>
    <w:rsid w:val="006E79E8"/>
    <w:rsid w:val="006F63E9"/>
    <w:rsid w:val="0073485E"/>
    <w:rsid w:val="00734D8D"/>
    <w:rsid w:val="0073574E"/>
    <w:rsid w:val="00742C71"/>
    <w:rsid w:val="00746268"/>
    <w:rsid w:val="007579D2"/>
    <w:rsid w:val="00760DD9"/>
    <w:rsid w:val="007631CA"/>
    <w:rsid w:val="00777111"/>
    <w:rsid w:val="00782369"/>
    <w:rsid w:val="007D5E5F"/>
    <w:rsid w:val="008062EA"/>
    <w:rsid w:val="00836BB4"/>
    <w:rsid w:val="008510C3"/>
    <w:rsid w:val="008559A5"/>
    <w:rsid w:val="00863FC6"/>
    <w:rsid w:val="00871386"/>
    <w:rsid w:val="00885421"/>
    <w:rsid w:val="008A2DB8"/>
    <w:rsid w:val="008C2B35"/>
    <w:rsid w:val="008C32FE"/>
    <w:rsid w:val="008D4C60"/>
    <w:rsid w:val="008E4574"/>
    <w:rsid w:val="00907253"/>
    <w:rsid w:val="009244CE"/>
    <w:rsid w:val="009302AD"/>
    <w:rsid w:val="0093171D"/>
    <w:rsid w:val="00943904"/>
    <w:rsid w:val="009445F7"/>
    <w:rsid w:val="009540DB"/>
    <w:rsid w:val="00982970"/>
    <w:rsid w:val="0098690A"/>
    <w:rsid w:val="00987295"/>
    <w:rsid w:val="009B06C9"/>
    <w:rsid w:val="009B3460"/>
    <w:rsid w:val="009C16C5"/>
    <w:rsid w:val="009C41A4"/>
    <w:rsid w:val="009D7DD6"/>
    <w:rsid w:val="009E0635"/>
    <w:rsid w:val="009F4DFF"/>
    <w:rsid w:val="00A45047"/>
    <w:rsid w:val="00A45DC0"/>
    <w:rsid w:val="00A46FBD"/>
    <w:rsid w:val="00A57D44"/>
    <w:rsid w:val="00A770D0"/>
    <w:rsid w:val="00AA1FF7"/>
    <w:rsid w:val="00AA614B"/>
    <w:rsid w:val="00AF3328"/>
    <w:rsid w:val="00AF3860"/>
    <w:rsid w:val="00B216A1"/>
    <w:rsid w:val="00B21C31"/>
    <w:rsid w:val="00B35540"/>
    <w:rsid w:val="00B36EAC"/>
    <w:rsid w:val="00B705ED"/>
    <w:rsid w:val="00BC31D8"/>
    <w:rsid w:val="00BD17A0"/>
    <w:rsid w:val="00BF0373"/>
    <w:rsid w:val="00BF21A1"/>
    <w:rsid w:val="00BF603C"/>
    <w:rsid w:val="00C0097E"/>
    <w:rsid w:val="00C2159D"/>
    <w:rsid w:val="00C757BC"/>
    <w:rsid w:val="00C85077"/>
    <w:rsid w:val="00C87AE5"/>
    <w:rsid w:val="00C92DAD"/>
    <w:rsid w:val="00CA6357"/>
    <w:rsid w:val="00CB31C4"/>
    <w:rsid w:val="00CF510F"/>
    <w:rsid w:val="00CF7DE2"/>
    <w:rsid w:val="00D328CC"/>
    <w:rsid w:val="00D40A46"/>
    <w:rsid w:val="00D64B95"/>
    <w:rsid w:val="00D65AEB"/>
    <w:rsid w:val="00D710F2"/>
    <w:rsid w:val="00D71C36"/>
    <w:rsid w:val="00D729A4"/>
    <w:rsid w:val="00DA62F5"/>
    <w:rsid w:val="00DA6EB4"/>
    <w:rsid w:val="00DB7172"/>
    <w:rsid w:val="00DC6C35"/>
    <w:rsid w:val="00DD24EC"/>
    <w:rsid w:val="00DE22A0"/>
    <w:rsid w:val="00DE3084"/>
    <w:rsid w:val="00DF3B94"/>
    <w:rsid w:val="00DF7BBB"/>
    <w:rsid w:val="00E04AA5"/>
    <w:rsid w:val="00E3044D"/>
    <w:rsid w:val="00E427CD"/>
    <w:rsid w:val="00E62835"/>
    <w:rsid w:val="00E96869"/>
    <w:rsid w:val="00EA2BCA"/>
    <w:rsid w:val="00EA5C5B"/>
    <w:rsid w:val="00EB1280"/>
    <w:rsid w:val="00ED6868"/>
    <w:rsid w:val="00EE307D"/>
    <w:rsid w:val="00EE3D96"/>
    <w:rsid w:val="00EF5714"/>
    <w:rsid w:val="00F00756"/>
    <w:rsid w:val="00F20810"/>
    <w:rsid w:val="00F359F8"/>
    <w:rsid w:val="00F60EA4"/>
    <w:rsid w:val="00F659FB"/>
    <w:rsid w:val="00F71789"/>
    <w:rsid w:val="00F80908"/>
    <w:rsid w:val="00FA3790"/>
    <w:rsid w:val="00FA3CD4"/>
    <w:rsid w:val="00FB10C7"/>
    <w:rsid w:val="00FC1CD8"/>
    <w:rsid w:val="00FC31F1"/>
    <w:rsid w:val="00FC437F"/>
    <w:rsid w:val="00FD743A"/>
    <w:rsid w:val="00FE63F6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AFB5-0412-4A13-AE89-3F2E258B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Majcher-Stępień</dc:creator>
  <cp:lastModifiedBy>Olga Wółkiewicz</cp:lastModifiedBy>
  <cp:revision>12</cp:revision>
  <cp:lastPrinted>2017-11-03T13:01:00Z</cp:lastPrinted>
  <dcterms:created xsi:type="dcterms:W3CDTF">2017-11-24T14:44:00Z</dcterms:created>
  <dcterms:modified xsi:type="dcterms:W3CDTF">2017-11-29T15:14:00Z</dcterms:modified>
</cp:coreProperties>
</file>