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6D74" w14:textId="4930594D" w:rsidR="00E21835" w:rsidRPr="000558A6" w:rsidRDefault="00E21835" w:rsidP="00315024">
      <w:pPr>
        <w:spacing w:before="240" w:after="24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Warszawa,</w:t>
      </w:r>
      <w:r w:rsidR="008B521E">
        <w:rPr>
          <w:sz w:val="20"/>
          <w:szCs w:val="20"/>
        </w:rPr>
        <w:t>13</w:t>
      </w:r>
      <w:r w:rsidR="00676AEB">
        <w:rPr>
          <w:sz w:val="20"/>
          <w:szCs w:val="20"/>
        </w:rPr>
        <w:t xml:space="preserve"> </w:t>
      </w:r>
      <w:r w:rsidR="00E07D6A">
        <w:rPr>
          <w:sz w:val="20"/>
          <w:szCs w:val="20"/>
        </w:rPr>
        <w:t>września</w:t>
      </w:r>
      <w:r>
        <w:rPr>
          <w:sz w:val="20"/>
          <w:szCs w:val="20"/>
        </w:rPr>
        <w:t xml:space="preserve"> 202</w:t>
      </w:r>
      <w:r w:rsidR="000F34FD">
        <w:rPr>
          <w:sz w:val="20"/>
          <w:szCs w:val="20"/>
        </w:rPr>
        <w:t>1</w:t>
      </w:r>
      <w:r w:rsidR="00C51E11">
        <w:rPr>
          <w:sz w:val="20"/>
          <w:szCs w:val="20"/>
        </w:rPr>
        <w:t xml:space="preserve"> </w:t>
      </w:r>
      <w:r w:rsidRPr="000558A6">
        <w:rPr>
          <w:sz w:val="20"/>
          <w:szCs w:val="20"/>
        </w:rPr>
        <w:t>r.</w:t>
      </w:r>
    </w:p>
    <w:p w14:paraId="4AC58FCD" w14:textId="5372A136" w:rsidR="00C94BEA" w:rsidRDefault="000F016C" w:rsidP="00315024">
      <w:pPr>
        <w:spacing w:before="480" w:after="48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 </w:t>
      </w:r>
      <w:r w:rsidR="00EC0956">
        <w:rPr>
          <w:b/>
          <w:bCs/>
          <w:sz w:val="28"/>
          <w:szCs w:val="28"/>
        </w:rPr>
        <w:t xml:space="preserve">ósmej </w:t>
      </w:r>
      <w:r w:rsidR="00711952">
        <w:rPr>
          <w:b/>
          <w:bCs/>
          <w:sz w:val="28"/>
          <w:szCs w:val="28"/>
        </w:rPr>
        <w:t>firmie</w:t>
      </w:r>
      <w:r>
        <w:rPr>
          <w:b/>
          <w:bCs/>
          <w:sz w:val="28"/>
          <w:szCs w:val="28"/>
        </w:rPr>
        <w:t xml:space="preserve"> MŚP </w:t>
      </w:r>
      <w:r w:rsidR="00AC7A00">
        <w:rPr>
          <w:b/>
          <w:bCs/>
          <w:sz w:val="28"/>
          <w:szCs w:val="28"/>
        </w:rPr>
        <w:t>wiedzie się lepiej</w:t>
      </w:r>
      <w:r w:rsidR="003B68F4">
        <w:rPr>
          <w:b/>
          <w:bCs/>
          <w:sz w:val="28"/>
          <w:szCs w:val="28"/>
        </w:rPr>
        <w:t xml:space="preserve"> </w:t>
      </w:r>
      <w:r w:rsidR="00711952">
        <w:rPr>
          <w:b/>
          <w:bCs/>
          <w:sz w:val="28"/>
          <w:szCs w:val="28"/>
        </w:rPr>
        <w:t xml:space="preserve">niż przed pandemią, co trzecia wciąż stara się przywrócić </w:t>
      </w:r>
      <w:r w:rsidR="00DE6CA4">
        <w:rPr>
          <w:b/>
          <w:bCs/>
          <w:sz w:val="28"/>
          <w:szCs w:val="28"/>
        </w:rPr>
        <w:t xml:space="preserve">utraconą </w:t>
      </w:r>
      <w:r w:rsidR="00711952">
        <w:rPr>
          <w:b/>
          <w:bCs/>
          <w:sz w:val="28"/>
          <w:szCs w:val="28"/>
        </w:rPr>
        <w:t>sprzedaż</w:t>
      </w:r>
    </w:p>
    <w:p w14:paraId="7473E470" w14:textId="4D8B4172" w:rsidR="001D0344" w:rsidRPr="00C94BEA" w:rsidRDefault="002623BE" w:rsidP="00315024">
      <w:pPr>
        <w:spacing w:before="240" w:after="240" w:line="259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>U</w:t>
      </w:r>
      <w:r w:rsidR="00C94BEA" w:rsidRPr="00C94BEA">
        <w:rPr>
          <w:b/>
          <w:bCs/>
          <w:szCs w:val="23"/>
        </w:rPr>
        <w:t>było firm skarżą</w:t>
      </w:r>
      <w:r w:rsidR="00C94BEA">
        <w:rPr>
          <w:b/>
          <w:bCs/>
          <w:szCs w:val="23"/>
        </w:rPr>
        <w:t xml:space="preserve">cych się na </w:t>
      </w:r>
      <w:r w:rsidR="008F713F">
        <w:rPr>
          <w:b/>
          <w:bCs/>
          <w:szCs w:val="23"/>
        </w:rPr>
        <w:t xml:space="preserve">niższe </w:t>
      </w:r>
      <w:r w:rsidR="00555A6D">
        <w:rPr>
          <w:b/>
          <w:bCs/>
          <w:szCs w:val="23"/>
        </w:rPr>
        <w:t xml:space="preserve">obroty </w:t>
      </w:r>
      <w:r w:rsidR="008F713F">
        <w:rPr>
          <w:b/>
          <w:bCs/>
          <w:szCs w:val="23"/>
        </w:rPr>
        <w:t>niż przed pandemią</w:t>
      </w:r>
      <w:r w:rsidR="000F016C">
        <w:rPr>
          <w:b/>
          <w:bCs/>
          <w:szCs w:val="23"/>
        </w:rPr>
        <w:t xml:space="preserve">. </w:t>
      </w:r>
      <w:r w:rsidR="00C94BEA">
        <w:rPr>
          <w:b/>
          <w:bCs/>
          <w:szCs w:val="23"/>
        </w:rPr>
        <w:t xml:space="preserve">Obecnie mówi o tym problemie 31 proc. przedsiębiorstw, 32 proc. informuje, że </w:t>
      </w:r>
      <w:r w:rsidR="00A267E3">
        <w:rPr>
          <w:b/>
          <w:bCs/>
          <w:szCs w:val="23"/>
        </w:rPr>
        <w:t xml:space="preserve">już </w:t>
      </w:r>
      <w:r w:rsidR="00C94BEA">
        <w:rPr>
          <w:b/>
          <w:bCs/>
          <w:szCs w:val="23"/>
        </w:rPr>
        <w:t xml:space="preserve">odbudowało sprzedaż, a 12 procentom podmiotów wiedzie się </w:t>
      </w:r>
      <w:r w:rsidR="00711952">
        <w:rPr>
          <w:b/>
          <w:bCs/>
          <w:szCs w:val="23"/>
        </w:rPr>
        <w:t xml:space="preserve">nawet </w:t>
      </w:r>
      <w:r w:rsidR="00C94BEA">
        <w:rPr>
          <w:b/>
          <w:bCs/>
          <w:szCs w:val="23"/>
        </w:rPr>
        <w:t>lepiej niż przed pojawieniem się Covid-19</w:t>
      </w:r>
      <w:r w:rsidR="00DE6CA4">
        <w:rPr>
          <w:b/>
          <w:bCs/>
          <w:szCs w:val="23"/>
        </w:rPr>
        <w:t xml:space="preserve"> – wy</w:t>
      </w:r>
      <w:r w:rsidR="00DE6CA4" w:rsidRPr="00D432FB">
        <w:rPr>
          <w:b/>
          <w:bCs/>
          <w:szCs w:val="23"/>
        </w:rPr>
        <w:t>nika z badania przeprowadzonego na zlecenie Rejestru Dłużników BIG InfoMonitor</w:t>
      </w:r>
    </w:p>
    <w:p w14:paraId="293144CA" w14:textId="725A81D6" w:rsidR="00A267E3" w:rsidRDefault="00517069" w:rsidP="00315024">
      <w:pPr>
        <w:spacing w:after="120" w:line="259" w:lineRule="auto"/>
        <w:jc w:val="both"/>
        <w:rPr>
          <w:rFonts w:ascii="Calibri" w:eastAsia="Calibri" w:hAnsi="Calibri"/>
          <w:color w:val="161616"/>
          <w:szCs w:val="23"/>
          <w:lang w:eastAsia="en-US"/>
        </w:rPr>
      </w:pPr>
      <w:r w:rsidRPr="00C259C8">
        <w:rPr>
          <w:rFonts w:ascii="Calibri" w:eastAsia="Calibri" w:hAnsi="Calibri"/>
          <w:color w:val="161616"/>
          <w:szCs w:val="23"/>
          <w:lang w:eastAsia="en-US"/>
        </w:rPr>
        <w:t xml:space="preserve">Oczekiwania, że </w:t>
      </w:r>
      <w:r w:rsidR="00EE7259" w:rsidRPr="00C259C8">
        <w:rPr>
          <w:rFonts w:ascii="Calibri" w:eastAsia="Calibri" w:hAnsi="Calibri"/>
          <w:color w:val="161616"/>
          <w:szCs w:val="23"/>
          <w:lang w:eastAsia="en-US"/>
        </w:rPr>
        <w:t xml:space="preserve">negatywny </w:t>
      </w:r>
      <w:r w:rsidRPr="00C259C8">
        <w:rPr>
          <w:rFonts w:ascii="Calibri" w:eastAsia="Calibri" w:hAnsi="Calibri"/>
          <w:color w:val="161616"/>
          <w:szCs w:val="23"/>
          <w:lang w:eastAsia="en-US"/>
        </w:rPr>
        <w:t xml:space="preserve">wpływ pandemii </w:t>
      </w:r>
      <w:r w:rsidR="00EE7259" w:rsidRPr="00C259C8">
        <w:rPr>
          <w:rFonts w:ascii="Calibri" w:eastAsia="Calibri" w:hAnsi="Calibri"/>
          <w:color w:val="161616"/>
          <w:szCs w:val="23"/>
          <w:lang w:eastAsia="en-US"/>
        </w:rPr>
        <w:t xml:space="preserve">na gospodarkę </w:t>
      </w:r>
      <w:r w:rsidRPr="00C259C8">
        <w:rPr>
          <w:rFonts w:ascii="Calibri" w:eastAsia="Calibri" w:hAnsi="Calibri"/>
          <w:color w:val="161616"/>
          <w:szCs w:val="23"/>
          <w:lang w:eastAsia="en-US"/>
        </w:rPr>
        <w:t xml:space="preserve">będzie bardziej trwały </w:t>
      </w:r>
      <w:r w:rsidR="000A00A8" w:rsidRPr="00C259C8">
        <w:rPr>
          <w:rFonts w:ascii="Calibri" w:eastAsia="Calibri" w:hAnsi="Calibri"/>
          <w:color w:val="161616"/>
          <w:szCs w:val="23"/>
          <w:lang w:eastAsia="en-US"/>
        </w:rPr>
        <w:t>nie do końca się sprawdziły</w:t>
      </w:r>
      <w:r w:rsidR="00EE7259" w:rsidRPr="00C259C8">
        <w:rPr>
          <w:rFonts w:ascii="Calibri" w:eastAsia="Calibri" w:hAnsi="Calibri"/>
          <w:color w:val="161616"/>
          <w:szCs w:val="23"/>
          <w:lang w:eastAsia="en-US"/>
        </w:rPr>
        <w:t xml:space="preserve">. </w:t>
      </w:r>
      <w:r w:rsidR="000A00A8" w:rsidRPr="00C259C8">
        <w:rPr>
          <w:rFonts w:ascii="Calibri" w:eastAsia="Calibri" w:hAnsi="Calibri"/>
          <w:color w:val="161616"/>
          <w:szCs w:val="23"/>
          <w:lang w:eastAsia="en-US"/>
        </w:rPr>
        <w:t>PKB w II kw.</w:t>
      </w:r>
      <w:r w:rsidR="006C6392" w:rsidRPr="00C259C8">
        <w:rPr>
          <w:rFonts w:ascii="Calibri" w:eastAsia="Calibri" w:hAnsi="Calibri"/>
          <w:color w:val="161616"/>
          <w:szCs w:val="23"/>
          <w:lang w:eastAsia="en-US"/>
        </w:rPr>
        <w:t xml:space="preserve"> wzrosło </w:t>
      </w:r>
      <w:r w:rsidR="00E30C6C" w:rsidRPr="00C259C8">
        <w:rPr>
          <w:rFonts w:ascii="Calibri" w:eastAsia="Calibri" w:hAnsi="Calibri"/>
          <w:color w:val="161616"/>
          <w:szCs w:val="23"/>
          <w:lang w:eastAsia="en-US"/>
        </w:rPr>
        <w:t>w skali roku</w:t>
      </w:r>
      <w:r w:rsidR="006C6392" w:rsidRPr="00C259C8">
        <w:rPr>
          <w:rFonts w:ascii="Calibri" w:eastAsia="Calibri" w:hAnsi="Calibri"/>
          <w:color w:val="161616"/>
          <w:szCs w:val="23"/>
          <w:lang w:eastAsia="en-US"/>
        </w:rPr>
        <w:t xml:space="preserve"> o</w:t>
      </w:r>
      <w:r w:rsidR="00E30C6C" w:rsidRPr="00C259C8">
        <w:rPr>
          <w:rFonts w:ascii="Calibri" w:eastAsia="Calibri" w:hAnsi="Calibri"/>
          <w:color w:val="161616"/>
          <w:szCs w:val="23"/>
          <w:lang w:eastAsia="en-US"/>
        </w:rPr>
        <w:t xml:space="preserve"> </w:t>
      </w:r>
      <w:r w:rsidR="000A00A8" w:rsidRPr="00C259C8">
        <w:rPr>
          <w:rFonts w:ascii="Calibri" w:eastAsia="Calibri" w:hAnsi="Calibri"/>
          <w:color w:val="161616"/>
          <w:szCs w:val="23"/>
          <w:lang w:eastAsia="en-US"/>
        </w:rPr>
        <w:t>11,1 proc.</w:t>
      </w:r>
      <w:r w:rsidR="00E30C6C" w:rsidRPr="00C259C8">
        <w:rPr>
          <w:rFonts w:ascii="Calibri" w:eastAsia="Calibri" w:hAnsi="Calibri"/>
          <w:color w:val="161616"/>
          <w:szCs w:val="23"/>
          <w:lang w:eastAsia="en-US"/>
        </w:rPr>
        <w:t xml:space="preserve">, a w porównaniu z </w:t>
      </w:r>
      <w:r w:rsidR="006C6392" w:rsidRPr="00C259C8">
        <w:rPr>
          <w:rFonts w:ascii="Calibri" w:eastAsia="Calibri" w:hAnsi="Calibri"/>
          <w:color w:val="161616"/>
          <w:szCs w:val="23"/>
          <w:lang w:eastAsia="en-US"/>
        </w:rPr>
        <w:t xml:space="preserve">I kw. </w:t>
      </w:r>
      <w:r w:rsidR="00F60813" w:rsidRPr="00C259C8">
        <w:rPr>
          <w:rFonts w:ascii="Calibri" w:eastAsia="Calibri" w:hAnsi="Calibri"/>
          <w:color w:val="161616"/>
          <w:szCs w:val="23"/>
          <w:lang w:eastAsia="en-US"/>
        </w:rPr>
        <w:t xml:space="preserve">o </w:t>
      </w:r>
      <w:r w:rsidR="00E30C6C" w:rsidRPr="00C259C8">
        <w:rPr>
          <w:rFonts w:ascii="Calibri" w:eastAsia="Calibri" w:hAnsi="Calibri"/>
          <w:color w:val="161616"/>
          <w:szCs w:val="23"/>
          <w:lang w:eastAsia="en-US"/>
        </w:rPr>
        <w:t>2,1 proc., gł</w:t>
      </w:r>
      <w:r w:rsidR="001D0344" w:rsidRPr="00C259C8">
        <w:rPr>
          <w:rFonts w:ascii="Calibri" w:eastAsia="Calibri" w:hAnsi="Calibri"/>
          <w:color w:val="161616"/>
          <w:szCs w:val="23"/>
          <w:lang w:eastAsia="en-US"/>
        </w:rPr>
        <w:t xml:space="preserve">ównie za sprawą </w:t>
      </w:r>
      <w:r w:rsidR="00E30C6C" w:rsidRPr="00C259C8">
        <w:rPr>
          <w:rFonts w:ascii="Calibri" w:eastAsia="Calibri" w:hAnsi="Calibri"/>
          <w:color w:val="161616"/>
          <w:szCs w:val="23"/>
          <w:lang w:eastAsia="en-US"/>
        </w:rPr>
        <w:t>konsumpcji gospodarstw domowych, która odrobiła już straty sprzed pandemii.</w:t>
      </w:r>
      <w:r w:rsidR="00C94BEA" w:rsidRPr="00C259C8">
        <w:rPr>
          <w:rFonts w:ascii="Calibri" w:eastAsia="Calibri" w:hAnsi="Calibri"/>
          <w:color w:val="161616"/>
          <w:szCs w:val="23"/>
          <w:lang w:eastAsia="en-US"/>
        </w:rPr>
        <w:t xml:space="preserve"> Gospodarka się odbudowuje, ale </w:t>
      </w:r>
      <w:r w:rsidR="001202ED" w:rsidRPr="00C259C8">
        <w:rPr>
          <w:rFonts w:ascii="Calibri" w:eastAsia="Calibri" w:hAnsi="Calibri"/>
          <w:color w:val="161616"/>
          <w:szCs w:val="23"/>
          <w:lang w:eastAsia="en-US"/>
        </w:rPr>
        <w:t xml:space="preserve">w rożnym tempie w różnych obszarach. </w:t>
      </w:r>
    </w:p>
    <w:p w14:paraId="1E77A109" w14:textId="1533DD44" w:rsidR="00555A6D" w:rsidRPr="00C259C8" w:rsidRDefault="00A267E3" w:rsidP="00315024">
      <w:pPr>
        <w:spacing w:after="120" w:line="259" w:lineRule="auto"/>
        <w:jc w:val="both"/>
        <w:rPr>
          <w:rFonts w:ascii="Calibri" w:eastAsia="Calibri" w:hAnsi="Calibri"/>
          <w:color w:val="161616"/>
          <w:szCs w:val="23"/>
          <w:lang w:eastAsia="en-US"/>
        </w:rPr>
      </w:pPr>
      <w:r>
        <w:rPr>
          <w:rFonts w:ascii="Calibri" w:eastAsia="Calibri" w:hAnsi="Calibri"/>
          <w:color w:val="161616"/>
          <w:szCs w:val="23"/>
          <w:lang w:eastAsia="en-US"/>
        </w:rPr>
        <w:t>–</w:t>
      </w:r>
      <w:r w:rsidR="001202ED" w:rsidRPr="00C259C8">
        <w:rPr>
          <w:rFonts w:ascii="Calibri" w:eastAsia="Calibri" w:hAnsi="Calibri"/>
          <w:color w:val="161616"/>
          <w:szCs w:val="23"/>
          <w:lang w:eastAsia="en-US"/>
        </w:rPr>
        <w:t xml:space="preserve"> </w:t>
      </w:r>
      <w:r w:rsidR="001202E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>W rezultacie</w:t>
      </w:r>
      <w:r w:rsidR="00F60813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 xml:space="preserve"> zróżnicowana jest też</w:t>
      </w:r>
      <w:r w:rsidR="001202E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 xml:space="preserve"> s</w:t>
      </w:r>
      <w:r w:rsidR="00555A6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>ytuacja</w:t>
      </w:r>
      <w:r w:rsidR="00C94BEA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 xml:space="preserve"> </w:t>
      </w:r>
      <w:r w:rsidR="00555A6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>przedsiębiorstw. 12 proc. firm ma dziś nawet wyższe obroty niż przed pandemią, 32 proc. udało się przywrócić poziom sprzedaży</w:t>
      </w:r>
      <w:r w:rsidR="001202E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>, a</w:t>
      </w:r>
      <w:r w:rsidR="00555A6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 xml:space="preserve"> 31 proc. </w:t>
      </w:r>
      <w:r w:rsidR="001202E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 xml:space="preserve">nadal </w:t>
      </w:r>
      <w:r w:rsidR="00555A6D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>ma się gorzej, wynika z naszych analiz wśród mikro, małych i średnich firm</w:t>
      </w:r>
      <w:r w:rsidR="00F60813" w:rsidRPr="00C259C8">
        <w:rPr>
          <w:rFonts w:ascii="Calibri" w:eastAsia="Calibri" w:hAnsi="Calibri"/>
          <w:i/>
          <w:iCs/>
          <w:color w:val="161616"/>
          <w:szCs w:val="23"/>
          <w:lang w:eastAsia="en-US"/>
        </w:rPr>
        <w:t xml:space="preserve"> </w:t>
      </w:r>
      <w:r w:rsidR="00555A6D" w:rsidRPr="00C259C8">
        <w:rPr>
          <w:rFonts w:ascii="Calibri" w:eastAsia="Calibri" w:hAnsi="Calibri"/>
          <w:color w:val="161616"/>
          <w:szCs w:val="23"/>
          <w:lang w:eastAsia="en-US"/>
        </w:rPr>
        <w:t xml:space="preserve">– </w:t>
      </w:r>
      <w:r w:rsidR="007E51E1" w:rsidRPr="00C259C8">
        <w:rPr>
          <w:rFonts w:ascii="Calibri" w:eastAsia="Calibri" w:hAnsi="Calibri"/>
          <w:color w:val="161616"/>
          <w:szCs w:val="23"/>
          <w:lang w:eastAsia="en-US"/>
        </w:rPr>
        <w:t>informuje</w:t>
      </w:r>
      <w:r w:rsidR="00555A6D" w:rsidRPr="00C259C8">
        <w:rPr>
          <w:rFonts w:ascii="Calibri" w:eastAsia="Calibri" w:hAnsi="Calibri"/>
          <w:color w:val="161616"/>
          <w:szCs w:val="23"/>
          <w:lang w:eastAsia="en-US"/>
        </w:rPr>
        <w:t xml:space="preserve"> </w:t>
      </w:r>
      <w:r w:rsidR="00555A6D" w:rsidRPr="00C259C8">
        <w:rPr>
          <w:rFonts w:ascii="Calibri" w:eastAsia="Calibri" w:hAnsi="Calibri"/>
          <w:b/>
          <w:bCs/>
          <w:color w:val="161616"/>
          <w:szCs w:val="23"/>
          <w:lang w:eastAsia="en-US"/>
        </w:rPr>
        <w:t>Sławomir Grzelczak</w:t>
      </w:r>
      <w:r w:rsidR="00555A6D" w:rsidRPr="00C259C8">
        <w:rPr>
          <w:rFonts w:ascii="Calibri" w:eastAsia="Calibri" w:hAnsi="Calibri"/>
          <w:color w:val="161616"/>
          <w:szCs w:val="23"/>
          <w:lang w:eastAsia="en-US"/>
        </w:rPr>
        <w:t xml:space="preserve">, prezes BIG InfoMonitor. </w:t>
      </w:r>
    </w:p>
    <w:p w14:paraId="672C6FEB" w14:textId="77777777" w:rsidR="006D56CA" w:rsidRDefault="00C23362" w:rsidP="00315024">
      <w:pPr>
        <w:spacing w:after="120" w:line="259" w:lineRule="auto"/>
        <w:jc w:val="both"/>
        <w:rPr>
          <w:rFonts w:ascii="Calibri" w:hAnsi="Calibri"/>
          <w:bCs/>
          <w:i/>
          <w:sz w:val="16"/>
          <w:szCs w:val="16"/>
        </w:rPr>
      </w:pPr>
      <w:r>
        <w:rPr>
          <w:noProof/>
        </w:rPr>
        <w:drawing>
          <wp:inline distT="0" distB="0" distL="0" distR="0" wp14:anchorId="1B3F0D00" wp14:editId="5CE26C40">
            <wp:extent cx="3006090" cy="3494167"/>
            <wp:effectExtent l="0" t="0" r="381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DFF707-97B8-471D-B683-2633A7E52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5FB661" wp14:editId="47963F05">
            <wp:extent cx="1345565" cy="3283585"/>
            <wp:effectExtent l="0" t="0" r="6985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C2BCA9-429F-4F48-AD0E-82E1E8A2C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1B987" wp14:editId="37372E02">
            <wp:extent cx="1375258" cy="3283585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C2BCA9-429F-4F48-AD0E-82E1E8A2C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163C2B" w14:textId="2ECE7359" w:rsidR="00B738F6" w:rsidRDefault="00B738F6" w:rsidP="00315024">
      <w:pPr>
        <w:spacing w:after="120" w:line="259" w:lineRule="auto"/>
        <w:jc w:val="both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>Źródło: badanie</w:t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Keralla Research dla Rejestru Dłużników BIG InfoMonitor</w:t>
      </w:r>
    </w:p>
    <w:p w14:paraId="46998BA0" w14:textId="4CBDF053" w:rsidR="004D401E" w:rsidRDefault="00FF0BD0" w:rsidP="00315024">
      <w:pPr>
        <w:spacing w:after="120" w:line="259" w:lineRule="auto"/>
        <w:jc w:val="both"/>
        <w:rPr>
          <w:i/>
          <w:iCs/>
        </w:rPr>
      </w:pPr>
      <w:r w:rsidRPr="007E51E1">
        <w:t>Sytuacja</w:t>
      </w:r>
      <w:r w:rsidR="0013669D">
        <w:t>,</w:t>
      </w:r>
      <w:r w:rsidRPr="007E51E1">
        <w:t xml:space="preserve"> w kilka miesięcy od zniesienia lockdow</w:t>
      </w:r>
      <w:r w:rsidR="00D93507" w:rsidRPr="007E51E1">
        <w:t>n</w:t>
      </w:r>
      <w:r w:rsidRPr="007E51E1">
        <w:t>ów pod koniec maja tego roku</w:t>
      </w:r>
      <w:r w:rsidR="0013669D">
        <w:t>,</w:t>
      </w:r>
      <w:r w:rsidRPr="007E51E1">
        <w:t xml:space="preserve"> znacząco się poprawiła, bo </w:t>
      </w:r>
      <w:r w:rsidR="00A032B8" w:rsidRPr="007E51E1">
        <w:t>jeszcze w I i II kw</w:t>
      </w:r>
      <w:r w:rsidRPr="007E51E1">
        <w:t xml:space="preserve">artale na niższą sprzedaż </w:t>
      </w:r>
      <w:r w:rsidR="00A032B8" w:rsidRPr="007E51E1">
        <w:t xml:space="preserve">niż przed marcem 2020 r. </w:t>
      </w:r>
      <w:r w:rsidRPr="007E51E1">
        <w:t>skarżyła się połowa firm sektora MŚP.</w:t>
      </w:r>
      <w:r>
        <w:rPr>
          <w:i/>
          <w:iCs/>
        </w:rPr>
        <w:t xml:space="preserve"> </w:t>
      </w:r>
    </w:p>
    <w:p w14:paraId="3F043D78" w14:textId="5E0F548B" w:rsidR="00DE6CA4" w:rsidRPr="008B521E" w:rsidRDefault="004D401E" w:rsidP="00315024">
      <w:pPr>
        <w:spacing w:after="120" w:line="259" w:lineRule="auto"/>
        <w:jc w:val="both"/>
      </w:pPr>
      <w:r>
        <w:lastRenderedPageBreak/>
        <w:t>–</w:t>
      </w:r>
      <w:r w:rsidR="00711952">
        <w:rPr>
          <w:i/>
          <w:iCs/>
        </w:rPr>
        <w:t xml:space="preserve"> </w:t>
      </w:r>
      <w:r w:rsidR="00450B42" w:rsidRPr="00450B42">
        <w:rPr>
          <w:i/>
          <w:iCs/>
        </w:rPr>
        <w:t xml:space="preserve">Co akurat nie zaskakuje, największą zmianę na lepsze odnotowały firmy usługowe i handlowe, gdzie jeszcze na początku roku niższe niż przed pandemią </w:t>
      </w:r>
      <w:r w:rsidR="00C259C8">
        <w:rPr>
          <w:i/>
          <w:iCs/>
        </w:rPr>
        <w:t xml:space="preserve">obroty </w:t>
      </w:r>
      <w:r w:rsidR="00450B42" w:rsidRPr="00450B42">
        <w:rPr>
          <w:i/>
          <w:iCs/>
        </w:rPr>
        <w:t xml:space="preserve">miało odpowiednio 61 i 52 proc. firm, </w:t>
      </w:r>
      <w:r w:rsidR="00E75866">
        <w:rPr>
          <w:i/>
          <w:iCs/>
        </w:rPr>
        <w:t xml:space="preserve">a </w:t>
      </w:r>
      <w:r w:rsidR="00450B42" w:rsidRPr="00450B42">
        <w:rPr>
          <w:i/>
          <w:iCs/>
        </w:rPr>
        <w:t>teraz</w:t>
      </w:r>
      <w:r w:rsidR="00E75866">
        <w:rPr>
          <w:i/>
          <w:iCs/>
        </w:rPr>
        <w:t xml:space="preserve"> jest to </w:t>
      </w:r>
      <w:r w:rsidR="00450B42" w:rsidRPr="00450B42">
        <w:rPr>
          <w:i/>
          <w:iCs/>
        </w:rPr>
        <w:t>33 i 29 proc.</w:t>
      </w:r>
      <w:r w:rsidR="00450B42">
        <w:t xml:space="preserve"> – </w:t>
      </w:r>
      <w:r w:rsidR="00711952">
        <w:t xml:space="preserve">mówi </w:t>
      </w:r>
      <w:r w:rsidR="00450B42" w:rsidRPr="00084C83">
        <w:rPr>
          <w:b/>
          <w:bCs/>
        </w:rPr>
        <w:t>Sławomir Grzelczak</w:t>
      </w:r>
      <w:r w:rsidR="00084C83" w:rsidRPr="00B738F6">
        <w:t>.</w:t>
      </w:r>
      <w:r w:rsidR="00DE6CA4">
        <w:t xml:space="preserve"> </w:t>
      </w:r>
      <w:r w:rsidR="00DE6CA4">
        <w:rPr>
          <w:b/>
          <w:bCs/>
        </w:rPr>
        <w:t>–</w:t>
      </w:r>
      <w:r w:rsidR="00DE6CA4">
        <w:t xml:space="preserve"> </w:t>
      </w:r>
      <w:r w:rsidR="00DE6CA4" w:rsidRPr="00DE6CA4">
        <w:rPr>
          <w:i/>
          <w:iCs/>
        </w:rPr>
        <w:t>Warto też zauważyć, że część przedsiębiorstw</w:t>
      </w:r>
      <w:r w:rsidR="00DE6CA4" w:rsidRPr="00AC7A00">
        <w:rPr>
          <w:i/>
          <w:iCs/>
        </w:rPr>
        <w:t xml:space="preserve"> </w:t>
      </w:r>
      <w:r w:rsidR="00E75866">
        <w:rPr>
          <w:i/>
          <w:iCs/>
        </w:rPr>
        <w:t xml:space="preserve">istotnie </w:t>
      </w:r>
      <w:r w:rsidR="00DE6CA4" w:rsidRPr="00AC7A00">
        <w:rPr>
          <w:i/>
          <w:iCs/>
        </w:rPr>
        <w:t>skorzystał</w:t>
      </w:r>
      <w:r w:rsidR="00DE6CA4">
        <w:rPr>
          <w:i/>
          <w:iCs/>
        </w:rPr>
        <w:t>a</w:t>
      </w:r>
      <w:r w:rsidR="00DE6CA4" w:rsidRPr="00AC7A00">
        <w:rPr>
          <w:i/>
          <w:iCs/>
        </w:rPr>
        <w:t xml:space="preserve"> na tym, że pojawiły się nowe modele zachowań klientów, </w:t>
      </w:r>
      <w:r w:rsidR="0093438D">
        <w:rPr>
          <w:i/>
          <w:iCs/>
        </w:rPr>
        <w:t>zmienił się p</w:t>
      </w:r>
      <w:r w:rsidR="00DE6CA4" w:rsidRPr="00AC7A00">
        <w:rPr>
          <w:i/>
          <w:iCs/>
        </w:rPr>
        <w:t>opyt na usługi i towary</w:t>
      </w:r>
      <w:r w:rsidR="00E75866">
        <w:rPr>
          <w:i/>
          <w:iCs/>
        </w:rPr>
        <w:t xml:space="preserve">, a jednocześnie </w:t>
      </w:r>
      <w:r w:rsidR="00DE6CA4" w:rsidRPr="00AC7A00">
        <w:rPr>
          <w:i/>
          <w:iCs/>
        </w:rPr>
        <w:t>osłabiła się konkurencja</w:t>
      </w:r>
      <w:r w:rsidR="0093438D">
        <w:rPr>
          <w:i/>
          <w:iCs/>
        </w:rPr>
        <w:t>. Potrafiły z</w:t>
      </w:r>
      <w:r w:rsidR="00E75866">
        <w:rPr>
          <w:i/>
          <w:iCs/>
        </w:rPr>
        <w:t>budowa</w:t>
      </w:r>
      <w:r w:rsidR="0093438D">
        <w:rPr>
          <w:i/>
          <w:iCs/>
        </w:rPr>
        <w:t xml:space="preserve">ć </w:t>
      </w:r>
      <w:r w:rsidR="00E75866">
        <w:rPr>
          <w:i/>
          <w:iCs/>
        </w:rPr>
        <w:t xml:space="preserve">na </w:t>
      </w:r>
      <w:r w:rsidR="0093438D">
        <w:rPr>
          <w:i/>
          <w:iCs/>
        </w:rPr>
        <w:t xml:space="preserve">tym lepszą pozycję </w:t>
      </w:r>
      <w:r w:rsidR="00E75866">
        <w:rPr>
          <w:i/>
          <w:iCs/>
        </w:rPr>
        <w:t>rynk</w:t>
      </w:r>
      <w:r w:rsidR="0093438D">
        <w:rPr>
          <w:i/>
          <w:iCs/>
        </w:rPr>
        <w:t>ową niż ta</w:t>
      </w:r>
      <w:r>
        <w:rPr>
          <w:i/>
          <w:iCs/>
        </w:rPr>
        <w:t>,</w:t>
      </w:r>
      <w:r w:rsidR="0093438D">
        <w:rPr>
          <w:i/>
          <w:iCs/>
        </w:rPr>
        <w:t xml:space="preserve"> którą miały przed nastaniem Covid-19</w:t>
      </w:r>
      <w:r w:rsidR="0093438D" w:rsidRPr="0093438D">
        <w:rPr>
          <w:i/>
          <w:iCs/>
        </w:rPr>
        <w:t xml:space="preserve">. Przedłużająca się pandemia sprzyja im </w:t>
      </w:r>
      <w:r w:rsidR="00DE6CA4" w:rsidRPr="00DE6CA4">
        <w:t>– dodaje</w:t>
      </w:r>
      <w:r w:rsidR="00DE6CA4" w:rsidRPr="004D401E">
        <w:t>.</w:t>
      </w:r>
      <w:r w:rsidR="00DE6CA4" w:rsidRPr="008B521E">
        <w:t xml:space="preserve"> </w:t>
      </w:r>
    </w:p>
    <w:p w14:paraId="5473DFF4" w14:textId="3015F648" w:rsidR="0093438D" w:rsidRDefault="00B7748A" w:rsidP="00315024">
      <w:pPr>
        <w:spacing w:after="240" w:line="259" w:lineRule="auto"/>
        <w:jc w:val="both"/>
        <w:rPr>
          <w:rFonts w:ascii="Calibri" w:hAnsi="Calibri"/>
          <w:bCs/>
          <w:i/>
          <w:sz w:val="16"/>
          <w:szCs w:val="16"/>
        </w:rPr>
      </w:pPr>
      <w:r>
        <w:rPr>
          <w:noProof/>
        </w:rPr>
        <w:drawing>
          <wp:inline distT="0" distB="0" distL="0" distR="0" wp14:anchorId="540FB42D" wp14:editId="798008B2">
            <wp:extent cx="5729844" cy="2743200"/>
            <wp:effectExtent l="0" t="0" r="4445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57E471F-847A-4562-8BD5-2CCA6AE534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hAnsi="Calibri"/>
          <w:bCs/>
          <w:i/>
          <w:sz w:val="16"/>
          <w:szCs w:val="16"/>
        </w:rPr>
        <w:t>Źródło: badanie</w:t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Keralla Research dla Rejestru Dłużników BIG InfoMonitor</w:t>
      </w:r>
    </w:p>
    <w:p w14:paraId="4EB58A21" w14:textId="183CE0FB" w:rsidR="00DE6CA4" w:rsidRPr="0093438D" w:rsidRDefault="0093438D" w:rsidP="00315024">
      <w:pPr>
        <w:spacing w:after="120" w:line="259" w:lineRule="auto"/>
        <w:jc w:val="both"/>
        <w:rPr>
          <w:i/>
          <w:iCs/>
        </w:rPr>
      </w:pPr>
      <w:r>
        <w:t>Gdy p</w:t>
      </w:r>
      <w:r w:rsidR="00DE6CA4">
        <w:t>o ogłoszeniu pierwszych lockdownów</w:t>
      </w:r>
      <w:r>
        <w:t xml:space="preserve"> w ub.r. i podobnie </w:t>
      </w:r>
      <w:r w:rsidR="00DE6CA4">
        <w:t xml:space="preserve">w pierwszej połowie tego roku </w:t>
      </w:r>
      <w:r>
        <w:t xml:space="preserve">było ok. 6 proc. beneficjentów pandemii, </w:t>
      </w:r>
      <w:r w:rsidR="00DE6CA4">
        <w:t xml:space="preserve">teraz takich firm jest już 12 proc. </w:t>
      </w:r>
      <w:r>
        <w:t xml:space="preserve">Kilkanaście miesięcy </w:t>
      </w:r>
      <w:r w:rsidR="00843941">
        <w:t>z </w:t>
      </w:r>
      <w:r>
        <w:t>koronawirusem w tle o</w:t>
      </w:r>
      <w:r w:rsidR="00DE6CA4">
        <w:t>kazał</w:t>
      </w:r>
      <w:r>
        <w:t>o</w:t>
      </w:r>
      <w:r w:rsidR="00DE6CA4">
        <w:t xml:space="preserve"> się najbardziej sprzyjający</w:t>
      </w:r>
      <w:r>
        <w:t xml:space="preserve">mi warunkami </w:t>
      </w:r>
      <w:r w:rsidR="00DE6CA4">
        <w:t xml:space="preserve">dla firm przetwórstwa przemysłowego </w:t>
      </w:r>
      <w:r w:rsidR="00843941">
        <w:t xml:space="preserve">oraz </w:t>
      </w:r>
      <w:r w:rsidR="00DE6CA4">
        <w:t xml:space="preserve">handlowych. W III kw. ub.r. o wyższej sprzedaży niż przed pandemią mówiło 6-7 proc. </w:t>
      </w:r>
      <w:r>
        <w:t>podmiotów z tych branż</w:t>
      </w:r>
      <w:r w:rsidR="00DE6CA4">
        <w:t xml:space="preserve">, teraz deklaruje to już między 16 a 18 proc.   </w:t>
      </w:r>
    </w:p>
    <w:p w14:paraId="19D25D1E" w14:textId="728FC08B" w:rsidR="00711952" w:rsidRPr="00711952" w:rsidRDefault="00711952" w:rsidP="00315024">
      <w:pPr>
        <w:spacing w:after="120" w:line="259" w:lineRule="auto"/>
        <w:jc w:val="both"/>
      </w:pPr>
      <w:r w:rsidRPr="00711952">
        <w:t>Niemal jedna trzecia m</w:t>
      </w:r>
      <w:r w:rsidR="00AC7A00" w:rsidRPr="00711952">
        <w:t xml:space="preserve">ikro, małych i średnich przedsiębiorstw </w:t>
      </w:r>
      <w:r w:rsidRPr="00711952">
        <w:t xml:space="preserve">wciąż jednak zmaga się z </w:t>
      </w:r>
      <w:r w:rsidR="00450B42" w:rsidRPr="00711952">
        <w:t>gorszymi wynikami</w:t>
      </w:r>
      <w:r w:rsidRPr="00711952">
        <w:t xml:space="preserve">. </w:t>
      </w:r>
      <w:r w:rsidR="00450B42">
        <w:t>Firmom, którym nie udało się odbudować sprzedaży do tej pory</w:t>
      </w:r>
      <w:r w:rsidR="00084C83">
        <w:t xml:space="preserve">, </w:t>
      </w:r>
      <w:r w:rsidR="00450B42">
        <w:t xml:space="preserve">bardzo trudno </w:t>
      </w:r>
      <w:r w:rsidR="00843941">
        <w:t>o </w:t>
      </w:r>
      <w:r w:rsidR="00450B42">
        <w:t>optymizm</w:t>
      </w:r>
      <w:r>
        <w:t>, a i</w:t>
      </w:r>
      <w:r w:rsidRPr="00711952">
        <w:t xml:space="preserve">ch sytuację komplikuje fakt, że w powietrzu wisi kolejny lockdown. </w:t>
      </w:r>
    </w:p>
    <w:p w14:paraId="4AC5EC6F" w14:textId="77777777" w:rsidR="00843941" w:rsidRDefault="00450B42" w:rsidP="00315024">
      <w:pPr>
        <w:spacing w:after="120" w:line="259" w:lineRule="auto"/>
        <w:jc w:val="both"/>
      </w:pPr>
      <w:r>
        <w:t>Zdecydowana w</w:t>
      </w:r>
      <w:r w:rsidRPr="00CB2932">
        <w:t xml:space="preserve">iększość </w:t>
      </w:r>
      <w:r w:rsidR="00711952">
        <w:t xml:space="preserve">przedsiębiorców, którym </w:t>
      </w:r>
      <w:r w:rsidR="0093438D">
        <w:t xml:space="preserve">światowa epidemia </w:t>
      </w:r>
      <w:r w:rsidR="00711952">
        <w:t>uszczupliła biznes</w:t>
      </w:r>
      <w:r w:rsidR="00843941">
        <w:t>,</w:t>
      </w:r>
      <w:r w:rsidR="00711952">
        <w:t xml:space="preserve"> ocenia</w:t>
      </w:r>
      <w:r w:rsidRPr="00CB2932">
        <w:t xml:space="preserve">, że </w:t>
      </w:r>
      <w:r w:rsidR="007E51E1">
        <w:t xml:space="preserve">jeśli nie udało się </w:t>
      </w:r>
      <w:r w:rsidR="00711952">
        <w:t>odbudować</w:t>
      </w:r>
      <w:r w:rsidR="007E51E1">
        <w:t xml:space="preserve"> go </w:t>
      </w:r>
      <w:r w:rsidR="00CD4881">
        <w:t>do tej pory</w:t>
      </w:r>
      <w:r w:rsidR="00843941">
        <w:t>,</w:t>
      </w:r>
      <w:r w:rsidR="00CD4881">
        <w:t xml:space="preserve"> to nie ma na to szans również do </w:t>
      </w:r>
      <w:r w:rsidR="007E51E1" w:rsidRPr="00CB2932">
        <w:t xml:space="preserve">końca </w:t>
      </w:r>
      <w:r w:rsidR="007E51E1">
        <w:t xml:space="preserve">bieżącego </w:t>
      </w:r>
      <w:r w:rsidR="007E51E1" w:rsidRPr="00CB2932">
        <w:t>roku</w:t>
      </w:r>
      <w:r w:rsidR="00711952">
        <w:t>.</w:t>
      </w:r>
      <w:r w:rsidRPr="00CB2932">
        <w:t xml:space="preserve"> </w:t>
      </w:r>
      <w:r>
        <w:t xml:space="preserve">O możliwości ponownego osiągania wcześniejszych wyników jeszcze w trzecim kwartale </w:t>
      </w:r>
      <w:r w:rsidR="00CD4881">
        <w:t>2021 r.</w:t>
      </w:r>
      <w:r>
        <w:t xml:space="preserve"> mówi zaledwie 2,6 proc. respondentów, a na czwarty kwartał wskazuje 3,8 proc. </w:t>
      </w:r>
      <w:r w:rsidR="007E51E1">
        <w:t>badanych</w:t>
      </w:r>
      <w:r>
        <w:t xml:space="preserve">. </w:t>
      </w:r>
      <w:r w:rsidR="00E03DEF">
        <w:t>Całkiem sporo, bo jedna czwarta firm nie jest w ogóle w stanie albo też nie chce przewidywać</w:t>
      </w:r>
      <w:r w:rsidR="00D93507">
        <w:t>,</w:t>
      </w:r>
      <w:r w:rsidR="00E03DEF">
        <w:t xml:space="preserve"> kiedy mogłoby to nastąpić. </w:t>
      </w:r>
    </w:p>
    <w:p w14:paraId="4112C7A7" w14:textId="4B9C6B1C" w:rsidR="00450B42" w:rsidRDefault="00D93507" w:rsidP="00315024">
      <w:pPr>
        <w:spacing w:after="120" w:line="259" w:lineRule="auto"/>
        <w:jc w:val="both"/>
      </w:pPr>
      <w:r>
        <w:rPr>
          <w:b/>
          <w:bCs/>
        </w:rPr>
        <w:t>–</w:t>
      </w:r>
      <w:r w:rsidR="00084C83">
        <w:t xml:space="preserve"> </w:t>
      </w:r>
      <w:r w:rsidR="00E03DEF" w:rsidRPr="00084C83">
        <w:rPr>
          <w:i/>
          <w:iCs/>
        </w:rPr>
        <w:t xml:space="preserve">Z jednej strony to </w:t>
      </w:r>
      <w:r w:rsidR="00AC7A00">
        <w:rPr>
          <w:i/>
          <w:iCs/>
        </w:rPr>
        <w:t>wiele</w:t>
      </w:r>
      <w:r w:rsidR="00E03DEF" w:rsidRPr="00084C83">
        <w:rPr>
          <w:i/>
          <w:iCs/>
        </w:rPr>
        <w:t>, ale na początku roku przy połowie firm z niższymi obrotami niż przed pandemią</w:t>
      </w:r>
      <w:r w:rsidR="00AC7A00">
        <w:rPr>
          <w:i/>
          <w:iCs/>
        </w:rPr>
        <w:t>,</w:t>
      </w:r>
      <w:r w:rsidR="00E03DEF" w:rsidRPr="00084C83">
        <w:rPr>
          <w:i/>
          <w:iCs/>
        </w:rPr>
        <w:t xml:space="preserve"> aż 40 proc. </w:t>
      </w:r>
      <w:r w:rsidR="00084C83" w:rsidRPr="00084C83">
        <w:rPr>
          <w:i/>
          <w:iCs/>
        </w:rPr>
        <w:t xml:space="preserve">z nich </w:t>
      </w:r>
      <w:r w:rsidR="00E03DEF" w:rsidRPr="00084C83">
        <w:rPr>
          <w:i/>
          <w:iCs/>
        </w:rPr>
        <w:t>nie podejmowało się prognozować</w:t>
      </w:r>
      <w:r>
        <w:rPr>
          <w:i/>
          <w:iCs/>
        </w:rPr>
        <w:t>,</w:t>
      </w:r>
      <w:r w:rsidR="00E03DEF" w:rsidRPr="00084C83">
        <w:rPr>
          <w:i/>
          <w:iCs/>
        </w:rPr>
        <w:t xml:space="preserve"> kiedy będzie im lepiej</w:t>
      </w:r>
      <w:r w:rsidR="00084C83">
        <w:t xml:space="preserve"> – zwraca uwagę </w:t>
      </w:r>
      <w:r w:rsidR="00084C83" w:rsidRPr="00B738F6">
        <w:rPr>
          <w:b/>
          <w:bCs/>
        </w:rPr>
        <w:t>Sławomir Grzelczak</w:t>
      </w:r>
      <w:r w:rsidR="00E03DEF">
        <w:t xml:space="preserve">.  </w:t>
      </w:r>
    </w:p>
    <w:p w14:paraId="0882254B" w14:textId="0A9A615E" w:rsidR="00450B42" w:rsidRDefault="00450B42" w:rsidP="00315024">
      <w:pPr>
        <w:spacing w:after="120" w:line="259" w:lineRule="auto"/>
        <w:jc w:val="both"/>
      </w:pPr>
      <w:r>
        <w:lastRenderedPageBreak/>
        <w:t>Z największą nadzieją na końcówkę tego roku patrzą przedstawiciele branży budowlanej, wśród których 12,5 proc. odpowiedziało, że ich firma powróci do kondycji sprzed koronakryzysu</w:t>
      </w:r>
      <w:r w:rsidR="00CD4881">
        <w:t xml:space="preserve"> jeszcze w 2021 r.</w:t>
      </w:r>
      <w:r>
        <w:t xml:space="preserve"> Z pewnością wpływ na taką ocenę ma boom na rynku nieruchomości, a także sezonowość tej branży, która przed nastaniem </w:t>
      </w:r>
      <w:r w:rsidR="00AC7A00">
        <w:t xml:space="preserve">zimy </w:t>
      </w:r>
      <w:r w:rsidR="00084C83">
        <w:t>przyspiesza prace</w:t>
      </w:r>
      <w:r>
        <w:t xml:space="preserve">. </w:t>
      </w:r>
    </w:p>
    <w:p w14:paraId="03DD56A3" w14:textId="52DF71C0" w:rsidR="00450B42" w:rsidRPr="008248E2" w:rsidRDefault="00084C83" w:rsidP="00315024">
      <w:pPr>
        <w:spacing w:after="120" w:line="259" w:lineRule="auto"/>
        <w:jc w:val="both"/>
        <w:rPr>
          <w:color w:val="595959" w:themeColor="text1" w:themeTint="A6"/>
        </w:rPr>
      </w:pPr>
      <w:r>
        <w:t>Ten rok „</w:t>
      </w:r>
      <w:r w:rsidR="00450B42">
        <w:t xml:space="preserve">na straty” spisała natomiast branża transportowa – nikt z jej ankietowanych przedstawicieli nie wymienił </w:t>
      </w:r>
      <w:r>
        <w:t xml:space="preserve">najbliższych miesięcy </w:t>
      </w:r>
      <w:r w:rsidR="00450B42">
        <w:t xml:space="preserve">jako terminu powrotu do wcześniejszej kondycji, nie wspomniał </w:t>
      </w:r>
      <w:r>
        <w:t xml:space="preserve">też </w:t>
      </w:r>
      <w:r w:rsidR="00450B42">
        <w:t xml:space="preserve">o pierwszym kwartale przyszłego roku. Najczęściej (40 proc.) spodziewają się, że ich przedsiębiorstwo wróci na wcześniejszy poziom </w:t>
      </w:r>
      <w:r w:rsidR="007E51E1">
        <w:t xml:space="preserve">obrotów </w:t>
      </w:r>
      <w:r w:rsidR="00450B42">
        <w:t>w drugim kwartale przyszłego roku, a co trzeci stwierdził, że w ogóle do tego nie dojdzie. Według co dziesiątego ankietowanego w tym sektorze, poprawa mogłaby nastąpić dopiero po zniesieniu wszelki</w:t>
      </w:r>
      <w:r w:rsidR="007E51E1">
        <w:t xml:space="preserve">ego rodzaju </w:t>
      </w:r>
      <w:r w:rsidR="00450B42">
        <w:t>ograniczeń</w:t>
      </w:r>
      <w:r w:rsidR="00450B42" w:rsidRPr="008248E2">
        <w:rPr>
          <w:color w:val="595959" w:themeColor="text1" w:themeTint="A6"/>
        </w:rPr>
        <w:t>.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602"/>
        <w:gridCol w:w="840"/>
        <w:gridCol w:w="1055"/>
        <w:gridCol w:w="1142"/>
        <w:gridCol w:w="737"/>
        <w:gridCol w:w="928"/>
      </w:tblGrid>
      <w:tr w:rsidR="0025620A" w:rsidRPr="0025620A" w14:paraId="08FDEB48" w14:textId="77777777" w:rsidTr="00AC7A00">
        <w:trPr>
          <w:trHeight w:val="300"/>
        </w:trPr>
        <w:tc>
          <w:tcPr>
            <w:tcW w:w="8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996" w14:textId="77777777" w:rsidR="00AC7A00" w:rsidRPr="008248E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smallCaps/>
                <w:color w:val="595959" w:themeColor="text1" w:themeTint="A6"/>
                <w:sz w:val="20"/>
                <w:szCs w:val="28"/>
              </w:rPr>
            </w:pPr>
            <w:r w:rsidRPr="008248E2">
              <w:rPr>
                <w:rFonts w:ascii="Calibri" w:hAnsi="Calibri" w:cs="Calibri"/>
                <w:b/>
                <w:bCs/>
                <w:smallCaps/>
                <w:color w:val="595959" w:themeColor="text1" w:themeTint="A6"/>
                <w:sz w:val="20"/>
                <w:szCs w:val="28"/>
              </w:rPr>
              <w:t>Kiedy Państwa firmy powróci do obrotów sprzed pandemii?</w:t>
            </w:r>
          </w:p>
        </w:tc>
      </w:tr>
      <w:tr w:rsidR="00AC7A00" w:rsidRPr="00AC7A00" w14:paraId="359691A0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037F031" w14:textId="77777777" w:rsidR="00AC7A00" w:rsidRPr="00AC7A00" w:rsidRDefault="00AC7A00" w:rsidP="00315024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C7A0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D0642C5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233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Budownictwo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43C5789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233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Handel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9F6DFB0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233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Przemysł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F03044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233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Transport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F786590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233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Usługi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8DD1C61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2336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Ogółem</w:t>
            </w:r>
          </w:p>
        </w:tc>
      </w:tr>
      <w:tr w:rsidR="00AC7A00" w:rsidRPr="00AC7A00" w14:paraId="59246809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5D7F8A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W III kw. 2021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F2B7DC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844DF6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AFA472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A44673A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3916A7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26E4CC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2,6%</w:t>
            </w:r>
          </w:p>
        </w:tc>
      </w:tr>
      <w:tr w:rsidR="00AC7A00" w:rsidRPr="00AC7A00" w14:paraId="35268B1B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4B7F9E8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W IV kw. 2021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0FB34EB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029C39C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D41FFE8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8032A1F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C739BA2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A2694C7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3,8%</w:t>
            </w:r>
          </w:p>
        </w:tc>
      </w:tr>
      <w:tr w:rsidR="00AC7A00" w:rsidRPr="00AC7A00" w14:paraId="715E8DB0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2B36B8B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W I kw.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8317A14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252F26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8EB580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D5AA2A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EEE1614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ED1CAD2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9,0%</w:t>
            </w:r>
          </w:p>
        </w:tc>
      </w:tr>
      <w:tr w:rsidR="00AC7A00" w:rsidRPr="00AC7A00" w14:paraId="6D477752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36E8A01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W II kw. 2022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52B125F3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25,0%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109B018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17,1%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BB57A3D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C1F30D5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40,0%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3A11778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060E4A5D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22,4%</w:t>
            </w:r>
          </w:p>
        </w:tc>
      </w:tr>
      <w:tr w:rsidR="00AC7A00" w:rsidRPr="00AC7A00" w14:paraId="418E755E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B98510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Za 2-3 lata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32B5D2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D75E831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5994C3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AACEB83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D3BEEF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30,0%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508F19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11,5%</w:t>
            </w:r>
          </w:p>
        </w:tc>
      </w:tr>
      <w:tr w:rsidR="00AC7A00" w:rsidRPr="00AC7A00" w14:paraId="092A532F" w14:textId="77777777" w:rsidTr="00AC7A00">
        <w:trPr>
          <w:trHeight w:val="6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14:paraId="11397556" w14:textId="69207719" w:rsidR="00AC7A00" w:rsidRPr="00B7748A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748A">
              <w:rPr>
                <w:rFonts w:ascii="Calibri" w:hAnsi="Calibri" w:cs="Calibri"/>
                <w:color w:val="000000"/>
                <w:sz w:val="20"/>
                <w:szCs w:val="20"/>
              </w:rPr>
              <w:t>Dopiero</w:t>
            </w:r>
            <w:r w:rsidR="00FA65E2" w:rsidRPr="00B7748A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B774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gdy zniesione zostaną obostrzenia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4572414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E100A2C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14,6%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863444D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34023CD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EAA438A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4EDFDB2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11,5%</w:t>
            </w:r>
          </w:p>
        </w:tc>
      </w:tr>
      <w:tr w:rsidR="00AC7A00" w:rsidRPr="00AC7A00" w14:paraId="697D6CF9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7C5EA6C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Nigdy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EBEFB7D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FC2C479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9,8%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F83C89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73720CC" w14:textId="1BA20D25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30,0%</w:t>
            </w:r>
            <w:r w:rsidR="00D419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F20176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2ECD0E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9,0%</w:t>
            </w:r>
          </w:p>
        </w:tc>
      </w:tr>
      <w:tr w:rsidR="00AC7A00" w:rsidRPr="00AC7A00" w14:paraId="33B6DC62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BCA72F6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70A90D6C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074E212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3F118D81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1F6E53D9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66937855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27C402D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5,1%</w:t>
            </w:r>
          </w:p>
        </w:tc>
      </w:tr>
      <w:tr w:rsidR="00AC7A00" w:rsidRPr="00AC7A00" w14:paraId="640332F1" w14:textId="77777777" w:rsidTr="00AC7A00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93173DF" w14:textId="77777777" w:rsidR="00AC7A00" w:rsidRPr="00C23362" w:rsidRDefault="00AC7A00" w:rsidP="00315024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Trudno powiedzieć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936E470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9E67FE4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AC53A8C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B63FC33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5CF2DBC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1A4CDB" w14:textId="77777777" w:rsidR="00AC7A00" w:rsidRPr="00C23362" w:rsidRDefault="00AC7A00" w:rsidP="00315024">
            <w:pPr>
              <w:spacing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3362">
              <w:rPr>
                <w:rFonts w:ascii="Calibri" w:hAnsi="Calibri" w:cs="Calibri"/>
                <w:color w:val="000000"/>
                <w:sz w:val="20"/>
                <w:szCs w:val="20"/>
              </w:rPr>
              <w:t>25,0%</w:t>
            </w:r>
          </w:p>
        </w:tc>
      </w:tr>
    </w:tbl>
    <w:p w14:paraId="4FF15F7D" w14:textId="77777777" w:rsidR="008248E2" w:rsidRDefault="008248E2" w:rsidP="00315024">
      <w:pPr>
        <w:spacing w:after="120" w:line="259" w:lineRule="auto"/>
        <w:jc w:val="both"/>
        <w:rPr>
          <w:rFonts w:ascii="Calibri" w:hAnsi="Calibri"/>
          <w:bCs/>
          <w:i/>
          <w:sz w:val="16"/>
          <w:szCs w:val="16"/>
        </w:rPr>
      </w:pPr>
    </w:p>
    <w:p w14:paraId="3CE41120" w14:textId="621CEDE2" w:rsidR="006C57ED" w:rsidRDefault="006C57ED" w:rsidP="00315024">
      <w:pPr>
        <w:spacing w:after="120" w:line="259" w:lineRule="auto"/>
        <w:jc w:val="both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>Źródło: badanie</w:t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 xml:space="preserve">Keralla Research dla </w:t>
      </w:r>
      <w:r w:rsidR="00B738F6">
        <w:rPr>
          <w:rFonts w:ascii="Calibri" w:hAnsi="Calibri"/>
          <w:bCs/>
          <w:i/>
          <w:sz w:val="16"/>
          <w:szCs w:val="16"/>
        </w:rPr>
        <w:t xml:space="preserve">Rejestru Dłużników </w:t>
      </w:r>
      <w:r>
        <w:rPr>
          <w:rFonts w:ascii="Calibri" w:hAnsi="Calibri"/>
          <w:bCs/>
          <w:i/>
          <w:sz w:val="16"/>
          <w:szCs w:val="16"/>
        </w:rPr>
        <w:t>BIG InfoMonitor</w:t>
      </w:r>
    </w:p>
    <w:p w14:paraId="5D515B05" w14:textId="7A9EC5D1" w:rsidR="00450B42" w:rsidRDefault="00450B42" w:rsidP="00315024">
      <w:pPr>
        <w:spacing w:after="120" w:line="259" w:lineRule="auto"/>
        <w:jc w:val="both"/>
      </w:pPr>
      <w:r>
        <w:t>Wśród usługodawców naj</w:t>
      </w:r>
      <w:r w:rsidR="00B971AC">
        <w:t xml:space="preserve">częściej </w:t>
      </w:r>
      <w:r>
        <w:t>p</w:t>
      </w:r>
      <w:r w:rsidR="00B971AC">
        <w:t xml:space="preserve">ada </w:t>
      </w:r>
      <w:r>
        <w:t xml:space="preserve">odpowiedź, że </w:t>
      </w:r>
      <w:r w:rsidR="00B971AC">
        <w:t xml:space="preserve">sprzedaż </w:t>
      </w:r>
      <w:r>
        <w:t xml:space="preserve">uda się </w:t>
      </w:r>
      <w:r w:rsidR="00B971AC">
        <w:t xml:space="preserve">odbudować </w:t>
      </w:r>
      <w:r>
        <w:t>za dwa trzy lata (30 proc.) albo w drugim kwartale przyszłego roku (15 proc.). Co ciekawe, to jedyna branża, której przedstawiciele ani razu nie wspom</w:t>
      </w:r>
      <w:r w:rsidR="00B7748A">
        <w:t>inają</w:t>
      </w:r>
      <w:r>
        <w:t xml:space="preserve">, że nigdy nie wrócą do </w:t>
      </w:r>
      <w:r w:rsidR="007E51E1">
        <w:t xml:space="preserve">stanu </w:t>
      </w:r>
      <w:r>
        <w:t xml:space="preserve">sprzed pojawienia się </w:t>
      </w:r>
      <w:r w:rsidR="00B47027">
        <w:t>Covid</w:t>
      </w:r>
      <w:r>
        <w:t xml:space="preserve">-19. </w:t>
      </w:r>
    </w:p>
    <w:p w14:paraId="53BF35C1" w14:textId="0D2B448C" w:rsidR="00B7748A" w:rsidRDefault="00B7748A" w:rsidP="000C66C5">
      <w:pPr>
        <w:spacing w:after="120" w:line="259" w:lineRule="auto"/>
        <w:jc w:val="both"/>
      </w:pPr>
      <w:r>
        <w:t xml:space="preserve">– </w:t>
      </w:r>
      <w:r>
        <w:rPr>
          <w:i/>
          <w:iCs/>
        </w:rPr>
        <w:t xml:space="preserve">Badanie pokazuje, że zarówno dla poszczególnych </w:t>
      </w:r>
      <w:r w:rsidRPr="00AE6CBB">
        <w:rPr>
          <w:i/>
          <w:iCs/>
        </w:rPr>
        <w:t>branż</w:t>
      </w:r>
      <w:r>
        <w:rPr>
          <w:i/>
          <w:iCs/>
        </w:rPr>
        <w:t xml:space="preserve"> jak i firm </w:t>
      </w:r>
      <w:r w:rsidRPr="00AE6CBB">
        <w:rPr>
          <w:i/>
          <w:iCs/>
        </w:rPr>
        <w:t>zniesieni</w:t>
      </w:r>
      <w:r>
        <w:rPr>
          <w:i/>
          <w:iCs/>
        </w:rPr>
        <w:t>e</w:t>
      </w:r>
      <w:r w:rsidRPr="00AE6CBB">
        <w:rPr>
          <w:i/>
          <w:iCs/>
        </w:rPr>
        <w:t xml:space="preserve"> obostrzeń </w:t>
      </w:r>
      <w:r>
        <w:rPr>
          <w:i/>
          <w:iCs/>
        </w:rPr>
        <w:t xml:space="preserve">wcale </w:t>
      </w:r>
      <w:r w:rsidRPr="00AE6CBB">
        <w:rPr>
          <w:i/>
          <w:iCs/>
        </w:rPr>
        <w:t>nie jest warun</w:t>
      </w:r>
      <w:r>
        <w:rPr>
          <w:i/>
          <w:iCs/>
        </w:rPr>
        <w:t>kiem</w:t>
      </w:r>
      <w:r w:rsidRPr="00AE6CBB">
        <w:rPr>
          <w:i/>
          <w:iCs/>
        </w:rPr>
        <w:t xml:space="preserve"> konieczny</w:t>
      </w:r>
      <w:r>
        <w:rPr>
          <w:i/>
          <w:iCs/>
        </w:rPr>
        <w:t xml:space="preserve">m </w:t>
      </w:r>
      <w:r w:rsidRPr="00AE6CBB">
        <w:rPr>
          <w:i/>
          <w:iCs/>
        </w:rPr>
        <w:t xml:space="preserve">do </w:t>
      </w:r>
      <w:r>
        <w:rPr>
          <w:i/>
          <w:iCs/>
        </w:rPr>
        <w:t xml:space="preserve">osiągania zadowalającej sprzedaży. Większość </w:t>
      </w:r>
      <w:r w:rsidRPr="00AE6CBB">
        <w:rPr>
          <w:i/>
          <w:iCs/>
        </w:rPr>
        <w:t>potrafi</w:t>
      </w:r>
      <w:r>
        <w:rPr>
          <w:i/>
          <w:iCs/>
        </w:rPr>
        <w:t xml:space="preserve"> </w:t>
      </w:r>
      <w:r w:rsidR="00B47027">
        <w:rPr>
          <w:i/>
          <w:iCs/>
        </w:rPr>
        <w:t>z </w:t>
      </w:r>
      <w:r w:rsidR="00B26655">
        <w:rPr>
          <w:i/>
          <w:iCs/>
        </w:rPr>
        <w:t xml:space="preserve">powodzeniem </w:t>
      </w:r>
      <w:r w:rsidRPr="00AE6CBB">
        <w:rPr>
          <w:i/>
          <w:iCs/>
        </w:rPr>
        <w:t>prowadz</w:t>
      </w:r>
      <w:r w:rsidR="00B26655">
        <w:rPr>
          <w:i/>
          <w:iCs/>
        </w:rPr>
        <w:t xml:space="preserve">ić </w:t>
      </w:r>
      <w:r w:rsidRPr="00AE6CBB">
        <w:rPr>
          <w:i/>
          <w:iCs/>
        </w:rPr>
        <w:t>działalnoś</w:t>
      </w:r>
      <w:r w:rsidR="00B26655">
        <w:rPr>
          <w:i/>
          <w:iCs/>
        </w:rPr>
        <w:t>ć</w:t>
      </w:r>
      <w:r w:rsidRPr="00AE6CBB">
        <w:rPr>
          <w:i/>
          <w:iCs/>
        </w:rPr>
        <w:t xml:space="preserve"> </w:t>
      </w:r>
      <w:r>
        <w:rPr>
          <w:i/>
          <w:iCs/>
        </w:rPr>
        <w:t>respektując wymuszone ograniczenia</w:t>
      </w:r>
      <w:r w:rsidR="00CD4881">
        <w:rPr>
          <w:i/>
          <w:iCs/>
        </w:rPr>
        <w:t xml:space="preserve"> i zmiany</w:t>
      </w:r>
      <w:r>
        <w:rPr>
          <w:i/>
          <w:iCs/>
        </w:rPr>
        <w:t xml:space="preserve">. Powrót do wyników sprzed koronakryzysu powrotem do normalności warunkuje </w:t>
      </w:r>
      <w:r w:rsidR="00B26655">
        <w:rPr>
          <w:i/>
          <w:iCs/>
        </w:rPr>
        <w:t>jeden na</w:t>
      </w:r>
      <w:r>
        <w:rPr>
          <w:i/>
          <w:iCs/>
        </w:rPr>
        <w:t xml:space="preserve"> d</w:t>
      </w:r>
      <w:r w:rsidR="00B26655">
        <w:rPr>
          <w:i/>
          <w:iCs/>
        </w:rPr>
        <w:t>ziewię</w:t>
      </w:r>
      <w:r w:rsidR="00483426">
        <w:rPr>
          <w:i/>
          <w:iCs/>
        </w:rPr>
        <w:t>ciu</w:t>
      </w:r>
      <w:r w:rsidR="00B26655">
        <w:rPr>
          <w:i/>
          <w:iCs/>
        </w:rPr>
        <w:t xml:space="preserve"> przedsiębiorców </w:t>
      </w:r>
      <w:r>
        <w:t xml:space="preserve">– zauważa </w:t>
      </w:r>
      <w:r w:rsidRPr="00CC2955">
        <w:rPr>
          <w:b/>
          <w:bCs/>
        </w:rPr>
        <w:t>Sławomir Grzelczak</w:t>
      </w:r>
      <w:r w:rsidRPr="005411AE">
        <w:t xml:space="preserve">. </w:t>
      </w:r>
    </w:p>
    <w:p w14:paraId="7A1D8AE1" w14:textId="697E0BF8" w:rsidR="00BF3395" w:rsidRDefault="00BF3395" w:rsidP="00315024">
      <w:pPr>
        <w:spacing w:before="240" w:after="120" w:line="259" w:lineRule="auto"/>
        <w:jc w:val="both"/>
        <w:rPr>
          <w:i/>
          <w:sz w:val="20"/>
          <w:szCs w:val="20"/>
        </w:rPr>
      </w:pPr>
      <w:r w:rsidRPr="00BF3395">
        <w:rPr>
          <w:i/>
          <w:sz w:val="20"/>
          <w:szCs w:val="20"/>
        </w:rPr>
        <w:t>Badanie zrealizowane przez Instytut Keralla Research, prowadzone co kwartał wśród mikro, małych i średnich firm. Próba = 500, technika: wywiady telefoniczne, termin: lipiec 2021 r.</w:t>
      </w:r>
    </w:p>
    <w:p w14:paraId="661FF7D7" w14:textId="2E93E0A3" w:rsidR="00E21835" w:rsidRPr="00CA6058" w:rsidRDefault="00E21835" w:rsidP="00315024">
      <w:pPr>
        <w:spacing w:before="240" w:after="120" w:line="259" w:lineRule="auto"/>
        <w:jc w:val="both"/>
        <w:rPr>
          <w:bCs/>
          <w:color w:val="595959" w:themeColor="text1" w:themeTint="A6"/>
          <w:sz w:val="18"/>
          <w:szCs w:val="18"/>
        </w:rPr>
      </w:pPr>
      <w:r w:rsidRPr="00CA6058">
        <w:rPr>
          <w:b/>
          <w:bCs/>
          <w:color w:val="595959" w:themeColor="text1" w:themeTint="A6"/>
          <w:sz w:val="18"/>
          <w:szCs w:val="18"/>
        </w:rPr>
        <w:t xml:space="preserve">Biuro Informacji Gospodarczej InfoMonitor </w:t>
      </w:r>
      <w:r w:rsidRPr="00CA6058">
        <w:rPr>
          <w:bCs/>
          <w:color w:val="595959" w:themeColor="text1" w:themeTint="A6"/>
          <w:sz w:val="18"/>
          <w:szCs w:val="18"/>
        </w:rPr>
        <w:t xml:space="preserve">(BIG InfoMonitor) prowadzi Rejestr Dłużników BIG. Działając w oparciu o Ustawę </w:t>
      </w:r>
      <w:bookmarkStart w:id="0" w:name="_GoBack"/>
      <w:bookmarkEnd w:id="0"/>
      <w:r w:rsidRPr="00CA6058">
        <w:rPr>
          <w:bCs/>
          <w:color w:val="595959" w:themeColor="text1" w:themeTint="A6"/>
          <w:sz w:val="18"/>
          <w:szCs w:val="18"/>
        </w:rPr>
        <w:t xml:space="preserve">o udostępnianiu informacji gospodarczych i wymianie danych gospodarczych przyjmuje, przechowuje i udostępnia informacje gospodarcze o przeterminowanym zadłużeniu osób i firm. BIG InfoMonitor umożliwia dostęp do baz: Biura Informacji Kredytowej i Związku Banków Polskich, dzięki czemu stanowi platformę wymiany informacji pomiędzy sektorem bankowym i pozostałymi sektorami gospodarki. Oferuje również sektorowi bankowemu i przedsiębiorcom narzędzia do weryfikowania </w:t>
      </w:r>
      <w:r w:rsidRPr="00CA6058">
        <w:rPr>
          <w:bCs/>
          <w:color w:val="595959" w:themeColor="text1" w:themeTint="A6"/>
          <w:sz w:val="18"/>
          <w:szCs w:val="18"/>
        </w:rPr>
        <w:lastRenderedPageBreak/>
        <w:t>wiarygodności płatniczej klientów i kontrahentów oraz wspiera ich w odzyskiwaniu zaległych należności. BIG InfoMonitor jest spółką zależną sektora bankowego - poprzez Biuro Informacji Kredytowej – swojego głównego akcjonariusza.</w:t>
      </w:r>
    </w:p>
    <w:p w14:paraId="3E02C0A5" w14:textId="77777777" w:rsidR="00E21835" w:rsidRDefault="00E21835" w:rsidP="00315024">
      <w:pPr>
        <w:spacing w:before="240" w:after="120" w:line="259" w:lineRule="auto"/>
        <w:jc w:val="both"/>
        <w:rPr>
          <w:rFonts w:cs="Arial"/>
          <w:b/>
          <w:color w:val="595959" w:themeColor="text1" w:themeTint="A6"/>
          <w:sz w:val="18"/>
          <w:szCs w:val="18"/>
        </w:rPr>
      </w:pPr>
      <w:r w:rsidRPr="00F303A7">
        <w:rPr>
          <w:rFonts w:cs="Arial"/>
          <w:b/>
          <w:color w:val="595959" w:themeColor="text1" w:themeTint="A6"/>
          <w:sz w:val="18"/>
          <w:szCs w:val="18"/>
        </w:rPr>
        <w:t>Kontakt dla prasy: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9"/>
      </w:tblGrid>
      <w:tr w:rsidR="00E21835" w:rsidRPr="00F303A7" w14:paraId="42718E02" w14:textId="77777777" w:rsidTr="006474DE">
        <w:tc>
          <w:tcPr>
            <w:tcW w:w="4533" w:type="dxa"/>
            <w:hideMark/>
          </w:tcPr>
          <w:p w14:paraId="031336C4" w14:textId="77777777" w:rsidR="00E21835" w:rsidRPr="00F303A7" w:rsidRDefault="00E21835" w:rsidP="00315024">
            <w:pPr>
              <w:spacing w:line="259" w:lineRule="auto"/>
              <w:ind w:left="-108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Halina Kochalska</w:t>
            </w:r>
          </w:p>
          <w:p w14:paraId="13289D80" w14:textId="77777777" w:rsidR="00E21835" w:rsidRPr="00F303A7" w:rsidRDefault="00E21835" w:rsidP="00315024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Rzecznik Prasowy</w:t>
            </w:r>
          </w:p>
          <w:p w14:paraId="182EF5FF" w14:textId="77777777" w:rsidR="00E21835" w:rsidRPr="00F303A7" w:rsidRDefault="00E21835" w:rsidP="00315024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16</w:t>
            </w:r>
          </w:p>
          <w:p w14:paraId="5C9FEE7C" w14:textId="77777777" w:rsidR="00E21835" w:rsidRPr="00F303A7" w:rsidRDefault="00E21835" w:rsidP="00315024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+ 48 602 601 010</w:t>
            </w:r>
          </w:p>
          <w:p w14:paraId="7E8CE362" w14:textId="77777777" w:rsidR="00E21835" w:rsidRPr="00F303A7" w:rsidRDefault="00EC0319" w:rsidP="00315024">
            <w:pPr>
              <w:spacing w:line="259" w:lineRule="auto"/>
              <w:ind w:left="-108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E21835" w:rsidRPr="00F303A7">
                <w:rPr>
                  <w:color w:val="595959" w:themeColor="text1" w:themeTint="A6"/>
                  <w:sz w:val="18"/>
                  <w:szCs w:val="18"/>
                </w:rPr>
                <w:t>Halina.Kochalska@big.pl</w:t>
              </w:r>
            </w:hyperlink>
          </w:p>
        </w:tc>
        <w:tc>
          <w:tcPr>
            <w:tcW w:w="4539" w:type="dxa"/>
            <w:hideMark/>
          </w:tcPr>
          <w:p w14:paraId="7DFC2CB8" w14:textId="77777777" w:rsidR="00E21835" w:rsidRPr="00F303A7" w:rsidRDefault="00E21835" w:rsidP="00315024">
            <w:pPr>
              <w:spacing w:line="259" w:lineRule="auto"/>
              <w:jc w:val="both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b/>
                <w:color w:val="595959" w:themeColor="text1" w:themeTint="A6"/>
                <w:sz w:val="18"/>
                <w:szCs w:val="18"/>
              </w:rPr>
              <w:t>Diana Borowiecka</w:t>
            </w:r>
          </w:p>
          <w:p w14:paraId="4E4C9471" w14:textId="77777777" w:rsidR="00E21835" w:rsidRPr="00F303A7" w:rsidRDefault="00E21835" w:rsidP="00315024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Biuro PR i Komunikacji</w:t>
            </w:r>
          </w:p>
          <w:p w14:paraId="6AE787CB" w14:textId="77777777" w:rsidR="00E21835" w:rsidRPr="00F303A7" w:rsidRDefault="00E21835" w:rsidP="00315024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tel.: +48 22 486 56 46</w:t>
            </w:r>
          </w:p>
          <w:p w14:paraId="4F51614B" w14:textId="77777777" w:rsidR="00E21835" w:rsidRPr="00F303A7" w:rsidRDefault="00E21835" w:rsidP="00315024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F303A7">
              <w:rPr>
                <w:rFonts w:cs="Arial"/>
                <w:color w:val="595959" w:themeColor="text1" w:themeTint="A6"/>
                <w:sz w:val="18"/>
                <w:szCs w:val="18"/>
              </w:rPr>
              <w:t>kom.: + 48 607 146 583</w:t>
            </w:r>
          </w:p>
          <w:p w14:paraId="000E5F7A" w14:textId="77777777" w:rsidR="00E21835" w:rsidRPr="00F303A7" w:rsidRDefault="00EC0319" w:rsidP="00315024">
            <w:pPr>
              <w:spacing w:line="259" w:lineRule="auto"/>
              <w:jc w:val="both"/>
              <w:rPr>
                <w:rFonts w:cs="Arial"/>
                <w:color w:val="595959" w:themeColor="text1" w:themeTint="A6"/>
                <w:sz w:val="18"/>
                <w:szCs w:val="18"/>
              </w:rPr>
            </w:pPr>
            <w:hyperlink r:id="rId13" w:history="1">
              <w:r w:rsidR="00E21835" w:rsidRPr="00F303A7">
                <w:rPr>
                  <w:color w:val="595959" w:themeColor="text1" w:themeTint="A6"/>
                  <w:sz w:val="18"/>
                  <w:szCs w:val="18"/>
                </w:rPr>
                <w:t>Diana.Borowiecka@big.pl</w:t>
              </w:r>
            </w:hyperlink>
            <w:r w:rsidR="00E21835" w:rsidRPr="00F303A7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23934695" w14:textId="77777777" w:rsidR="000C2FEC" w:rsidRDefault="000C2FEC" w:rsidP="00315024">
      <w:pPr>
        <w:spacing w:after="120" w:line="259" w:lineRule="auto"/>
      </w:pPr>
    </w:p>
    <w:sectPr w:rsidR="000C2FEC" w:rsidSect="000C2FE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80" w:right="1417" w:bottom="1417" w:left="1417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30EA1" w14:textId="77777777" w:rsidR="00EC0319" w:rsidRDefault="00EC0319" w:rsidP="00E21835">
      <w:r>
        <w:separator/>
      </w:r>
    </w:p>
  </w:endnote>
  <w:endnote w:type="continuationSeparator" w:id="0">
    <w:p w14:paraId="1E37209A" w14:textId="77777777" w:rsidR="00EC0319" w:rsidRDefault="00EC0319" w:rsidP="00E2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E44" w14:textId="77777777" w:rsidR="000C2FEC" w:rsidRDefault="00A624B8" w:rsidP="000C2F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07166" w14:textId="77777777" w:rsidR="000C2FEC" w:rsidRDefault="000C2FEC" w:rsidP="000C2F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0A69" w14:textId="2F56C107" w:rsidR="000C2FEC" w:rsidRDefault="003855FA" w:rsidP="000C2FEC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E37E6B0" wp14:editId="43ECD5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d57049a8a7f4130039b4755f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094974" w14:textId="6EF64EDB" w:rsidR="003855FA" w:rsidRPr="003855FA" w:rsidRDefault="003855FA" w:rsidP="003855F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3855FA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37E6B0" id="_x0000_t202" coordsize="21600,21600" o:spt="202" path="m,l,21600r21600,l21600,xe">
              <v:stroke joinstyle="miter"/>
              <v:path gradientshapeok="t" o:connecttype="rect"/>
            </v:shapetype>
            <v:shape id="MSIPCMd57049a8a7f4130039b4755f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" o:allowincell="f" filled="f" stroked="f" strokeweight=".5pt">
              <v:textbox inset=",0,20pt,0">
                <w:txbxContent>
                  <w:p w14:paraId="48094974" w14:textId="6EF64EDB" w:rsidR="003855FA" w:rsidRPr="003855FA" w:rsidRDefault="003855FA" w:rsidP="003855FA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3855FA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24B8">
      <w:rPr>
        <w:rStyle w:val="Numerstrony"/>
      </w:rPr>
      <w:fldChar w:fldCharType="begin"/>
    </w:r>
    <w:r w:rsidR="00A624B8">
      <w:rPr>
        <w:rStyle w:val="Numerstrony"/>
      </w:rPr>
      <w:instrText xml:space="preserve">PAGE  </w:instrText>
    </w:r>
    <w:r w:rsidR="00A624B8">
      <w:rPr>
        <w:rStyle w:val="Numerstrony"/>
      </w:rPr>
      <w:fldChar w:fldCharType="separate"/>
    </w:r>
    <w:r w:rsidR="008248E2">
      <w:rPr>
        <w:rStyle w:val="Numerstrony"/>
        <w:noProof/>
      </w:rPr>
      <w:t>3</w:t>
    </w:r>
    <w:r w:rsidR="00A624B8">
      <w:rPr>
        <w:rStyle w:val="Numerstrony"/>
      </w:rPr>
      <w:fldChar w:fldCharType="end"/>
    </w:r>
  </w:p>
  <w:p w14:paraId="577F33F0" w14:textId="77777777" w:rsidR="000C2FEC" w:rsidRPr="00D94BC7" w:rsidRDefault="000C2F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D75D" w14:textId="5FAD0444" w:rsidR="00582DE6" w:rsidRDefault="00582DE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98956" wp14:editId="369364A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2e2545b5a16c5985cf337b6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376984" w14:textId="2793139B" w:rsidR="00582DE6" w:rsidRPr="00582DE6" w:rsidRDefault="00582DE6" w:rsidP="00582DE6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582DE6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898956" id="_x0000_t202" coordsize="21600,21600" o:spt="202" path="m,l,21600r21600,l21600,xe">
              <v:stroke joinstyle="miter"/>
              <v:path gradientshapeok="t" o:connecttype="rect"/>
            </v:shapetype>
            <v:shape id="MSIPCM2e2545b5a16c5985cf337b66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D2wpNLYC&#10;AABRBQAADgAAAAAAAAAAAAAAAAAuAgAAZHJzL2Uyb0RvYy54bWxQSwECLQAUAAYACAAAACEAnahH&#10;6OEAAAALAQAADwAAAAAAAAAAAAAAAAAQBQAAZHJzL2Rvd25yZXYueG1sUEsFBgAAAAAEAAQA8wAA&#10;AB4GAAAAAA==&#10;" o:allowincell="f" filled="f" stroked="f" strokeweight=".5pt">
              <v:fill o:detectmouseclick="t"/>
              <v:textbox inset=",0,20pt,0">
                <w:txbxContent>
                  <w:p w14:paraId="26376984" w14:textId="2793139B" w:rsidR="00582DE6" w:rsidRPr="00582DE6" w:rsidRDefault="00582DE6" w:rsidP="00582DE6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582DE6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319A6" w14:textId="77777777" w:rsidR="00EC0319" w:rsidRDefault="00EC0319" w:rsidP="00E21835">
      <w:r>
        <w:separator/>
      </w:r>
    </w:p>
  </w:footnote>
  <w:footnote w:type="continuationSeparator" w:id="0">
    <w:p w14:paraId="171510E0" w14:textId="77777777" w:rsidR="00EC0319" w:rsidRDefault="00EC0319" w:rsidP="00E2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FA2D6" w14:textId="77777777" w:rsidR="000C2FEC" w:rsidRDefault="00A624B8" w:rsidP="000C2F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47B785" wp14:editId="4E580F3B">
          <wp:simplePos x="0" y="0"/>
          <wp:positionH relativeFrom="column">
            <wp:posOffset>4500245</wp:posOffset>
          </wp:positionH>
          <wp:positionV relativeFrom="paragraph">
            <wp:posOffset>274081</wp:posOffset>
          </wp:positionV>
          <wp:extent cx="1144905" cy="486410"/>
          <wp:effectExtent l="0" t="0" r="0" b="8890"/>
          <wp:wrapSquare wrapText="bothSides"/>
          <wp:docPr id="64" name="Obraz 64" descr="LogoBIG_pr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G_pro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4893" w14:textId="452235DF" w:rsidR="000C2FEC" w:rsidRPr="00695EB6" w:rsidRDefault="006B7100" w:rsidP="007C1BC8">
    <w:pPr>
      <w:pStyle w:val="Nagwek"/>
      <w:jc w:val="right"/>
      <w:rPr>
        <w:b/>
        <w:sz w:val="24"/>
      </w:rPr>
    </w:pPr>
    <w:r w:rsidRPr="006B7100">
      <w:rPr>
        <w:b/>
        <w:noProof/>
        <w:sz w:val="24"/>
        <w:lang w:eastAsia="pl-PL"/>
      </w:rPr>
      <w:drawing>
        <wp:anchor distT="0" distB="0" distL="114300" distR="114300" simplePos="0" relativeHeight="251662336" behindDoc="1" locked="0" layoutInCell="1" allowOverlap="1" wp14:anchorId="417B9D8F" wp14:editId="17C96F83">
          <wp:simplePos x="0" y="0"/>
          <wp:positionH relativeFrom="column">
            <wp:posOffset>4405267</wp:posOffset>
          </wp:positionH>
          <wp:positionV relativeFrom="paragraph">
            <wp:posOffset>-635</wp:posOffset>
          </wp:positionV>
          <wp:extent cx="1295400" cy="542925"/>
          <wp:effectExtent l="0" t="0" r="0" b="9525"/>
          <wp:wrapNone/>
          <wp:docPr id="6" name="Obraz 6" descr="BIG%20InfoMonit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IG%20InfoMonit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B7100">
      <w:rPr>
        <w:b/>
        <w:noProof/>
        <w:sz w:val="24"/>
        <w:lang w:eastAsia="pl-PL"/>
      </w:rPr>
      <w:drawing>
        <wp:anchor distT="0" distB="0" distL="114300" distR="114300" simplePos="0" relativeHeight="251661312" behindDoc="0" locked="0" layoutInCell="1" allowOverlap="1" wp14:anchorId="591D696A" wp14:editId="35B8BC96">
          <wp:simplePos x="0" y="0"/>
          <wp:positionH relativeFrom="margin">
            <wp:posOffset>46891</wp:posOffset>
          </wp:positionH>
          <wp:positionV relativeFrom="margin">
            <wp:posOffset>-893939</wp:posOffset>
          </wp:positionV>
          <wp:extent cx="1552575" cy="133350"/>
          <wp:effectExtent l="0" t="0" r="9525" b="0"/>
          <wp:wrapSquare wrapText="bothSides"/>
          <wp:docPr id="8" name="Obraz 8" descr="infomonitor_info prasow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nfomonitor_info prasowe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35"/>
    <w:rsid w:val="00007A7D"/>
    <w:rsid w:val="00020A35"/>
    <w:rsid w:val="000275D2"/>
    <w:rsid w:val="000319BF"/>
    <w:rsid w:val="00037B8E"/>
    <w:rsid w:val="00044FDA"/>
    <w:rsid w:val="00057BDF"/>
    <w:rsid w:val="00084C83"/>
    <w:rsid w:val="0008702D"/>
    <w:rsid w:val="00093A8E"/>
    <w:rsid w:val="000A00A8"/>
    <w:rsid w:val="000B6DE8"/>
    <w:rsid w:val="000C2FEC"/>
    <w:rsid w:val="000C66C5"/>
    <w:rsid w:val="000D4200"/>
    <w:rsid w:val="000E0755"/>
    <w:rsid w:val="000E5C9F"/>
    <w:rsid w:val="000F016C"/>
    <w:rsid w:val="000F34FD"/>
    <w:rsid w:val="00117477"/>
    <w:rsid w:val="00117E90"/>
    <w:rsid w:val="001202ED"/>
    <w:rsid w:val="0012352A"/>
    <w:rsid w:val="00130423"/>
    <w:rsid w:val="0013669D"/>
    <w:rsid w:val="00140A1E"/>
    <w:rsid w:val="00143E0D"/>
    <w:rsid w:val="001456E4"/>
    <w:rsid w:val="00176492"/>
    <w:rsid w:val="00185742"/>
    <w:rsid w:val="001D0344"/>
    <w:rsid w:val="001D5090"/>
    <w:rsid w:val="001E0FDC"/>
    <w:rsid w:val="001E12F8"/>
    <w:rsid w:val="001E3FE5"/>
    <w:rsid w:val="001E59D5"/>
    <w:rsid w:val="001F5F7E"/>
    <w:rsid w:val="00213D86"/>
    <w:rsid w:val="00214D83"/>
    <w:rsid w:val="00233CBC"/>
    <w:rsid w:val="00243E9E"/>
    <w:rsid w:val="002508D4"/>
    <w:rsid w:val="00250FC3"/>
    <w:rsid w:val="002524F8"/>
    <w:rsid w:val="0025620A"/>
    <w:rsid w:val="002623BE"/>
    <w:rsid w:val="002843AB"/>
    <w:rsid w:val="00284EBE"/>
    <w:rsid w:val="002912AD"/>
    <w:rsid w:val="00296E10"/>
    <w:rsid w:val="002A73E0"/>
    <w:rsid w:val="002B2F3B"/>
    <w:rsid w:val="002C4269"/>
    <w:rsid w:val="002C6E00"/>
    <w:rsid w:val="00315024"/>
    <w:rsid w:val="003238BF"/>
    <w:rsid w:val="00326B10"/>
    <w:rsid w:val="00331794"/>
    <w:rsid w:val="003542CF"/>
    <w:rsid w:val="003608BE"/>
    <w:rsid w:val="00370099"/>
    <w:rsid w:val="00372D6D"/>
    <w:rsid w:val="003816F6"/>
    <w:rsid w:val="003855FA"/>
    <w:rsid w:val="00394A14"/>
    <w:rsid w:val="003B3515"/>
    <w:rsid w:val="003B6769"/>
    <w:rsid w:val="003B68F4"/>
    <w:rsid w:val="003D30B2"/>
    <w:rsid w:val="003D5020"/>
    <w:rsid w:val="003D6A0D"/>
    <w:rsid w:val="003F71D3"/>
    <w:rsid w:val="003F7BEC"/>
    <w:rsid w:val="004020A2"/>
    <w:rsid w:val="00420661"/>
    <w:rsid w:val="00424C5F"/>
    <w:rsid w:val="00424CF1"/>
    <w:rsid w:val="0044119B"/>
    <w:rsid w:val="00450B42"/>
    <w:rsid w:val="00453036"/>
    <w:rsid w:val="00455487"/>
    <w:rsid w:val="004567BD"/>
    <w:rsid w:val="00483426"/>
    <w:rsid w:val="00483AB6"/>
    <w:rsid w:val="00485A93"/>
    <w:rsid w:val="00486F8E"/>
    <w:rsid w:val="004933C9"/>
    <w:rsid w:val="004C2439"/>
    <w:rsid w:val="004D1882"/>
    <w:rsid w:val="004D401E"/>
    <w:rsid w:val="004E6B8D"/>
    <w:rsid w:val="004F7C9F"/>
    <w:rsid w:val="005006FB"/>
    <w:rsid w:val="005115D4"/>
    <w:rsid w:val="00512257"/>
    <w:rsid w:val="00517069"/>
    <w:rsid w:val="0052395F"/>
    <w:rsid w:val="0053153D"/>
    <w:rsid w:val="00531AB2"/>
    <w:rsid w:val="00531B2E"/>
    <w:rsid w:val="00536FEC"/>
    <w:rsid w:val="005411AE"/>
    <w:rsid w:val="00546E41"/>
    <w:rsid w:val="005544B9"/>
    <w:rsid w:val="00555A6D"/>
    <w:rsid w:val="005560AF"/>
    <w:rsid w:val="00557923"/>
    <w:rsid w:val="00562BE9"/>
    <w:rsid w:val="00582DE6"/>
    <w:rsid w:val="00590EE9"/>
    <w:rsid w:val="005B2041"/>
    <w:rsid w:val="005B7A48"/>
    <w:rsid w:val="005C05C7"/>
    <w:rsid w:val="005E00DC"/>
    <w:rsid w:val="005F13FF"/>
    <w:rsid w:val="005F17E0"/>
    <w:rsid w:val="00602635"/>
    <w:rsid w:val="00605EE3"/>
    <w:rsid w:val="006111F4"/>
    <w:rsid w:val="006251F2"/>
    <w:rsid w:val="00626079"/>
    <w:rsid w:val="006474DE"/>
    <w:rsid w:val="006543D5"/>
    <w:rsid w:val="00676980"/>
    <w:rsid w:val="00676AEB"/>
    <w:rsid w:val="00682E4C"/>
    <w:rsid w:val="006A0771"/>
    <w:rsid w:val="006A2FC9"/>
    <w:rsid w:val="006A31CC"/>
    <w:rsid w:val="006B7100"/>
    <w:rsid w:val="006C57ED"/>
    <w:rsid w:val="006C6392"/>
    <w:rsid w:val="006C7509"/>
    <w:rsid w:val="006C7972"/>
    <w:rsid w:val="006D56CA"/>
    <w:rsid w:val="006D6F87"/>
    <w:rsid w:val="006E3AA0"/>
    <w:rsid w:val="00711952"/>
    <w:rsid w:val="00720119"/>
    <w:rsid w:val="007223AB"/>
    <w:rsid w:val="00722CCB"/>
    <w:rsid w:val="007253B6"/>
    <w:rsid w:val="00737181"/>
    <w:rsid w:val="007724A7"/>
    <w:rsid w:val="007A38FE"/>
    <w:rsid w:val="007A5812"/>
    <w:rsid w:val="007A6737"/>
    <w:rsid w:val="007B5198"/>
    <w:rsid w:val="007C1BC8"/>
    <w:rsid w:val="007C3702"/>
    <w:rsid w:val="007C75C4"/>
    <w:rsid w:val="007E51E1"/>
    <w:rsid w:val="007F320E"/>
    <w:rsid w:val="007F562F"/>
    <w:rsid w:val="007F58CC"/>
    <w:rsid w:val="008144D7"/>
    <w:rsid w:val="008248E2"/>
    <w:rsid w:val="00831F83"/>
    <w:rsid w:val="00837A92"/>
    <w:rsid w:val="00843941"/>
    <w:rsid w:val="00850ED4"/>
    <w:rsid w:val="00853B50"/>
    <w:rsid w:val="00891E25"/>
    <w:rsid w:val="008B521E"/>
    <w:rsid w:val="008E0981"/>
    <w:rsid w:val="008F3C76"/>
    <w:rsid w:val="008F713F"/>
    <w:rsid w:val="00927146"/>
    <w:rsid w:val="0093438D"/>
    <w:rsid w:val="009453E5"/>
    <w:rsid w:val="009656D7"/>
    <w:rsid w:val="0097199B"/>
    <w:rsid w:val="00995A56"/>
    <w:rsid w:val="00997A21"/>
    <w:rsid w:val="009B7B29"/>
    <w:rsid w:val="009C516D"/>
    <w:rsid w:val="009C75E3"/>
    <w:rsid w:val="009D363A"/>
    <w:rsid w:val="009F1304"/>
    <w:rsid w:val="009F5FF0"/>
    <w:rsid w:val="00A01BDC"/>
    <w:rsid w:val="00A032B8"/>
    <w:rsid w:val="00A053B8"/>
    <w:rsid w:val="00A267E3"/>
    <w:rsid w:val="00A411C0"/>
    <w:rsid w:val="00A532C0"/>
    <w:rsid w:val="00A607E2"/>
    <w:rsid w:val="00A624B8"/>
    <w:rsid w:val="00A647B9"/>
    <w:rsid w:val="00A64C73"/>
    <w:rsid w:val="00A77CEC"/>
    <w:rsid w:val="00AB77A5"/>
    <w:rsid w:val="00AC743F"/>
    <w:rsid w:val="00AC7A00"/>
    <w:rsid w:val="00AD4735"/>
    <w:rsid w:val="00AE4895"/>
    <w:rsid w:val="00AE6CBB"/>
    <w:rsid w:val="00AF27CF"/>
    <w:rsid w:val="00B11608"/>
    <w:rsid w:val="00B23284"/>
    <w:rsid w:val="00B26655"/>
    <w:rsid w:val="00B3672D"/>
    <w:rsid w:val="00B418BF"/>
    <w:rsid w:val="00B47027"/>
    <w:rsid w:val="00B62507"/>
    <w:rsid w:val="00B643BB"/>
    <w:rsid w:val="00B738F6"/>
    <w:rsid w:val="00B7748A"/>
    <w:rsid w:val="00B80B4A"/>
    <w:rsid w:val="00B91D29"/>
    <w:rsid w:val="00B971AC"/>
    <w:rsid w:val="00BA15BC"/>
    <w:rsid w:val="00BA6DF0"/>
    <w:rsid w:val="00BB1342"/>
    <w:rsid w:val="00BB2343"/>
    <w:rsid w:val="00BE5853"/>
    <w:rsid w:val="00BF3395"/>
    <w:rsid w:val="00C00702"/>
    <w:rsid w:val="00C110F7"/>
    <w:rsid w:val="00C152A8"/>
    <w:rsid w:val="00C226B9"/>
    <w:rsid w:val="00C23362"/>
    <w:rsid w:val="00C259C8"/>
    <w:rsid w:val="00C34457"/>
    <w:rsid w:val="00C42704"/>
    <w:rsid w:val="00C47B9F"/>
    <w:rsid w:val="00C51E11"/>
    <w:rsid w:val="00C532B7"/>
    <w:rsid w:val="00C938C1"/>
    <w:rsid w:val="00C94BEA"/>
    <w:rsid w:val="00CB2932"/>
    <w:rsid w:val="00CC2955"/>
    <w:rsid w:val="00CC344C"/>
    <w:rsid w:val="00CC68BA"/>
    <w:rsid w:val="00CD4881"/>
    <w:rsid w:val="00CE41B0"/>
    <w:rsid w:val="00CF5873"/>
    <w:rsid w:val="00CF709C"/>
    <w:rsid w:val="00D419B8"/>
    <w:rsid w:val="00D432FB"/>
    <w:rsid w:val="00D61EFC"/>
    <w:rsid w:val="00D63208"/>
    <w:rsid w:val="00D70EA1"/>
    <w:rsid w:val="00D73A6A"/>
    <w:rsid w:val="00D93507"/>
    <w:rsid w:val="00D946E1"/>
    <w:rsid w:val="00DB34E3"/>
    <w:rsid w:val="00DD5F95"/>
    <w:rsid w:val="00DE68FE"/>
    <w:rsid w:val="00DE6CA4"/>
    <w:rsid w:val="00DE713E"/>
    <w:rsid w:val="00DF49A2"/>
    <w:rsid w:val="00E022E2"/>
    <w:rsid w:val="00E03DEF"/>
    <w:rsid w:val="00E044F6"/>
    <w:rsid w:val="00E07D6A"/>
    <w:rsid w:val="00E21835"/>
    <w:rsid w:val="00E2731C"/>
    <w:rsid w:val="00E30C6C"/>
    <w:rsid w:val="00E32C1A"/>
    <w:rsid w:val="00E45BF4"/>
    <w:rsid w:val="00E578AC"/>
    <w:rsid w:val="00E61A77"/>
    <w:rsid w:val="00E70B55"/>
    <w:rsid w:val="00E72EDE"/>
    <w:rsid w:val="00E75866"/>
    <w:rsid w:val="00E844AC"/>
    <w:rsid w:val="00E84E5F"/>
    <w:rsid w:val="00E94C9F"/>
    <w:rsid w:val="00E9716B"/>
    <w:rsid w:val="00EB2117"/>
    <w:rsid w:val="00EC0319"/>
    <w:rsid w:val="00EC0956"/>
    <w:rsid w:val="00ED3942"/>
    <w:rsid w:val="00EE7259"/>
    <w:rsid w:val="00EF0275"/>
    <w:rsid w:val="00EF6942"/>
    <w:rsid w:val="00F05051"/>
    <w:rsid w:val="00F069DB"/>
    <w:rsid w:val="00F26EB0"/>
    <w:rsid w:val="00F272E2"/>
    <w:rsid w:val="00F53032"/>
    <w:rsid w:val="00F60813"/>
    <w:rsid w:val="00F7203A"/>
    <w:rsid w:val="00F800B1"/>
    <w:rsid w:val="00F860EA"/>
    <w:rsid w:val="00F87F81"/>
    <w:rsid w:val="00F93C40"/>
    <w:rsid w:val="00F97BAF"/>
    <w:rsid w:val="00FA65E2"/>
    <w:rsid w:val="00FB19B4"/>
    <w:rsid w:val="00FB2193"/>
    <w:rsid w:val="00FD082D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37A3"/>
  <w15:chartTrackingRefBased/>
  <w15:docId w15:val="{AC55ECC4-584E-43B4-B28B-6D00861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835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183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21835"/>
  </w:style>
  <w:style w:type="paragraph" w:styleId="Stopka">
    <w:name w:val="footer"/>
    <w:basedOn w:val="Normalny"/>
    <w:link w:val="StopkaZnak"/>
    <w:unhideWhenUsed/>
    <w:rsid w:val="00E21835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21835"/>
  </w:style>
  <w:style w:type="character" w:styleId="Numerstrony">
    <w:name w:val="page number"/>
    <w:basedOn w:val="Domylnaczcionkaakapitu"/>
    <w:rsid w:val="00E21835"/>
  </w:style>
  <w:style w:type="character" w:styleId="Odwoaniedokomentarza">
    <w:name w:val="annotation reference"/>
    <w:basedOn w:val="Domylnaczcionkaakapitu"/>
    <w:uiPriority w:val="99"/>
    <w:semiHidden/>
    <w:unhideWhenUsed/>
    <w:rsid w:val="00E21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8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835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835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83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21835"/>
    <w:rPr>
      <w:color w:val="0000FF"/>
      <w:u w:val="single"/>
    </w:rPr>
  </w:style>
  <w:style w:type="paragraph" w:customStyle="1" w:styleId="go">
    <w:name w:val="go"/>
    <w:basedOn w:val="Normalny"/>
    <w:rsid w:val="00E2183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3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6250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3B8"/>
    <w:rPr>
      <w:rFonts w:eastAsia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93507"/>
    <w:pPr>
      <w:spacing w:after="0" w:line="240" w:lineRule="auto"/>
    </w:pPr>
    <w:rPr>
      <w:rFonts w:eastAsia="Times New Roman" w:cs="Times New Roman"/>
      <w:sz w:val="2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Diana.Borowiecka@big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lina.Kochalska@big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specyfika%20sektor&#243;w_wyk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specyfika%20sektor&#243;w_wyk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specyfika%20sektor&#243;w_wyk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_OwnCloud\BIGInfoMonitor\badania\WYKRES_obroty%20sprzed%20pandemii%203%20kw.21_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u="none" strike="noStrike" cap="small" baseline="0">
                <a:effectLst/>
              </a:rPr>
              <a:t>Czy firmie udało się już przywrócić poziom obrotów sprzed pandemii?</a:t>
            </a:r>
          </a:p>
          <a:p>
            <a:pPr>
              <a:defRPr/>
            </a:pPr>
            <a:r>
              <a:rPr lang="pl-PL" sz="1000" b="1" i="0" u="none" strike="noStrike" cap="small" baseline="0">
                <a:effectLst/>
              </a:rPr>
              <a:t>3Q2021</a:t>
            </a:r>
          </a:p>
        </c:rich>
      </c:tx>
      <c:layout>
        <c:manualLayout>
          <c:xMode val="edge"/>
          <c:yMode val="edge"/>
          <c:x val="0.116086381665932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2611997644780834E-4"/>
          <c:y val="0.15601469385998884"/>
          <c:w val="0.89272510137753691"/>
          <c:h val="0.721680435437373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4E-4E71-A6D7-D2F728B92D00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4E-4E71-A6D7-D2F728B92D00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94E-4E71-A6D7-D2F728B92D00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94E-4E71-A6D7-D2F728B92D00}"/>
              </c:ext>
            </c:extLst>
          </c:dPt>
          <c:dPt>
            <c:idx val="4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94E-4E71-A6D7-D2F728B92D00}"/>
              </c:ext>
            </c:extLst>
          </c:dPt>
          <c:dLbls>
            <c:dLbl>
              <c:idx val="0"/>
              <c:layout>
                <c:manualLayout>
                  <c:x val="-0.20174415174744859"/>
                  <c:y val="0.1311981477908547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B171C40-3562-4366-A743-34E4A851DACE}" type="CATEGORYNAME">
                      <a:rPr lang="en-US"/>
                      <a:pPr>
                        <a:defRPr sz="1200"/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C5BEAF94-F3BA-4C66-ACED-46251736540E}" type="PERCENTAGE">
                      <a:rPr lang="en-US" b="1" baseline="0"/>
                      <a:pPr>
                        <a:defRPr sz="1200"/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94E-4E71-A6D7-D2F728B92D0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2388"/>
                        <a:gd name="adj2" fmla="val 14143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9.6946531873629865E-2"/>
                  <c:y val="-0.1345562243650841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419-0474-46F7-81D5-A51A2E9366E5}" type="CATEGORYNAME">
                      <a:rPr lang="en-US"/>
                      <a:pPr>
                        <a:defRPr sz="1200"/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B2F46523-86BE-46E1-8749-C63122799F39}" type="PERCENTAGE">
                      <a:rPr lang="en-US" b="1" baseline="0"/>
                      <a:pPr>
                        <a:defRPr sz="1200"/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94E-4E71-A6D7-D2F728B92D0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162"/>
                        <a:gd name="adj2" fmla="val 12905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547172954196062"/>
                      <c:h val="0.2400215118778684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5727487567800161"/>
                  <c:y val="-0.1620683002122322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4B1B71B-F856-4ED0-8677-08014AFC8B38}" type="CATEGORYNAME">
                      <a:rPr lang="en-US"/>
                      <a:pPr>
                        <a:defRPr sz="1200"/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9DAEE31D-9642-421C-AAEB-F3B7C3C6546F}" type="PERCENTAGE">
                      <a:rPr lang="en-US" b="1" baseline="0"/>
                      <a:pPr>
                        <a:defRPr sz="1200"/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94E-4E71-A6D7-D2F728B92D0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0720"/>
                        <a:gd name="adj2" fmla="val 6991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3389991081436371E-3"/>
                  <c:y val="0.1234804577654688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EDFBDC5-9A35-4451-B43E-F2663010D8C1}" type="CATEGORYNAME">
                      <a:rPr lang="en-US"/>
                      <a:pPr>
                        <a:defRPr sz="1200"/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6E1FECA0-092E-4E37-AB58-10E8D681DC2D}" type="PERCENTAGE">
                      <a:rPr lang="en-US" b="1" baseline="0"/>
                      <a:pPr>
                        <a:defRPr sz="1200"/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%" sourceLinked="0"/>
              <c:spPr>
                <a:xfrm>
                  <a:off x="499158" y="615783"/>
                  <a:ext cx="831610" cy="1165703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94E-4E71-A6D7-D2F728B92D0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6351"/>
                        <a:gd name="adj2" fmla="val 1830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885904852461974"/>
                      <c:h val="0.354187599982377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0181251583305274"/>
                  <c:y val="0.1967972216862820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EC8496-2D09-449C-BCEA-0FC80169FAD9}" type="CATEGORYNAME">
                      <a:rPr lang="en-US"/>
                      <a:pPr>
                        <a:defRPr sz="1200"/>
                      </a:pPr>
                      <a:t>[NAZWA KATEGORII]</a:t>
                    </a:fld>
                    <a:r>
                      <a:rPr lang="en-US" baseline="0"/>
                      <a:t>
</a:t>
                    </a:r>
                    <a:fld id="{425B735C-AC9B-4959-9438-4EE3EED60FF0}" type="PERCENTAGE">
                      <a:rPr lang="en-US" b="1" baseline="0"/>
                      <a:pPr>
                        <a:defRPr sz="1200"/>
                      </a:pPr>
                      <a:t>[PROCENTOWE]</a:t>
                    </a:fld>
                    <a:endParaRPr lang="en-US" baseline="0"/>
                  </a:p>
                </c:rich>
              </c:tx>
              <c:numFmt formatCode="0.0%" sourceLinked="0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94E-4E71-A6D7-D2F728B92D00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4516"/>
                        <a:gd name="adj2" fmla="val -40532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Arkusz1!$C$25:$C$29</c:f>
              <c:strCache>
                <c:ptCount val="5"/>
                <c:pt idx="0">
                  <c:v>Tak</c:v>
                </c:pt>
                <c:pt idx="1">
                  <c:v>Jest nawet lepiej</c:v>
                </c:pt>
                <c:pt idx="2">
                  <c:v>Nie</c:v>
                </c:pt>
                <c:pt idx="3">
                  <c:v>Pandemia nic nie zmieniła</c:v>
                </c:pt>
                <c:pt idx="4">
                  <c:v>Nie wiem</c:v>
                </c:pt>
              </c:strCache>
            </c:strRef>
          </c:cat>
          <c:val>
            <c:numRef>
              <c:f>Arkusz1!$E$25:$E$29</c:f>
              <c:numCache>
                <c:formatCode>0.00%</c:formatCode>
                <c:ptCount val="5"/>
                <c:pt idx="0">
                  <c:v>0.316</c:v>
                </c:pt>
                <c:pt idx="1">
                  <c:v>0.11799999999999999</c:v>
                </c:pt>
                <c:pt idx="2">
                  <c:v>0.312</c:v>
                </c:pt>
                <c:pt idx="3">
                  <c:v>0.192</c:v>
                </c:pt>
                <c:pt idx="4">
                  <c:v>6.2E-2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94E-4E71-A6D7-D2F728B92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2674271229404309E-2"/>
          <c:y val="0.89764989673421969"/>
          <c:w val="0.9264755878899168"/>
          <c:h val="0.10160922507637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2Q2021</a:t>
            </a:r>
          </a:p>
        </c:rich>
      </c:tx>
      <c:layout>
        <c:manualLayout>
          <c:xMode val="edge"/>
          <c:yMode val="edge"/>
          <c:x val="0.2598157651246874"/>
          <c:y val="0.232063430671050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35391140934703247"/>
          <c:w val="1"/>
          <c:h val="0.46748987073123682"/>
        </c:manualLayout>
      </c:layout>
      <c:pieChart>
        <c:varyColors val="1"/>
        <c:ser>
          <c:idx val="0"/>
          <c:order val="0"/>
          <c:tx>
            <c:strRef>
              <c:f>Arkusz1!$F$24</c:f>
              <c:strCache>
                <c:ptCount val="1"/>
                <c:pt idx="0">
                  <c:v>2Q2021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26-4F7B-A2C1-B0784F9DB6FB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26-4F7B-A2C1-B0784F9DB6FB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26-4F7B-A2C1-B0784F9DB6F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26-4F7B-A2C1-B0784F9DB6FB}"/>
              </c:ext>
            </c:extLst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A26-4F7B-A2C1-B0784F9DB6FB}"/>
              </c:ext>
            </c:extLst>
          </c:dPt>
          <c:dLbls>
            <c:dLbl>
              <c:idx val="0"/>
              <c:layout>
                <c:manualLayout>
                  <c:x val="-0.1673103863432833"/>
                  <c:y val="0.10995710481074801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A26-4F7B-A2C1-B0784F9DB6FB}"/>
                </c:ext>
                <c:ext xmlns:c15="http://schemas.microsoft.com/office/drawing/2012/chart" uri="{CE6537A1-D6FC-4f65-9D91-7224C49458BB}">
                  <c15:layout>
                    <c:manualLayout>
                      <c:w val="0.28659782321924249"/>
                      <c:h val="6.176754979694448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0888920267694237E-3"/>
                  <c:y val="2.0342856968831324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A26-4F7B-A2C1-B0784F9DB6FB}"/>
                </c:ext>
                <c:ext xmlns:c15="http://schemas.microsoft.com/office/drawing/2012/chart" uri="{CE6537A1-D6FC-4f65-9D91-7224C49458BB}">
                  <c15:layout>
                    <c:manualLayout>
                      <c:w val="0.23270670684805267"/>
                      <c:h val="5.789982595242698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5871919974137287E-2"/>
                  <c:y val="-0.1819352932846264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A26-4F7B-A2C1-B0784F9DB6FB}"/>
                </c:ext>
                <c:ext xmlns:c15="http://schemas.microsoft.com/office/drawing/2012/chart" uri="{CE6537A1-D6FC-4f65-9D91-7224C49458BB}">
                  <c15:layout>
                    <c:manualLayout>
                      <c:w val="0.30547465191202211"/>
                      <c:h val="7.3370721330497005E-2"/>
                    </c:manualLayout>
                  </c15:layout>
                </c:ext>
              </c:extLst>
            </c:dLbl>
            <c:dLbl>
              <c:idx val="3"/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A26-4F7B-A2C1-B0784F9DB6F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Arkusz1!$F$25:$F$29</c:f>
              <c:numCache>
                <c:formatCode>0.0%</c:formatCode>
                <c:ptCount val="5"/>
                <c:pt idx="0">
                  <c:v>0.17799999999999999</c:v>
                </c:pt>
                <c:pt idx="1">
                  <c:v>6.2E-2</c:v>
                </c:pt>
                <c:pt idx="2">
                  <c:v>0.496</c:v>
                </c:pt>
                <c:pt idx="3">
                  <c:v>0.23200000000000001</c:v>
                </c:pt>
                <c:pt idx="4">
                  <c:v>3.2000000000000001E-2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A26-4F7B-A2C1-B0784F9DB6F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Arkusz1!$G$24</c15:sqref>
                        </c15:formulaRef>
                      </c:ext>
                    </c:extLst>
                    <c:strCache>
                      <c:ptCount val="1"/>
                      <c:pt idx="0">
                        <c:v>2021Q1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C-EA26-4F7B-A2C1-B0784F9DB6F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E-EA26-4F7B-A2C1-B0784F9DB6F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0-EA26-4F7B-A2C1-B0784F9DB6F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2-EA26-4F7B-A2C1-B0784F9DB6FB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4-EA26-4F7B-A2C1-B0784F9DB6F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6r2="http://schemas.microsoft.com/office/drawing/2015/06/chart">
                    <c:ext uri="{CE6537A1-D6FC-4f65-9D91-7224C49458BB}"/>
                  </c:extLst>
                </c:dLbls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Arkusz1!$G$25:$G$29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0.126</c:v>
                      </c:pt>
                      <c:pt idx="1">
                        <c:v>0.08</c:v>
                      </c:pt>
                      <c:pt idx="2">
                        <c:v>0.504</c:v>
                      </c:pt>
                      <c:pt idx="3">
                        <c:v>0.252</c:v>
                      </c:pt>
                      <c:pt idx="4">
                        <c:v>3.7999999999999999E-2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5-EA26-4F7B-A2C1-B0784F9DB6FB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Arkusz1!$H$24</c15:sqref>
                        </c15:formulaRef>
                      </c:ext>
                    </c:extLst>
                    <c:strCache>
                      <c:ptCount val="1"/>
                      <c:pt idx="0">
                        <c:v>2020Q4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7-EA26-4F7B-A2C1-B0784F9DB6F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9-EA26-4F7B-A2C1-B0784F9DB6F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B-EA26-4F7B-A2C1-B0784F9DB6F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D-EA26-4F7B-A2C1-B0784F9DB6FB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F-EA26-4F7B-A2C1-B0784F9DB6F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Arkusz1!$H$25:$H$29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0.156</c:v>
                      </c:pt>
                      <c:pt idx="1">
                        <c:v>7.5999999999999998E-2</c:v>
                      </c:pt>
                      <c:pt idx="2">
                        <c:v>0.43</c:v>
                      </c:pt>
                      <c:pt idx="3">
                        <c:v>0.27200000000000002</c:v>
                      </c:pt>
                      <c:pt idx="4">
                        <c:v>6.6000000000000003E-2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20-EA26-4F7B-A2C1-B0784F9DB6FB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/>
              <a:t>2021Q1</a:t>
            </a:r>
            <a:endParaRPr lang="en-US" b="1"/>
          </a:p>
        </c:rich>
      </c:tx>
      <c:layout>
        <c:manualLayout>
          <c:xMode val="edge"/>
          <c:yMode val="edge"/>
          <c:x val="0.26491898674328529"/>
          <c:y val="0.228195706826532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38526975851089584"/>
          <c:w val="0.97341603898980944"/>
          <c:h val="0.42486946432024753"/>
        </c:manualLayout>
      </c:layout>
      <c:pieChart>
        <c:varyColors val="1"/>
        <c:ser>
          <c:idx val="1"/>
          <c:order val="1"/>
          <c:tx>
            <c:strRef>
              <c:f>Arkusz1!$G$24</c:f>
              <c:strCache>
                <c:ptCount val="1"/>
                <c:pt idx="0">
                  <c:v>2021Q1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8-41D3-A23D-01DCAF6B587D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28-41D3-A23D-01DCAF6B587D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28-41D3-A23D-01DCAF6B587D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28-41D3-A23D-01DCAF6B587D}"/>
              </c:ext>
            </c:extLst>
          </c:dPt>
          <c:dPt>
            <c:idx val="4"/>
            <c:bubble3D val="0"/>
            <c:spPr>
              <a:solidFill>
                <a:schemeClr val="bg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B28-41D3-A23D-01DCAF6B587D}"/>
              </c:ext>
            </c:extLst>
          </c:dPt>
          <c:dLbls>
            <c:dLbl>
              <c:idx val="0"/>
              <c:layout>
                <c:manualLayout>
                  <c:x val="-0.12763397646887681"/>
                  <c:y val="9.5590337999473141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B28-41D3-A23D-01DCAF6B587D}"/>
                </c:ext>
                <c:ext xmlns:c15="http://schemas.microsoft.com/office/drawing/2012/chart" uri="{CE6537A1-D6FC-4f65-9D91-7224C49458BB}">
                  <c15:layout>
                    <c:manualLayout>
                      <c:w val="0.28050844683675513"/>
                      <c:h val="6.563527364146200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376461602807741"/>
                  <c:y val="6.7235354041390666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B28-41D3-A23D-01DCAF6B587D}"/>
                </c:ext>
                <c:ext xmlns:c15="http://schemas.microsoft.com/office/drawing/2012/chart" uri="{CE6537A1-D6FC-4f65-9D91-7224C49458BB}">
                  <c15:layout>
                    <c:manualLayout>
                      <c:w val="0.24355694568202069"/>
                      <c:h val="5.789982595242698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9176992598788892"/>
                  <c:y val="-0.15621036154081605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B28-41D3-A23D-01DCAF6B587D}"/>
                </c:ext>
                <c:ext xmlns:c15="http://schemas.microsoft.com/office/drawing/2012/chart" uri="{CE6537A1-D6FC-4f65-9D91-7224C49458BB}">
                  <c15:layout>
                    <c:manualLayout>
                      <c:w val="0.28974632212543866"/>
                      <c:h val="7.723844517501450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8256441963230338E-2"/>
                  <c:y val="7.9919356435115815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B28-41D3-A23D-01DCAF6B587D}"/>
                </c:ext>
                <c:ext xmlns:c15="http://schemas.microsoft.com/office/drawing/2012/chart" uri="{CE6537A1-D6FC-4f65-9D91-7224C49458BB}">
                  <c15:layout>
                    <c:manualLayout>
                      <c:w val="0.26203269625938791"/>
                      <c:h val="6.5635273641462002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9.0582095251950327E-3"/>
                  <c:y val="8.8957191606125557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B28-41D3-A23D-01DCAF6B587D}"/>
                </c:ext>
                <c:ext xmlns:c15="http://schemas.microsoft.com/office/drawing/2012/chart" uri="{CE6537A1-D6FC-4f65-9D91-7224C49458BB}">
                  <c15:layout>
                    <c:manualLayout>
                      <c:w val="0.22508119510465349"/>
                      <c:h val="6.1767549796944488E-2"/>
                    </c:manualLayout>
                  </c15:layout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Arkusz1!$G$25:$G$29</c:f>
              <c:numCache>
                <c:formatCode>0.0%</c:formatCode>
                <c:ptCount val="5"/>
                <c:pt idx="0">
                  <c:v>0.126</c:v>
                </c:pt>
                <c:pt idx="1">
                  <c:v>0.08</c:v>
                </c:pt>
                <c:pt idx="2">
                  <c:v>0.504</c:v>
                </c:pt>
                <c:pt idx="3">
                  <c:v>0.252</c:v>
                </c:pt>
                <c:pt idx="4">
                  <c:v>3.7999999999999999E-2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B28-41D3-A23D-01DCAF6B587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Arkusz1!$F$24</c15:sqref>
                        </c15:formulaRef>
                      </c:ext>
                    </c:extLst>
                    <c:strCache>
                      <c:ptCount val="1"/>
                      <c:pt idx="0">
                        <c:v>2Q2021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C-CB28-41D3-A23D-01DCAF6B587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E-CB28-41D3-A23D-01DCAF6B587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0-CB28-41D3-A23D-01DCAF6B587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2-CB28-41D3-A23D-01DCAF6B587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14-CB28-41D3-A23D-01DCAF6B587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6r2="http://schemas.microsoft.com/office/drawing/2015/06/chart">
                    <c:ext uri="{CE6537A1-D6FC-4f65-9D91-7224C49458BB}"/>
                  </c:extLst>
                </c:dLbls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Arkusz1!$F$25:$F$29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0.17799999999999999</c:v>
                      </c:pt>
                      <c:pt idx="1">
                        <c:v>6.2E-2</c:v>
                      </c:pt>
                      <c:pt idx="2">
                        <c:v>0.496</c:v>
                      </c:pt>
                      <c:pt idx="3">
                        <c:v>0.23200000000000001</c:v>
                      </c:pt>
                      <c:pt idx="4">
                        <c:v>3.2000000000000001E-2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5-CB28-41D3-A23D-01DCAF6B587D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Arkusz1!$H$24</c15:sqref>
                        </c15:formulaRef>
                      </c:ext>
                    </c:extLst>
                    <c:strCache>
                      <c:ptCount val="1"/>
                      <c:pt idx="0">
                        <c:v>2020Q4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7-CB28-41D3-A23D-01DCAF6B587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9-CB28-41D3-A23D-01DCAF6B587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B-CB28-41D3-A23D-01DCAF6B587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D-CB28-41D3-A23D-01DCAF6B587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 xmlns:c16r2="http://schemas.microsoft.com/office/drawing/2015/06/chart">
                    <c:ext xmlns:c16="http://schemas.microsoft.com/office/drawing/2014/chart" uri="{C3380CC4-5D6E-409C-BE32-E72D297353CC}">
                      <c16:uniqueId val="{0000001F-CB28-41D3-A23D-01DCAF6B587D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Arkusz1!$H$25:$H$29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0.156</c:v>
                      </c:pt>
                      <c:pt idx="1">
                        <c:v>7.5999999999999998E-2</c:v>
                      </c:pt>
                      <c:pt idx="2">
                        <c:v>0.43</c:v>
                      </c:pt>
                      <c:pt idx="3">
                        <c:v>0.27200000000000002</c:v>
                      </c:pt>
                      <c:pt idx="4">
                        <c:v>6.6000000000000003E-2</c:v>
                      </c:pt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20-CB28-41D3-A23D-01DCAF6B587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cap="small" baseline="0"/>
              <a:t>Obroty są wyższe niż przed pandemią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6426426426426425E-2"/>
          <c:y val="0.14909740449110528"/>
          <c:w val="0.94714714714714709"/>
          <c:h val="0.74408136482939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Arkusz1!$P$21</c:f>
              <c:strCache>
                <c:ptCount val="1"/>
                <c:pt idx="0">
                  <c:v>3Q2020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Arkusz1!$Q$20:$V$20</c:f>
              <c:strCache>
                <c:ptCount val="6"/>
                <c:pt idx="0">
                  <c:v>Budowlana</c:v>
                </c:pt>
                <c:pt idx="1">
                  <c:v>Handel</c:v>
                </c:pt>
                <c:pt idx="2">
                  <c:v>Przemysł</c:v>
                </c:pt>
                <c:pt idx="3">
                  <c:v>Transport</c:v>
                </c:pt>
                <c:pt idx="4">
                  <c:v>Usługi</c:v>
                </c:pt>
                <c:pt idx="5">
                  <c:v>Ogółem</c:v>
                </c:pt>
              </c:strCache>
            </c:strRef>
          </c:cat>
          <c:val>
            <c:numRef>
              <c:f>Arkusz1!$Q$21:$V$21</c:f>
              <c:numCache>
                <c:formatCode>0.0%</c:formatCode>
                <c:ptCount val="6"/>
                <c:pt idx="0">
                  <c:v>4.7E-2</c:v>
                </c:pt>
                <c:pt idx="1">
                  <c:v>7.0000000000000007E-2</c:v>
                </c:pt>
                <c:pt idx="2">
                  <c:v>5.7000000000000002E-2</c:v>
                </c:pt>
                <c:pt idx="3">
                  <c:v>9.6000000000000002E-2</c:v>
                </c:pt>
                <c:pt idx="4">
                  <c:v>3.1E-2</c:v>
                </c:pt>
                <c:pt idx="5">
                  <c:v>5.8000000000000003E-2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F7-4F46-9B16-FFF17F87F017}"/>
            </c:ext>
          </c:extLst>
        </c:ser>
        <c:ser>
          <c:idx val="1"/>
          <c:order val="1"/>
          <c:tx>
            <c:strRef>
              <c:f>Arkusz1!$P$22</c:f>
              <c:strCache>
                <c:ptCount val="1"/>
                <c:pt idx="0">
                  <c:v>3Q2021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Arkusz1!$Q$20:$V$20</c:f>
              <c:strCache>
                <c:ptCount val="6"/>
                <c:pt idx="0">
                  <c:v>Budowlana</c:v>
                </c:pt>
                <c:pt idx="1">
                  <c:v>Handel</c:v>
                </c:pt>
                <c:pt idx="2">
                  <c:v>Przemysł</c:v>
                </c:pt>
                <c:pt idx="3">
                  <c:v>Transport</c:v>
                </c:pt>
                <c:pt idx="4">
                  <c:v>Usługi</c:v>
                </c:pt>
                <c:pt idx="5">
                  <c:v>Ogółem</c:v>
                </c:pt>
              </c:strCache>
            </c:strRef>
          </c:cat>
          <c:val>
            <c:numRef>
              <c:f>Arkusz1!$Q$22:$V$22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0.156</c:v>
                </c:pt>
                <c:pt idx="2">
                  <c:v>0.18099999999999999</c:v>
                </c:pt>
                <c:pt idx="3">
                  <c:v>9.0999999999999998E-2</c:v>
                </c:pt>
                <c:pt idx="4">
                  <c:v>0.05</c:v>
                </c:pt>
                <c:pt idx="5">
                  <c:v>0.11799999999999999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F7-4F46-9B16-FFF17F87F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283750472"/>
        <c:axId val="283746944"/>
      </c:barChart>
      <c:catAx>
        <c:axId val="283750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3746944"/>
        <c:crosses val="autoZero"/>
        <c:auto val="1"/>
        <c:lblAlgn val="ctr"/>
        <c:lblOffset val="100"/>
        <c:noMultiLvlLbl val="0"/>
      </c:catAx>
      <c:valAx>
        <c:axId val="28374694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83750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107535882339049"/>
          <c:y val="0.144096675415573"/>
          <c:w val="0.22337480787874489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A8E1-BD68-4A03-9B8E-54DB661D3A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5BBE35-5749-4C94-977C-F443AE45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Kochalska Halina</dc:creator>
  <cp:keywords/>
  <dc:description/>
  <cp:lastModifiedBy>Borowiecka Diana</cp:lastModifiedBy>
  <cp:revision>5</cp:revision>
  <dcterms:created xsi:type="dcterms:W3CDTF">2021-09-09T12:39:00Z</dcterms:created>
  <dcterms:modified xsi:type="dcterms:W3CDTF">2021-09-10T16:32:00Z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ebbcab69-610e-40e2-8791-01db27d13c7b</vt:lpwstr>
  </property>
  <property fmtid="{D5CDD505-2E9C-101B-9397-08002B2CF9AE}" pid="3" name="bjSaver">
    <vt:lpwstr>6ntNSksSHiginG8KZDJKRJ7O3fVY3zq8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2021-09-10T14:17:42Z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0ee9f5ae-d748-4544-8196-93d28c996790</vt:lpwstr>
  </property>
  <property fmtid="{D5CDD505-2E9C-101B-9397-08002B2CF9AE}" pid="13" name="MSIP_Label_1391a466-f120-4668-a5e5-7af4d8a99d82_ContentBits">
    <vt:lpwstr>2</vt:lpwstr>
  </property>
</Properties>
</file>