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C7A69" w14:textId="22621986" w:rsidR="002D190A" w:rsidRDefault="00B31D3F" w:rsidP="00CD113F">
      <w:pPr>
        <w:spacing w:after="240"/>
        <w:ind w:left="6372"/>
        <w:rPr>
          <w:sz w:val="22"/>
        </w:rPr>
      </w:pPr>
      <w:r>
        <w:rPr>
          <w:sz w:val="22"/>
        </w:rPr>
        <w:t>Warszawa, 17.09</w:t>
      </w:r>
      <w:r w:rsidR="002D190A">
        <w:rPr>
          <w:sz w:val="22"/>
        </w:rPr>
        <w:t xml:space="preserve">.2021 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4780FDFC" w14:textId="77777777" w:rsidR="00316974" w:rsidRPr="00316974" w:rsidRDefault="00316974" w:rsidP="00316974">
      <w:pPr>
        <w:spacing w:before="480" w:after="480" w:line="259" w:lineRule="auto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b/>
          <w:bCs/>
          <w:sz w:val="28"/>
          <w:szCs w:val="28"/>
        </w:rPr>
        <w:t xml:space="preserve">Co trzeci Polak nie chce się szczepić, choć boi się o zdrowie lub finanse </w:t>
      </w:r>
    </w:p>
    <w:p w14:paraId="3A9C796D" w14:textId="46B424BB" w:rsidR="00316974" w:rsidRPr="00316974" w:rsidRDefault="00316974" w:rsidP="00316974">
      <w:pPr>
        <w:spacing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316974">
        <w:rPr>
          <w:rFonts w:ascii="Calibri" w:eastAsia="Calibri" w:hAnsi="Calibri" w:cs="Times New Roman"/>
          <w:b/>
          <w:bCs/>
          <w:sz w:val="22"/>
        </w:rPr>
        <w:t>Co trzeci Polak mówi, że nie zamierza się szczepić przeciwko COVID-19 i nie są w stanie wpłynąć na to ani obawy o zdrowie, ani o finanse. Nie zmienia tego też przekonanie o nadejściu jesienią czwartej fali zakażeń i nieuchronności wprowadzenia restrykcji czy nawet lockdownu. Jeśli chodzi o ograniczenia dla niezaszczepionych, to tylko nieliczne sytuacje znajdują niewielką przewagę zwolenników wprowadzenia zakazów</w:t>
      </w:r>
      <w:r w:rsidR="008065DB">
        <w:rPr>
          <w:rFonts w:ascii="Calibri" w:eastAsia="Calibri" w:hAnsi="Calibri" w:cs="Times New Roman"/>
          <w:b/>
          <w:bCs/>
          <w:sz w:val="22"/>
        </w:rPr>
        <w:t xml:space="preserve"> </w:t>
      </w:r>
      <w:r w:rsidRPr="00316974">
        <w:rPr>
          <w:rFonts w:ascii="Calibri" w:eastAsia="Calibri" w:hAnsi="Calibri" w:cs="Times New Roman"/>
          <w:b/>
          <w:bCs/>
          <w:sz w:val="22"/>
        </w:rPr>
        <w:t xml:space="preserve">dla pozbawionych szczepień – wynika z badania zrealizowanego dla Rejestru Dłużników BIG InfoMonitor. </w:t>
      </w:r>
    </w:p>
    <w:p w14:paraId="1FEB0C03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Times New Roman" w:hAnsi="Calibri" w:cs="Times New Roman"/>
          <w:color w:val="auto"/>
          <w:sz w:val="22"/>
          <w:lang w:eastAsia="pl-PL"/>
        </w:rPr>
        <w:t xml:space="preserve">Według danych Ministerstwa Zdrowia z 13 września łączna liczba zaszczepionych co najmniej jedną dawką szczepionki przeciw COVID-19 w Polsce wynosi 19 532 718, a dwoma – 17 216 727. Oznacza to, że odsetek osób, które przyjęły przynajmniej jedną dawkę to 50,93 proc, a tych zaszczepionych dwiema – 44,89 proc. całego społeczeństwa. </w:t>
      </w:r>
      <w:r w:rsidRPr="00316974">
        <w:rPr>
          <w:rFonts w:ascii="Calibri" w:eastAsia="Calibri" w:hAnsi="Calibri" w:cs="Times New Roman"/>
          <w:sz w:val="22"/>
        </w:rPr>
        <w:t xml:space="preserve">Województwa z najniższym poziomem zaszczepienia to obecnie podkarpackie, lubelskie, opolskie, warmińsko-mazurskie, świętokrzyskie i podlaskie. </w:t>
      </w:r>
    </w:p>
    <w:p w14:paraId="17389886" w14:textId="663EDA54" w:rsidR="00316974" w:rsidRPr="00316974" w:rsidRDefault="00316974" w:rsidP="00316974">
      <w:pPr>
        <w:spacing w:before="240"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316974">
        <w:rPr>
          <w:rFonts w:ascii="Calibri" w:eastAsia="Calibri" w:hAnsi="Calibri" w:cs="Times New Roman"/>
          <w:b/>
          <w:bCs/>
          <w:sz w:val="22"/>
        </w:rPr>
        <w:t>Wśród niezaszczepionych nie ma obaw o zdrowie i finanse 31 proc. osób</w:t>
      </w:r>
      <w:r w:rsidR="008065DB">
        <w:rPr>
          <w:rFonts w:ascii="Calibri" w:eastAsia="Calibri" w:hAnsi="Calibri" w:cs="Times New Roman"/>
          <w:b/>
          <w:bCs/>
          <w:sz w:val="22"/>
        </w:rPr>
        <w:t xml:space="preserve"> </w:t>
      </w:r>
    </w:p>
    <w:p w14:paraId="71400074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t xml:space="preserve">Co trzeci uczestnik badania mówi, że nie zamierza się szczepić. Nie oznacza to jednak, że osoby te nie obawiają się o zdrowie czy finanse. Zdecydowana większość przeciwników szczepień (69 proc.) mówi, że nadciągająca wysoka fala zachorowań na COVID-19 wpłynie negatywnie na ich finanse lub na zdrowie, albo na jedno i drugie. Przekonanych, że nic im nie grozi jest 31 proc. ankietowanych, wprawdzie to niemal dwa razy więcej niż wśród szczepionych, gdzie brak kłopotów zakłada 17 proc., ale nadal mniejszość. </w:t>
      </w:r>
    </w:p>
    <w:p w14:paraId="3F5E4FB0" w14:textId="77777777" w:rsidR="00316974" w:rsidRPr="00316974" w:rsidRDefault="00316974" w:rsidP="00316974">
      <w:pPr>
        <w:spacing w:after="160" w:line="259" w:lineRule="auto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 w:rsidRPr="00316974">
        <w:rPr>
          <w:rFonts w:ascii="Calibri" w:eastAsia="Times New Roman" w:hAnsi="Calibri" w:cs="Times New Roman"/>
          <w:noProof/>
          <w:color w:val="auto"/>
          <w:sz w:val="23"/>
          <w:szCs w:val="24"/>
          <w:lang w:eastAsia="pl-PL"/>
        </w:rPr>
        <w:drawing>
          <wp:inline distT="0" distB="0" distL="0" distR="0" wp14:anchorId="24CB34F9" wp14:editId="5B82DE4E">
            <wp:extent cx="5749925" cy="2050415"/>
            <wp:effectExtent l="0" t="0" r="3175" b="6985"/>
            <wp:docPr id="6" name="Wykres 6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9E10D4-83CC-4965-8D37-6ADB3F87A2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16974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badanie Quality Watch dla Rejestru Dłużników BIG InfoMonitor</w:t>
      </w:r>
    </w:p>
    <w:p w14:paraId="2023DBFF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lastRenderedPageBreak/>
        <w:t xml:space="preserve">Średnio w całym społeczeństwie kolejny wzrost liczby chorych na COVID-19 stresuje 80 proc. osób. Po poprzednich przejściach niemal 40 proc. na równi martwi się o to, jak natężenie pandemii przełoży się na zdrowie i portfele, 25 proc. ma lęki związane ze zdrowiem, a 16 proc. mówi wyłącznie o obawach o to jak czwarta fala odciśnie się ich na domowych budżetach. </w:t>
      </w:r>
    </w:p>
    <w:p w14:paraId="1ABB7CF0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t xml:space="preserve">– </w:t>
      </w:r>
      <w:r w:rsidRPr="00316974">
        <w:rPr>
          <w:rFonts w:ascii="Calibri" w:eastAsia="Calibri" w:hAnsi="Calibri" w:cs="Times New Roman"/>
          <w:i/>
          <w:iCs/>
          <w:sz w:val="22"/>
        </w:rPr>
        <w:t xml:space="preserve">Sytuacja jest dla społeczeństwa na tyle mobilizująca, że ostatecznie perturbacje gospodarcze i mniejsze wpływy na konto nie przekładają się na zwiększenie zaległości Polaków z tytułu nieopłaconych rachunków czy też opóźnianych płatności rat kredytów i pożyczek. Z danych Rejestru Dłużników BIG InfoMonitor oraz bazy informacji kredytowych BIK wynika, że w okresie pandemii ubyło niesolidnych płatników, zmniejszyła się też suma ich zaległości </w:t>
      </w:r>
      <w:r w:rsidRPr="00316974">
        <w:rPr>
          <w:rFonts w:ascii="Calibri" w:eastAsia="Calibri" w:hAnsi="Calibri" w:cs="Times New Roman"/>
          <w:sz w:val="22"/>
        </w:rPr>
        <w:t xml:space="preserve">– mówi </w:t>
      </w:r>
      <w:r w:rsidRPr="00316974">
        <w:rPr>
          <w:rFonts w:ascii="Calibri" w:eastAsia="Calibri" w:hAnsi="Calibri" w:cs="Times New Roman"/>
          <w:b/>
          <w:bCs/>
          <w:sz w:val="22"/>
        </w:rPr>
        <w:t>Halina Kochalska</w:t>
      </w:r>
      <w:r w:rsidRPr="00316974">
        <w:rPr>
          <w:rFonts w:ascii="Calibri" w:eastAsia="Calibri" w:hAnsi="Calibri" w:cs="Times New Roman"/>
          <w:sz w:val="22"/>
        </w:rPr>
        <w:t xml:space="preserve">, ekspertka BIG InfoMonitor. – </w:t>
      </w:r>
      <w:r w:rsidRPr="00316974">
        <w:rPr>
          <w:rFonts w:ascii="Calibri" w:eastAsia="Calibri" w:hAnsi="Calibri" w:cs="Times New Roman"/>
          <w:i/>
          <w:iCs/>
          <w:sz w:val="22"/>
        </w:rPr>
        <w:t xml:space="preserve">W niepewnych czasach </w:t>
      </w:r>
      <w:r w:rsidRPr="00316974">
        <w:rPr>
          <w:rFonts w:ascii="Calibri" w:eastAsia="Calibri" w:hAnsi="Calibri" w:cs="Times New Roman"/>
          <w:sz w:val="22"/>
        </w:rPr>
        <w:t>k</w:t>
      </w:r>
      <w:r w:rsidRPr="00316974">
        <w:rPr>
          <w:rFonts w:ascii="Calibri" w:eastAsia="Calibri" w:hAnsi="Calibri" w:cs="Times New Roman"/>
          <w:i/>
          <w:iCs/>
          <w:sz w:val="22"/>
        </w:rPr>
        <w:t xml:space="preserve">onsumenci uznający, że grożą im kłopoty finansowe w sytuacji zwiększenia wydatków stali się zdecydowanie ostrożniejsi w podejmowaniu decyzji zakupowych. Pytanie jednak, czy tego typu ograniczenia okażą się wystraczające na przedłużającą się pandemię </w:t>
      </w:r>
      <w:r w:rsidRPr="00316974">
        <w:rPr>
          <w:rFonts w:ascii="Calibri" w:eastAsia="Calibri" w:hAnsi="Calibri" w:cs="Times New Roman"/>
          <w:sz w:val="22"/>
        </w:rPr>
        <w:t xml:space="preserve">– dodaje. </w:t>
      </w:r>
    </w:p>
    <w:p w14:paraId="25B4B89D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316974">
        <w:rPr>
          <w:rFonts w:ascii="Calibri" w:eastAsia="Calibri" w:hAnsi="Calibri" w:cs="Times New Roman"/>
          <w:sz w:val="22"/>
        </w:rPr>
        <w:t xml:space="preserve">W 16 miesięcy pandemii, od końca marca 2020 r. do końca lipca br. liczba osób z nieopłaconymi zobowiązaniami widocznych w BIG InfoMonitor i w BIK, zmniejszyła się o 94 tys. do 2,74 mln. Zaległości obniżyły się </w:t>
      </w:r>
      <w:r w:rsidRPr="00316974">
        <w:rPr>
          <w:rFonts w:ascii="Calibri" w:eastAsia="Times New Roman" w:hAnsi="Calibri" w:cs="Times New Roman"/>
          <w:sz w:val="22"/>
          <w:lang w:eastAsia="pl-PL"/>
        </w:rPr>
        <w:t xml:space="preserve">o prawie 1,7 mld zł, do 78,1 mld zł. Gdyby spojrzeć na zmianę w okresie ostatnich 12 miesięcy, spadki są jeszcze bardziej znaczące, bo dłużników ubyło o ponad 106 tys., a zaległości o prawie 3,8 mld zł. W największym stopniu poprawiła się pod tym względem sytuacja w województwach śląskim, dolnośląskim i warmińsko-mazurskim oraz w opolskim, podkarpackim i świętokrzyskim, czyli jednocześnie w regionach, w których jest to znaczący problem, jak i tam, gdzie dłużników jest mniej.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62"/>
        <w:gridCol w:w="1134"/>
        <w:gridCol w:w="1560"/>
        <w:gridCol w:w="1275"/>
        <w:gridCol w:w="1555"/>
      </w:tblGrid>
      <w:tr w:rsidR="00316974" w:rsidRPr="00316974" w14:paraId="64B92F5A" w14:textId="77777777" w:rsidTr="004F67B2">
        <w:trPr>
          <w:trHeight w:val="1456"/>
        </w:trPr>
        <w:tc>
          <w:tcPr>
            <w:tcW w:w="22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211B2612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16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29903B82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Kwota zaległości (mld zł)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1D47C232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Liczba niesolidnych dłużników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64F1B514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Udział osób z problemami wśród pełnoletnich mieszkańców woj.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7BCB3F5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Roczna % zmiana kwoty zaległości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0D5082DE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Roczna % zmiana liczba dłużników</w:t>
            </w:r>
          </w:p>
        </w:tc>
      </w:tr>
      <w:tr w:rsidR="00316974" w:rsidRPr="00316974" w14:paraId="1A552BE1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5A6C15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F13A0C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4C9EB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267 715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71FA2C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11,1%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973117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-5,2%</w:t>
            </w:r>
          </w:p>
        </w:tc>
        <w:tc>
          <w:tcPr>
            <w:tcW w:w="15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4327A8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-3,8%</w:t>
            </w:r>
          </w:p>
        </w:tc>
      </w:tr>
      <w:tr w:rsidR="00316974" w:rsidRPr="00316974" w14:paraId="3D5C0849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11407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EA40B7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C15CBB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184 330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F713D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7812F1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-4,2%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B82F7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-4,1%</w:t>
            </w:r>
          </w:p>
        </w:tc>
      </w:tr>
      <w:tr w:rsidR="00316974" w:rsidRPr="00316974" w14:paraId="28465E12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B6A819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5B76D1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E9D817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117 091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13AB9E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ABAE42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-4,3%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8D5FE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-4,3%</w:t>
            </w:r>
          </w:p>
        </w:tc>
      </w:tr>
      <w:tr w:rsidR="00316974" w:rsidRPr="00316974" w14:paraId="3E2C8AFF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93A87D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B395FA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8D9E78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95 034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0524CF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61CA0E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913F0B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-3,6%</w:t>
            </w:r>
          </w:p>
        </w:tc>
      </w:tr>
      <w:tr w:rsidR="00316974" w:rsidRPr="00316974" w14:paraId="7AFE01C4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DD382B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C0BA2A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B2B05B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181 247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245764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398A58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-4,8%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D24EA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-2,4%</w:t>
            </w:r>
          </w:p>
        </w:tc>
      </w:tr>
      <w:tr w:rsidR="00316974" w:rsidRPr="00316974" w14:paraId="3E557E7C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96B775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08FC11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AD5B1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161 735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4C602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D2B5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84A90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-3,4%</w:t>
            </w:r>
          </w:p>
        </w:tc>
      </w:tr>
      <w:tr w:rsidR="00316974" w:rsidRPr="00316974" w14:paraId="2A961F5F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E22812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283041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CFEEE0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359 728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0BE93B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FF5ED1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E53E5C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-3,3%</w:t>
            </w:r>
          </w:p>
        </w:tc>
      </w:tr>
      <w:tr w:rsidR="00316974" w:rsidRPr="00316974" w14:paraId="45B15CD0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3E5215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DFCFE9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380724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76E6B0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CDC75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-5,8%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24B5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-4,1%</w:t>
            </w:r>
          </w:p>
        </w:tc>
      </w:tr>
      <w:tr w:rsidR="00316974" w:rsidRPr="00316974" w14:paraId="1ECC61DB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427C57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A8FB35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BA05C8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7CA838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4E28AA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-4,9%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ABDB4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-4,7%</w:t>
            </w:r>
          </w:p>
        </w:tc>
      </w:tr>
      <w:tr w:rsidR="00316974" w:rsidRPr="00316974" w14:paraId="55FECE50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D2E2A1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4D0CB0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EC7961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955FB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44C8E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-3,7%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D9E3A4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-3,1%</w:t>
            </w:r>
          </w:p>
        </w:tc>
      </w:tr>
      <w:tr w:rsidR="00316974" w:rsidRPr="00316974" w14:paraId="6D11FB11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3DB4B2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49DE23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BDDE0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188 272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DBA947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F9C68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424306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-3,3%</w:t>
            </w:r>
          </w:p>
        </w:tc>
      </w:tr>
      <w:tr w:rsidR="00316974" w:rsidRPr="00316974" w14:paraId="1D4F268E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D9BCBA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2A07A8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749AF1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374 048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68BA0A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5C4BD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-7,2%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4940FE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-4,7%</w:t>
            </w:r>
          </w:p>
        </w:tc>
      </w:tr>
      <w:tr w:rsidR="00316974" w:rsidRPr="00316974" w14:paraId="5E0D7FF3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86E25B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A660D6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DDD48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2F70D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091005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-4,8%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B86BD5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-4,2%</w:t>
            </w:r>
          </w:p>
        </w:tc>
      </w:tr>
      <w:tr w:rsidR="00316974" w:rsidRPr="00316974" w14:paraId="7118FF37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F2889C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6FA1C3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9D8E8F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2B9D3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F9E21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-5,4%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7246F5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-2,6%</w:t>
            </w:r>
          </w:p>
        </w:tc>
      </w:tr>
      <w:tr w:rsidR="00316974" w:rsidRPr="00316974" w14:paraId="1B5660A6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03D57E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222E00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4B66B4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FE3C8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C221B5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-4,4%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4037A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-3,8%</w:t>
            </w:r>
          </w:p>
        </w:tc>
      </w:tr>
      <w:tr w:rsidR="00316974" w:rsidRPr="00316974" w14:paraId="5494FF8D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6878F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4B6F2F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F5500A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158 663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0C7409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CC6665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-4,1%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10476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-4,0%</w:t>
            </w:r>
          </w:p>
        </w:tc>
      </w:tr>
      <w:tr w:rsidR="00316974" w:rsidRPr="00316974" w14:paraId="469945B3" w14:textId="77777777" w:rsidTr="004F67B2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1CB882" w14:textId="77777777" w:rsidR="00316974" w:rsidRPr="00316974" w:rsidRDefault="00316974" w:rsidP="00316974">
            <w:pPr>
              <w:spacing w:line="259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Polska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DF4FD5" w14:textId="77777777" w:rsidR="00316974" w:rsidRPr="00316974" w:rsidRDefault="00316974" w:rsidP="00316974">
            <w:pPr>
              <w:spacing w:line="259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067AEB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2 739 629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A6495D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592CE7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-4,6%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1C9BFE" w14:textId="77777777" w:rsidR="00316974" w:rsidRPr="00316974" w:rsidRDefault="00316974" w:rsidP="00316974">
            <w:pPr>
              <w:spacing w:line="259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9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-3,7%</w:t>
            </w:r>
          </w:p>
        </w:tc>
      </w:tr>
    </w:tbl>
    <w:p w14:paraId="0113C97C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 w:rsidRPr="00316974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informacji kredytowych BIK.</w:t>
      </w:r>
      <w:r w:rsidRPr="00316974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316974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 xml:space="preserve">Dane na koniec lipca 2021 r. </w:t>
      </w:r>
    </w:p>
    <w:p w14:paraId="6F254B46" w14:textId="77777777" w:rsidR="00316974" w:rsidRPr="00316974" w:rsidRDefault="00316974" w:rsidP="00316974">
      <w:pPr>
        <w:spacing w:before="240"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316974">
        <w:rPr>
          <w:rFonts w:ascii="Calibri" w:eastAsia="Calibri" w:hAnsi="Calibri" w:cs="Times New Roman"/>
          <w:b/>
          <w:bCs/>
          <w:sz w:val="22"/>
        </w:rPr>
        <w:t xml:space="preserve">W razie utrudnień 10 proc. osób bierze pod uwagę szczepienie </w:t>
      </w:r>
    </w:p>
    <w:p w14:paraId="04C5A33D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316974">
        <w:rPr>
          <w:rFonts w:ascii="Calibri" w:eastAsia="Calibri" w:hAnsi="Calibri" w:cs="Times New Roman"/>
          <w:sz w:val="22"/>
        </w:rPr>
        <w:lastRenderedPageBreak/>
        <w:t>Z 35 proc. unikających szczepień, 10 proc. informuje, że rozważyliby zmianę podejścia w sytuacji, gdyby brak szczepień zaczął utrudniać im dostęp do usług. Ale na takie restrykcyjne podejście do niezaszczepionych w zasadzie nie ma zgody znaczącej większości Polaków.</w:t>
      </w:r>
    </w:p>
    <w:p w14:paraId="2D13FBE8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Times New Roman" w:hAnsi="Calibri" w:cs="Times New Roman"/>
          <w:noProof/>
          <w:color w:val="auto"/>
          <w:sz w:val="23"/>
          <w:szCs w:val="24"/>
          <w:lang w:eastAsia="pl-PL"/>
        </w:rPr>
        <w:drawing>
          <wp:inline distT="0" distB="0" distL="0" distR="0" wp14:anchorId="22B6F435" wp14:editId="5FC35817">
            <wp:extent cx="5759450" cy="2170998"/>
            <wp:effectExtent l="0" t="0" r="0" b="1270"/>
            <wp:docPr id="5" name="Wykres 5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69B2406-4FCD-4C32-B891-B75BC3DB28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16974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badanie Quality Watch dla Rejestru Dłużników BIG InfoMonitor</w:t>
      </w:r>
    </w:p>
    <w:p w14:paraId="72B3B537" w14:textId="0E770C68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t>Jak wynika z badań zrealizowanych przez Quality Watch dla Rejestru Dłużników BIG InfoMonitor, na 11 różnego rodzaju sytuacji i miejsc, w których można byłoby np. zakazać obecności osobom niezaszczepionym, więcej głosów za takim rozwiązaniem zebrały cztery: chodzenie do klubów i dyskotek, na koncerty, do kin i teatrów oraz udział w wyjazdach organizowanych przez biura podróży. Jednak różnice między zwolennikami wprowadzenia zakazów wstępu a przeciwnikami są znikome i wynoszą zaledwie 2-3 pkt proc.</w:t>
      </w:r>
      <w:r w:rsidR="008065DB">
        <w:rPr>
          <w:rFonts w:ascii="Calibri" w:eastAsia="Calibri" w:hAnsi="Calibri" w:cs="Times New Roman"/>
          <w:sz w:val="22"/>
        </w:rPr>
        <w:t xml:space="preserve"> </w:t>
      </w:r>
    </w:p>
    <w:p w14:paraId="733BF930" w14:textId="77777777" w:rsidR="00316974" w:rsidRPr="00316974" w:rsidRDefault="00316974" w:rsidP="00316974">
      <w:pPr>
        <w:spacing w:after="120" w:line="259" w:lineRule="auto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 w:rsidRPr="00316974">
        <w:rPr>
          <w:rFonts w:ascii="Calibri" w:eastAsia="Times New Roman" w:hAnsi="Calibri" w:cs="Times New Roman"/>
          <w:noProof/>
          <w:color w:val="auto"/>
          <w:sz w:val="24"/>
          <w:szCs w:val="24"/>
          <w:lang w:eastAsia="pl-PL"/>
        </w:rPr>
        <w:drawing>
          <wp:inline distT="0" distB="0" distL="0" distR="0" wp14:anchorId="64174517" wp14:editId="6BC28248">
            <wp:extent cx="5759450" cy="2855396"/>
            <wp:effectExtent l="0" t="0" r="0" b="2540"/>
            <wp:docPr id="1" name="Wykres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043FF4-3AA4-4D19-B713-CB3A9234E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16974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 xml:space="preserve"> Źródło: badanie Quality Watch dla Rejestru Dłużników BIG InfoMonitor</w:t>
      </w:r>
    </w:p>
    <w:p w14:paraId="5ED38A2A" w14:textId="77777777" w:rsidR="00316974" w:rsidRPr="00316974" w:rsidRDefault="00316974" w:rsidP="00316974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t xml:space="preserve">W przypadku wizyt niezaszczepionych w kawiarni czy restauracji oraz pobytów w hotelach niewielką przewagę mają opinie przeciwników zakazów, których jest 42 i 43 proc, podczas gdy zwolenników utrudnień w zależności od tego, czy mowa o restauracjach, czy hotelach jest 39-40 proc. W pozostałych przypadkach przeważają głosy przeciw utrudnianiu życia unikającym czy też niemogącym się zaszczepić. </w:t>
      </w:r>
    </w:p>
    <w:p w14:paraId="74686477" w14:textId="7777777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t xml:space="preserve">Wprowadzenie ograniczeń dla nieszczepionych spotyka się z największym oporem w przypadku wizyt lekarskich, w opinii większości (51 proc.) każdy powinien mieć prawo do spotkania się z lekarzem w gabinecie. Innego zdania jest 29 proc. ankietowanych. </w:t>
      </w:r>
    </w:p>
    <w:p w14:paraId="63E3290E" w14:textId="5AD82307" w:rsidR="00316974" w:rsidRPr="00316974" w:rsidRDefault="00316974" w:rsidP="00316974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lastRenderedPageBreak/>
        <w:t>Jeśli chodzi o korzystanie ze stacjonarnych zajęć szkolnych zarówno przez młodszych uczniów jak i studentów nie uznaje tu ograniczeń niemal połowa badanych, a innego zdania jest mniej niż jedna trzecia. Podobnie wyglądają opinie, jeśli chodzi o transport publiczny czy wejście do galerii handlowych, gdzie przeciw ograniczeniom jest znacznie więcej ankietowanych niż za obostrzeniami. Jednocześnie widać, że spora część społeczeństwa, bo około jednej piątej, nie ma w tych kwestiach jednoznacznej opinii i to niezależnie od tego czy się szczepią czy nie.</w:t>
      </w:r>
      <w:r w:rsidR="008065DB">
        <w:rPr>
          <w:rFonts w:ascii="Calibri" w:eastAsia="Calibri" w:hAnsi="Calibri" w:cs="Times New Roman"/>
          <w:sz w:val="22"/>
        </w:rPr>
        <w:t xml:space="preserve"> </w:t>
      </w:r>
    </w:p>
    <w:p w14:paraId="1CAAF9CC" w14:textId="77777777" w:rsidR="00316974" w:rsidRPr="00316974" w:rsidRDefault="00316974" w:rsidP="00316974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Calibri" w:hAnsi="Calibri" w:cs="Times New Roman"/>
          <w:sz w:val="22"/>
        </w:rPr>
        <w:t xml:space="preserve">Co oczywiste niemal wszystkie osoby nie planujące się szczepić nie chcą, aby nakładano na nie jakiekolwiek ograniczenia. Natomiast wśród osób zaszczepionych w pełni lub pierwszą dawką, za wprowadzeniem ograniczeń i utrudnień dla osób nieszczepionych jest od 45 proc. do 63 proc. ankietowanych. Najmniejsze poparcie, poniżej 50 proc. mają zakazy korzystania z bezpośrednich wizyt lekarskich oraz nauka w szkole i na uczelni. W przypadku potencjalnie chętnych do szczepienia odsetek zwolenników zakazów waha się od 7 proc. do 21 proc. </w:t>
      </w:r>
    </w:p>
    <w:p w14:paraId="663DB650" w14:textId="77777777" w:rsidR="00316974" w:rsidRPr="00316974" w:rsidRDefault="00316974" w:rsidP="00316974">
      <w:pPr>
        <w:spacing w:line="259" w:lineRule="auto"/>
        <w:rPr>
          <w:rFonts w:ascii="Calibri" w:eastAsia="Calibri" w:hAnsi="Calibri" w:cs="Times New Roman"/>
          <w:sz w:val="22"/>
        </w:rPr>
      </w:pPr>
      <w:r w:rsidRPr="00316974">
        <w:rPr>
          <w:rFonts w:ascii="Calibri" w:eastAsia="Times New Roman" w:hAnsi="Calibri" w:cs="Times New Roman"/>
          <w:b/>
          <w:bCs/>
          <w:noProof/>
          <w:color w:val="FFFFFF"/>
          <w:sz w:val="23"/>
          <w:szCs w:val="24"/>
          <w:lang w:eastAsia="pl-PL"/>
        </w:rPr>
        <w:drawing>
          <wp:inline distT="0" distB="0" distL="0" distR="0" wp14:anchorId="200CF8D2" wp14:editId="2CB26316">
            <wp:extent cx="5741670" cy="4910275"/>
            <wp:effectExtent l="0" t="0" r="0" b="5080"/>
            <wp:docPr id="7" name="Wykres 7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F0B6B5-7EE3-45D8-BC94-7812F24E70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880589" w14:textId="77777777" w:rsidR="00316974" w:rsidRPr="00316974" w:rsidRDefault="00316974" w:rsidP="00316974">
      <w:pPr>
        <w:spacing w:after="120" w:line="259" w:lineRule="auto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bookmarkStart w:id="0" w:name="_GoBack"/>
      <w:r w:rsidRPr="00316974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badanie Quality Watch dla Rejestru Dłużników BIG InfoMonitor</w:t>
      </w:r>
    </w:p>
    <w:p w14:paraId="454936E1" w14:textId="77777777" w:rsidR="00316974" w:rsidRPr="00316974" w:rsidRDefault="00316974" w:rsidP="00316974">
      <w:pPr>
        <w:spacing w:before="240" w:after="120" w:line="259" w:lineRule="auto"/>
        <w:jc w:val="both"/>
        <w:rPr>
          <w:rFonts w:ascii="Calibri" w:eastAsia="Calibri" w:hAnsi="Calibri" w:cs="Times New Roman"/>
          <w:bCs/>
          <w:i/>
          <w:iCs/>
          <w:color w:val="595959"/>
          <w:sz w:val="18"/>
          <w:szCs w:val="18"/>
        </w:rPr>
      </w:pPr>
      <w:r w:rsidRPr="00316974">
        <w:rPr>
          <w:rFonts w:ascii="Calibri" w:eastAsia="Calibri" w:hAnsi="Calibri" w:cs="Times New Roman"/>
          <w:bCs/>
          <w:i/>
          <w:iCs/>
          <w:color w:val="595959"/>
          <w:sz w:val="18"/>
          <w:szCs w:val="18"/>
        </w:rPr>
        <w:t>Badanie Quality Watch zrealizowane w dniach 23 – 26 lipca, metodą CAWI (komputerowo wspomagany wywiad internetowy) wśród Polaków w wieku 18+. Reprezentatywność ze względu na: wiek, płeć, wielkość miejsca zamieszkania. Próba n=1063.</w:t>
      </w:r>
    </w:p>
    <w:p w14:paraId="54BB9DBE" w14:textId="77777777" w:rsidR="00316974" w:rsidRDefault="00316974" w:rsidP="00377930">
      <w:pPr>
        <w:spacing w:before="240" w:after="120" w:line="276" w:lineRule="auto"/>
        <w:jc w:val="both"/>
        <w:rPr>
          <w:b/>
          <w:bCs/>
          <w:color w:val="595959" w:themeColor="text1" w:themeTint="A6"/>
          <w:sz w:val="18"/>
          <w:szCs w:val="18"/>
        </w:rPr>
      </w:pPr>
    </w:p>
    <w:bookmarkEnd w:id="0"/>
    <w:p w14:paraId="3C9F53EC" w14:textId="77777777" w:rsidR="00316974" w:rsidRDefault="00316974" w:rsidP="00377930">
      <w:pPr>
        <w:spacing w:before="240" w:after="120" w:line="276" w:lineRule="auto"/>
        <w:jc w:val="both"/>
        <w:rPr>
          <w:b/>
          <w:bCs/>
          <w:color w:val="595959" w:themeColor="text1" w:themeTint="A6"/>
          <w:sz w:val="18"/>
          <w:szCs w:val="18"/>
        </w:rPr>
      </w:pPr>
    </w:p>
    <w:p w14:paraId="47634CAA" w14:textId="77777777" w:rsidR="00316974" w:rsidRDefault="00316974" w:rsidP="00377930">
      <w:pPr>
        <w:spacing w:before="240" w:after="120" w:line="276" w:lineRule="auto"/>
        <w:jc w:val="both"/>
        <w:rPr>
          <w:b/>
          <w:bCs/>
          <w:color w:val="595959" w:themeColor="text1" w:themeTint="A6"/>
          <w:sz w:val="18"/>
          <w:szCs w:val="18"/>
        </w:rPr>
      </w:pPr>
    </w:p>
    <w:p w14:paraId="27CF41E8" w14:textId="77777777" w:rsidR="00377930" w:rsidRPr="00CA6058" w:rsidRDefault="00377930" w:rsidP="00377930">
      <w:pPr>
        <w:spacing w:before="240" w:after="120" w:line="276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lastRenderedPageBreak/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76D95E58" w14:textId="77777777" w:rsidR="00377930" w:rsidRDefault="00377930" w:rsidP="00377930">
      <w:pPr>
        <w:spacing w:before="240" w:after="120"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p w14:paraId="55201C2D" w14:textId="70AEFF75" w:rsidR="00377930" w:rsidRDefault="00377930" w:rsidP="00377930">
      <w:pPr>
        <w:spacing w:before="240" w:after="12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 w:rsidR="00BE1AC0"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377930" w:rsidRPr="00F303A7" w14:paraId="51EF4BCC" w14:textId="77777777" w:rsidTr="005848B2">
        <w:tc>
          <w:tcPr>
            <w:tcW w:w="4533" w:type="dxa"/>
            <w:hideMark/>
          </w:tcPr>
          <w:p w14:paraId="4BE5BB58" w14:textId="77777777" w:rsidR="00377930" w:rsidRPr="00F303A7" w:rsidRDefault="00377930" w:rsidP="005848B2">
            <w:pPr>
              <w:spacing w:line="276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4751065F" w14:textId="77777777" w:rsidR="00377930" w:rsidRPr="00F303A7" w:rsidRDefault="00377930" w:rsidP="005848B2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0A6E3777" w14:textId="77777777" w:rsidR="00377930" w:rsidRPr="00F303A7" w:rsidRDefault="00377930" w:rsidP="005848B2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4EC4C65B" w14:textId="3B932357" w:rsidR="00BE1AC0" w:rsidRDefault="00377930" w:rsidP="00BE1AC0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 w:rsidR="00BE1AC0"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18B58459" w14:textId="4C114D06" w:rsidR="00377930" w:rsidRPr="00F303A7" w:rsidRDefault="00DB499A" w:rsidP="00BE1AC0">
            <w:pPr>
              <w:spacing w:line="276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3" w:history="1">
              <w:r w:rsidR="00BE1AC0" w:rsidRPr="00422ABB">
                <w:rPr>
                  <w:rStyle w:val="Hipercze"/>
                </w:rPr>
                <w:t>h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06A2FE7C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36099EB5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A1A606B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50F1BA78" w14:textId="77777777" w:rsidR="00377930" w:rsidRPr="00F303A7" w:rsidRDefault="00377930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648B6003" w14:textId="2710B009" w:rsidR="00377930" w:rsidRPr="00F303A7" w:rsidRDefault="00DB499A" w:rsidP="005848B2">
            <w:pPr>
              <w:spacing w:line="276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4" w:history="1">
              <w:r w:rsidR="00BE1AC0" w:rsidRPr="00422ABB">
                <w:rPr>
                  <w:rStyle w:val="Hipercze"/>
                </w:rPr>
                <w:t>d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37793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2B3FE4" w:rsidRDefault="00F85535" w:rsidP="002B3FE4"/>
    <w:sectPr w:rsidR="00F85535" w:rsidRPr="002B3FE4" w:rsidSect="00CD113F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48E8" w14:textId="77777777" w:rsidR="00DB499A" w:rsidRDefault="00DB499A" w:rsidP="00866834">
      <w:r>
        <w:separator/>
      </w:r>
    </w:p>
    <w:p w14:paraId="4E4D9B7C" w14:textId="77777777" w:rsidR="00DB499A" w:rsidRDefault="00DB499A"/>
  </w:endnote>
  <w:endnote w:type="continuationSeparator" w:id="0">
    <w:p w14:paraId="0DC9A26E" w14:textId="77777777" w:rsidR="00DB499A" w:rsidRDefault="00DB499A" w:rsidP="00866834">
      <w:r>
        <w:continuationSeparator/>
      </w:r>
    </w:p>
    <w:p w14:paraId="0B690ED6" w14:textId="77777777" w:rsidR="00DB499A" w:rsidRDefault="00DB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4DDC" w14:textId="77777777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9881259" wp14:editId="2434C749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A89B6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1AE43A3" w14:textId="4BAD6FE8" w:rsidR="00996627" w:rsidRPr="004C799A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456AF4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881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75pt;margin-top:.15pt;width:361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" stroked="f">
              <v:textbox style="mso-fit-shape-to-text:t">
                <w:txbxContent>
                  <w:p w14:paraId="52BA89B6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1AE43A3" w14:textId="4BAD6FE8" w:rsidR="00996627" w:rsidRPr="004C799A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456AF4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13E98FA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7CE0507" id="MSIPCMae2e4f7784f71ceaa8fba6f2" o:spid="_x0000_s1027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6A4A22">
      <w:rPr>
        <w:noProof/>
      </w:rPr>
      <w:t>2</w:t>
    </w:r>
    <w:r>
      <w:fldChar w:fldCharType="end"/>
    </w:r>
    <w:r>
      <w:t>/</w:t>
    </w:r>
    <w:r w:rsidR="00903314">
      <w:rPr>
        <w:noProof/>
      </w:rPr>
      <w:fldChar w:fldCharType="begin"/>
    </w:r>
    <w:r w:rsidR="00903314">
      <w:rPr>
        <w:noProof/>
      </w:rPr>
      <w:instrText>NUMPAGES  \* Arabic  \* MERGEFORMAT</w:instrText>
    </w:r>
    <w:r w:rsidR="00903314">
      <w:rPr>
        <w:noProof/>
      </w:rPr>
      <w:fldChar w:fldCharType="separate"/>
    </w:r>
    <w:r w:rsidR="006A4A22">
      <w:rPr>
        <w:noProof/>
      </w:rPr>
      <w:t>5</w:t>
    </w:r>
    <w:r w:rsidR="00903314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BFD1" w14:textId="698CF64E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vPtw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>
      <w:rPr>
        <w:lang w:eastAsia="pl-PL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BA84EB4" wp14:editId="62E02B53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3B877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CB01CED" w14:textId="0A904909" w:rsidR="00CC4824" w:rsidRPr="00377930" w:rsidRDefault="00377930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456AF4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BA84EB4" id="_x0000_s1029" type="#_x0000_t202" style="position:absolute;margin-left:-6.75pt;margin-top:.15pt;width:361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" stroked="f">
              <v:textbox style="mso-fit-shape-to-text:t">
                <w:txbxContent>
                  <w:p w14:paraId="2443B877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CB01CED" w14:textId="0A904909" w:rsidR="00CC4824" w:rsidRPr="00377930" w:rsidRDefault="00377930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456AF4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6A4A22">
      <w:rPr>
        <w:noProof/>
      </w:rPr>
      <w:t>1</w:t>
    </w:r>
    <w:r>
      <w:fldChar w:fldCharType="end"/>
    </w:r>
    <w:r>
      <w:t>/</w:t>
    </w:r>
    <w:r w:rsidR="00AA5279">
      <w:rPr>
        <w:noProof/>
      </w:rPr>
      <w:fldChar w:fldCharType="begin"/>
    </w:r>
    <w:r w:rsidR="00AA5279">
      <w:rPr>
        <w:noProof/>
      </w:rPr>
      <w:instrText>NUMPAGES  \* Arabic  \* MERGEFORMAT</w:instrText>
    </w:r>
    <w:r w:rsidR="00AA5279">
      <w:rPr>
        <w:noProof/>
      </w:rPr>
      <w:fldChar w:fldCharType="separate"/>
    </w:r>
    <w:r w:rsidR="006A4A22">
      <w:rPr>
        <w:noProof/>
      </w:rPr>
      <w:t>5</w:t>
    </w:r>
    <w:r w:rsidR="00AA5279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A5BC" w14:textId="77777777" w:rsidR="00DB499A" w:rsidRDefault="00DB499A" w:rsidP="00866834">
      <w:r>
        <w:separator/>
      </w:r>
    </w:p>
    <w:p w14:paraId="6350F7A9" w14:textId="77777777" w:rsidR="00DB499A" w:rsidRDefault="00DB499A"/>
  </w:footnote>
  <w:footnote w:type="continuationSeparator" w:id="0">
    <w:p w14:paraId="2CE55397" w14:textId="77777777" w:rsidR="00DB499A" w:rsidRDefault="00DB499A" w:rsidP="00866834">
      <w:r>
        <w:continuationSeparator/>
      </w:r>
    </w:p>
    <w:p w14:paraId="74C498B3" w14:textId="77777777" w:rsidR="00DB499A" w:rsidRDefault="00DB4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CF35" w14:textId="471F69A3" w:rsidR="006E3A99" w:rsidRDefault="006E3A99"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4DAF2FA2" wp14:editId="1DC3691D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7054A" w14:textId="12DA7591" w:rsidR="006E3A99" w:rsidRDefault="006E3A99"/>
  <w:p w14:paraId="16FECF24" w14:textId="2209A637" w:rsidR="006E3A99" w:rsidRDefault="006E3A99"/>
  <w:p w14:paraId="673A5389" w14:textId="77777777" w:rsidR="006E3A99" w:rsidRDefault="006E3A99"/>
  <w:p w14:paraId="40E728A3" w14:textId="08D40D89" w:rsidR="006E3A99" w:rsidRDefault="006E3A99"/>
  <w:p w14:paraId="7774AEE2" w14:textId="67F1D2D3" w:rsidR="006E3A99" w:rsidRDefault="006E3A99"/>
  <w:p w14:paraId="068D4341" w14:textId="0041E8E9" w:rsidR="008B2062" w:rsidRDefault="006E3A99" w:rsidP="006E3A99">
    <w:pPr>
      <w:tabs>
        <w:tab w:val="left" w:pos="7905"/>
      </w:tabs>
    </w:pPr>
    <w:r>
      <w:tab/>
    </w:r>
  </w:p>
  <w:p w14:paraId="7459BE45" w14:textId="77777777" w:rsidR="00A7543E" w:rsidRDefault="00A7543E" w:rsidP="002971C2">
    <w:pPr>
      <w:tabs>
        <w:tab w:val="left" w:pos="49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40"/>
    <w:rsid w:val="0001284E"/>
    <w:rsid w:val="00016952"/>
    <w:rsid w:val="00070438"/>
    <w:rsid w:val="00072781"/>
    <w:rsid w:val="00077647"/>
    <w:rsid w:val="000B0755"/>
    <w:rsid w:val="000E3C74"/>
    <w:rsid w:val="0010407D"/>
    <w:rsid w:val="0013027F"/>
    <w:rsid w:val="0014528E"/>
    <w:rsid w:val="00152667"/>
    <w:rsid w:val="00162D9C"/>
    <w:rsid w:val="001661AF"/>
    <w:rsid w:val="001718BB"/>
    <w:rsid w:val="00171AC4"/>
    <w:rsid w:val="0017730C"/>
    <w:rsid w:val="00184906"/>
    <w:rsid w:val="001872A7"/>
    <w:rsid w:val="001A01EF"/>
    <w:rsid w:val="001A1682"/>
    <w:rsid w:val="001B043C"/>
    <w:rsid w:val="001E4E47"/>
    <w:rsid w:val="001F6BED"/>
    <w:rsid w:val="0022264D"/>
    <w:rsid w:val="00231524"/>
    <w:rsid w:val="0023511B"/>
    <w:rsid w:val="002436C3"/>
    <w:rsid w:val="002971C2"/>
    <w:rsid w:val="002B3EAC"/>
    <w:rsid w:val="002B3FE4"/>
    <w:rsid w:val="002D190A"/>
    <w:rsid w:val="002D1CE5"/>
    <w:rsid w:val="002D48BE"/>
    <w:rsid w:val="002D745D"/>
    <w:rsid w:val="002F39DD"/>
    <w:rsid w:val="002F4540"/>
    <w:rsid w:val="002F4E08"/>
    <w:rsid w:val="002F7017"/>
    <w:rsid w:val="00300DB3"/>
    <w:rsid w:val="00301E1C"/>
    <w:rsid w:val="00310836"/>
    <w:rsid w:val="0031648A"/>
    <w:rsid w:val="00316974"/>
    <w:rsid w:val="00335F9F"/>
    <w:rsid w:val="003446F2"/>
    <w:rsid w:val="00346C00"/>
    <w:rsid w:val="0035787B"/>
    <w:rsid w:val="00364977"/>
    <w:rsid w:val="00372135"/>
    <w:rsid w:val="00377930"/>
    <w:rsid w:val="00387C34"/>
    <w:rsid w:val="003B475A"/>
    <w:rsid w:val="003F4BA3"/>
    <w:rsid w:val="00414487"/>
    <w:rsid w:val="004216FB"/>
    <w:rsid w:val="004335ED"/>
    <w:rsid w:val="004475CD"/>
    <w:rsid w:val="00451F91"/>
    <w:rsid w:val="00464740"/>
    <w:rsid w:val="00490399"/>
    <w:rsid w:val="004C799A"/>
    <w:rsid w:val="004F5805"/>
    <w:rsid w:val="004F5815"/>
    <w:rsid w:val="0050297C"/>
    <w:rsid w:val="0052169A"/>
    <w:rsid w:val="00526CDD"/>
    <w:rsid w:val="005377DC"/>
    <w:rsid w:val="00541CDA"/>
    <w:rsid w:val="005468AD"/>
    <w:rsid w:val="005571AB"/>
    <w:rsid w:val="00590159"/>
    <w:rsid w:val="005C0301"/>
    <w:rsid w:val="005D030A"/>
    <w:rsid w:val="005D1495"/>
    <w:rsid w:val="00637C84"/>
    <w:rsid w:val="00657B6A"/>
    <w:rsid w:val="00673B10"/>
    <w:rsid w:val="006747BD"/>
    <w:rsid w:val="00685450"/>
    <w:rsid w:val="006A4A22"/>
    <w:rsid w:val="006A65EC"/>
    <w:rsid w:val="006A6B2C"/>
    <w:rsid w:val="006B7D8F"/>
    <w:rsid w:val="006C4F1D"/>
    <w:rsid w:val="006D2EFB"/>
    <w:rsid w:val="006D6DE5"/>
    <w:rsid w:val="006E0325"/>
    <w:rsid w:val="006E30FE"/>
    <w:rsid w:val="006E34DC"/>
    <w:rsid w:val="006E3A99"/>
    <w:rsid w:val="006E5990"/>
    <w:rsid w:val="006F09D5"/>
    <w:rsid w:val="006F3BFD"/>
    <w:rsid w:val="006F72EF"/>
    <w:rsid w:val="0070349D"/>
    <w:rsid w:val="007042E5"/>
    <w:rsid w:val="007051F8"/>
    <w:rsid w:val="0072379F"/>
    <w:rsid w:val="00725618"/>
    <w:rsid w:val="00794B24"/>
    <w:rsid w:val="007A002C"/>
    <w:rsid w:val="007B58FC"/>
    <w:rsid w:val="007D0B3B"/>
    <w:rsid w:val="00805DF6"/>
    <w:rsid w:val="008065DB"/>
    <w:rsid w:val="00806733"/>
    <w:rsid w:val="00821F16"/>
    <w:rsid w:val="008301AA"/>
    <w:rsid w:val="00841A2A"/>
    <w:rsid w:val="0084396A"/>
    <w:rsid w:val="00854B7B"/>
    <w:rsid w:val="00866834"/>
    <w:rsid w:val="00867CB5"/>
    <w:rsid w:val="00873CF9"/>
    <w:rsid w:val="008B2062"/>
    <w:rsid w:val="008B4DBE"/>
    <w:rsid w:val="008C1729"/>
    <w:rsid w:val="008C75DD"/>
    <w:rsid w:val="008E04B2"/>
    <w:rsid w:val="008F209D"/>
    <w:rsid w:val="00903314"/>
    <w:rsid w:val="009154F2"/>
    <w:rsid w:val="00915C18"/>
    <w:rsid w:val="0092387C"/>
    <w:rsid w:val="00943829"/>
    <w:rsid w:val="00954066"/>
    <w:rsid w:val="00954F60"/>
    <w:rsid w:val="00970D51"/>
    <w:rsid w:val="00996627"/>
    <w:rsid w:val="009C0766"/>
    <w:rsid w:val="009C56EE"/>
    <w:rsid w:val="009D3E46"/>
    <w:rsid w:val="009D4C4D"/>
    <w:rsid w:val="009D75D3"/>
    <w:rsid w:val="009E4A7E"/>
    <w:rsid w:val="009F5B2B"/>
    <w:rsid w:val="00A11066"/>
    <w:rsid w:val="00A350A7"/>
    <w:rsid w:val="00A36F46"/>
    <w:rsid w:val="00A4363C"/>
    <w:rsid w:val="00A72BE7"/>
    <w:rsid w:val="00A7543E"/>
    <w:rsid w:val="00A8192B"/>
    <w:rsid w:val="00A85D65"/>
    <w:rsid w:val="00A87FFE"/>
    <w:rsid w:val="00A94C25"/>
    <w:rsid w:val="00AA1576"/>
    <w:rsid w:val="00AA4FB6"/>
    <w:rsid w:val="00AA5279"/>
    <w:rsid w:val="00AC2258"/>
    <w:rsid w:val="00AD112C"/>
    <w:rsid w:val="00AD3E35"/>
    <w:rsid w:val="00AE025A"/>
    <w:rsid w:val="00AE67A6"/>
    <w:rsid w:val="00AE7D12"/>
    <w:rsid w:val="00AF3176"/>
    <w:rsid w:val="00B106EC"/>
    <w:rsid w:val="00B31D3F"/>
    <w:rsid w:val="00B35B63"/>
    <w:rsid w:val="00B60E67"/>
    <w:rsid w:val="00B61F8A"/>
    <w:rsid w:val="00B976FD"/>
    <w:rsid w:val="00BA4962"/>
    <w:rsid w:val="00BB3391"/>
    <w:rsid w:val="00BD6260"/>
    <w:rsid w:val="00BE1AC0"/>
    <w:rsid w:val="00BF191F"/>
    <w:rsid w:val="00BF7242"/>
    <w:rsid w:val="00C15FB1"/>
    <w:rsid w:val="00C22D2A"/>
    <w:rsid w:val="00C25E6E"/>
    <w:rsid w:val="00C277A7"/>
    <w:rsid w:val="00C5064F"/>
    <w:rsid w:val="00CC4824"/>
    <w:rsid w:val="00CD113F"/>
    <w:rsid w:val="00CD3939"/>
    <w:rsid w:val="00CE03AC"/>
    <w:rsid w:val="00CF3E86"/>
    <w:rsid w:val="00CF51E1"/>
    <w:rsid w:val="00D005B3"/>
    <w:rsid w:val="00D06D36"/>
    <w:rsid w:val="00D141CD"/>
    <w:rsid w:val="00D37160"/>
    <w:rsid w:val="00D40690"/>
    <w:rsid w:val="00D42905"/>
    <w:rsid w:val="00D6359F"/>
    <w:rsid w:val="00D85799"/>
    <w:rsid w:val="00D92A09"/>
    <w:rsid w:val="00DB499A"/>
    <w:rsid w:val="00DC698D"/>
    <w:rsid w:val="00DD60D6"/>
    <w:rsid w:val="00DD77D2"/>
    <w:rsid w:val="00DE42E7"/>
    <w:rsid w:val="00E07D82"/>
    <w:rsid w:val="00E12E34"/>
    <w:rsid w:val="00E14964"/>
    <w:rsid w:val="00E20CD9"/>
    <w:rsid w:val="00E23BC8"/>
    <w:rsid w:val="00E339B5"/>
    <w:rsid w:val="00E81E48"/>
    <w:rsid w:val="00E86BFC"/>
    <w:rsid w:val="00E86ED1"/>
    <w:rsid w:val="00EE493C"/>
    <w:rsid w:val="00EF3CDE"/>
    <w:rsid w:val="00F13DDF"/>
    <w:rsid w:val="00F21E8C"/>
    <w:rsid w:val="00F26ECD"/>
    <w:rsid w:val="00F63136"/>
    <w:rsid w:val="00F85535"/>
    <w:rsid w:val="00FB1A13"/>
    <w:rsid w:val="00FB31CA"/>
    <w:rsid w:val="00FC21C0"/>
    <w:rsid w:val="00FD52BA"/>
    <w:rsid w:val="00FF6EC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99"/>
    <w:rPr>
      <w:color w:val="16161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lina.kochalska@big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mailto:diana.borowiecka@big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_OwnCloud\BIGInfoMonitor\badania\szczepienia_wykres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_OwnCloud\BIGInfoMonitor\badania\szczepienia_wykres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_OwnCloud\BIGInfoMonitor\badania\szczepienia_wykresy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_OwnCloud\BIGInfoMonitor\badania\szczepienia_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u="none" strike="noStrike" cap="small" baseline="0">
                <a:effectLst/>
              </a:rPr>
              <a:t>główne obawy towarzyszące prawdopodobnym obostrzeniom</a:t>
            </a:r>
            <a:endParaRPr lang="pl-PL" sz="1000" cap="small" baseline="0"/>
          </a:p>
        </c:rich>
      </c:tx>
      <c:layout>
        <c:manualLayout>
          <c:xMode val="edge"/>
          <c:yMode val="edge"/>
          <c:x val="0.21998895637769189"/>
          <c:y val="2.9886431560071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295969077857537E-2"/>
          <c:y val="4.7509542478738273E-2"/>
          <c:w val="0.95140806184428495"/>
          <c:h val="0.78802471866748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Arkusz1!$B$66:$B$69</c:f>
              <c:strCache>
                <c:ptCount val="4"/>
                <c:pt idx="0">
                  <c:v>O zdrowie</c:v>
                </c:pt>
                <c:pt idx="1">
                  <c:v>O finanse</c:v>
                </c:pt>
                <c:pt idx="2">
                  <c:v>O zdrowie i finanse 
w takim samym stopniu</c:v>
                </c:pt>
                <c:pt idx="3">
                  <c:v>Nie mam żadnych obaw</c:v>
                </c:pt>
              </c:strCache>
            </c:strRef>
          </c:cat>
          <c:val>
            <c:numRef>
              <c:f>Arkusz1!$C$66:$C$69</c:f>
              <c:numCache>
                <c:formatCode>###0%</c:formatCode>
                <c:ptCount val="4"/>
                <c:pt idx="0">
                  <c:v>0.25</c:v>
                </c:pt>
                <c:pt idx="1">
                  <c:v>0.16</c:v>
                </c:pt>
                <c:pt idx="2">
                  <c:v>0.39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39-4FBA-96D1-E4F67537691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-27"/>
        <c:axId val="552430576"/>
        <c:axId val="552423520"/>
      </c:barChart>
      <c:catAx>
        <c:axId val="55243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2423520"/>
        <c:crosses val="autoZero"/>
        <c:auto val="1"/>
        <c:lblAlgn val="ctr"/>
        <c:lblOffset val="100"/>
        <c:noMultiLvlLbl val="0"/>
      </c:catAx>
      <c:valAx>
        <c:axId val="552423520"/>
        <c:scaling>
          <c:orientation val="minMax"/>
        </c:scaling>
        <c:delete val="1"/>
        <c:axPos val="l"/>
        <c:numFmt formatCode="###0%" sourceLinked="1"/>
        <c:majorTickMark val="none"/>
        <c:minorTickMark val="none"/>
        <c:tickLblPos val="nextTo"/>
        <c:crossAx val="55243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small" baseline="0"/>
              <a:t>Nastawienie do szczepienia przeciwko COVID-19</a:t>
            </a:r>
          </a:p>
        </c:rich>
      </c:tx>
      <c:layout>
        <c:manualLayout>
          <c:xMode val="edge"/>
          <c:yMode val="edge"/>
          <c:x val="0.2836107614442351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5272638880448656"/>
          <c:y val="0.11206036745406822"/>
          <c:w val="0.72301782288239325"/>
          <c:h val="0.8647914843977836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85839793730304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339-4A9F-A88E-AF7DBDFDD9E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3594787696741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39-4A9F-A88E-AF7DBDFDD9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Arkusz1!$B$4:$B$8</c:f>
              <c:strCache>
                <c:ptCount val="5"/>
                <c:pt idx="0">
                  <c:v>Tak, pełną dawką</c:v>
                </c:pt>
                <c:pt idx="1">
                  <c:v>Tak, ale dopiero jedną dawką, 
czekam na drugą dawkę</c:v>
                </c:pt>
                <c:pt idx="2">
                  <c:v>Jestem ozdrowieńcem 
i na razie się nie szczepię</c:v>
                </c:pt>
                <c:pt idx="3">
                  <c:v>Nie jestem, ale zaszczepię się, 
jeśli brak szczepienia będzie mi 
utrudniał korzystanie z usług</c:v>
                </c:pt>
                <c:pt idx="4">
                  <c:v>Nie jestem 
i nie planuję się zaszczepić</c:v>
                </c:pt>
              </c:strCache>
            </c:strRef>
          </c:cat>
          <c:val>
            <c:numRef>
              <c:f>Arkusz1!$C$4:$C$8</c:f>
              <c:numCache>
                <c:formatCode>###0%</c:formatCode>
                <c:ptCount val="5"/>
                <c:pt idx="0">
                  <c:v>0.5710253998118533</c:v>
                </c:pt>
                <c:pt idx="1">
                  <c:v>3.574788334901223E-2</c:v>
                </c:pt>
                <c:pt idx="2">
                  <c:v>3.9510818438381938E-2</c:v>
                </c:pt>
                <c:pt idx="3">
                  <c:v>0.1006585136406397</c:v>
                </c:pt>
                <c:pt idx="4">
                  <c:v>0.25305738476011291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39-4A9F-A88E-AF7DBDFDD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469014560"/>
        <c:axId val="469016128"/>
      </c:barChart>
      <c:catAx>
        <c:axId val="46901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9016128"/>
        <c:crosses val="autoZero"/>
        <c:auto val="1"/>
        <c:lblAlgn val="ctr"/>
        <c:lblOffset val="100"/>
        <c:noMultiLvlLbl val="0"/>
      </c:catAx>
      <c:valAx>
        <c:axId val="469016128"/>
        <c:scaling>
          <c:orientation val="minMax"/>
          <c:max val="0.65000000000000013"/>
          <c:min val="0"/>
        </c:scaling>
        <c:delete val="1"/>
        <c:axPos val="b"/>
        <c:numFmt formatCode="###0%" sourceLinked="1"/>
        <c:majorTickMark val="out"/>
        <c:minorTickMark val="none"/>
        <c:tickLblPos val="nextTo"/>
        <c:crossAx val="46901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u="none" strike="noStrike" cap="small" baseline="0">
                <a:effectLst/>
              </a:rPr>
              <a:t>Czy korzystanie z następujących usług powinno być dostępne wyłącznie dla osób zaszczepionych?</a:t>
            </a:r>
            <a:endParaRPr lang="pl-PL" sz="1000" b="1" i="0" cap="small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6513069824375591"/>
          <c:y val="0.15249056603773584"/>
          <c:w val="0.51502365677278217"/>
          <c:h val="0.758198781756054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Arkusz1!$C$13</c:f>
              <c:strCache>
                <c:ptCount val="1"/>
                <c:pt idx="0">
                  <c:v>Zdecydowanie 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Arkusz1!$B$14:$B$24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(np. 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Udział w koncertach i festiwalach</c:v>
                </c:pt>
                <c:pt idx="8">
                  <c:v>Wejście do kina/teatru</c:v>
                </c:pt>
                <c:pt idx="9">
                  <c:v>Wyjazdy, wycieczki organizowane przez biura podróży</c:v>
                </c:pt>
                <c:pt idx="10">
                  <c:v>Wejście klubu/dyskoteki</c:v>
                </c:pt>
              </c:strCache>
            </c:strRef>
          </c:cat>
          <c:val>
            <c:numRef>
              <c:f>Arkusz1!$C$14:$C$24</c:f>
              <c:numCache>
                <c:formatCode>0.00%</c:formatCode>
                <c:ptCount val="11"/>
                <c:pt idx="0">
                  <c:v>0.37441204139228601</c:v>
                </c:pt>
                <c:pt idx="1">
                  <c:v>0.32831608654750705</c:v>
                </c:pt>
                <c:pt idx="2">
                  <c:v>0.32455315145813735</c:v>
                </c:pt>
                <c:pt idx="3">
                  <c:v>0.33207902163687675</c:v>
                </c:pt>
                <c:pt idx="4">
                  <c:v>0.33396048918156163</c:v>
                </c:pt>
                <c:pt idx="5">
                  <c:v>0.31044214487300092</c:v>
                </c:pt>
                <c:pt idx="6">
                  <c:v>0.30667920978363122</c:v>
                </c:pt>
                <c:pt idx="7">
                  <c:v>0.30197554092191908</c:v>
                </c:pt>
                <c:pt idx="8">
                  <c:v>0.30950141110065854</c:v>
                </c:pt>
                <c:pt idx="9">
                  <c:v>0.30103480714957664</c:v>
                </c:pt>
                <c:pt idx="10">
                  <c:v>0.30009407337723426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7-4E79-B6B3-9F6150A4ED8F}"/>
            </c:ext>
          </c:extLst>
        </c:ser>
        <c:ser>
          <c:idx val="1"/>
          <c:order val="1"/>
          <c:tx>
            <c:strRef>
              <c:f>Arkusz1!$D$13</c:f>
              <c:strCache>
                <c:ptCount val="1"/>
                <c:pt idx="0">
                  <c:v>Raczej nie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Arkusz1!$B$14:$B$24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(np. 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Udział w koncertach i festiwalach</c:v>
                </c:pt>
                <c:pt idx="8">
                  <c:v>Wejście do kina/teatru</c:v>
                </c:pt>
                <c:pt idx="9">
                  <c:v>Wyjazdy, wycieczki organizowane przez biura podróży</c:v>
                </c:pt>
                <c:pt idx="10">
                  <c:v>Wejście klubu/dyskoteki</c:v>
                </c:pt>
              </c:strCache>
            </c:strRef>
          </c:cat>
          <c:val>
            <c:numRef>
              <c:f>Arkusz1!$D$14:$D$24</c:f>
              <c:numCache>
                <c:formatCode>0.00%</c:formatCode>
                <c:ptCount val="11"/>
                <c:pt idx="0">
                  <c:v>0.14111006585136407</c:v>
                </c:pt>
                <c:pt idx="1">
                  <c:v>0.13734713076199437</c:v>
                </c:pt>
                <c:pt idx="2">
                  <c:v>0.13546566321730949</c:v>
                </c:pt>
                <c:pt idx="3">
                  <c:v>0.13264346190028223</c:v>
                </c:pt>
                <c:pt idx="4">
                  <c:v>0.12793979303857009</c:v>
                </c:pt>
                <c:pt idx="5">
                  <c:v>0.11853245531514581</c:v>
                </c:pt>
                <c:pt idx="6">
                  <c:v>0.12417685794920037</c:v>
                </c:pt>
                <c:pt idx="7">
                  <c:v>9.9717779868297274E-2</c:v>
                </c:pt>
                <c:pt idx="8">
                  <c:v>0.10442144873000941</c:v>
                </c:pt>
                <c:pt idx="9">
                  <c:v>9.6895578551269998E-2</c:v>
                </c:pt>
                <c:pt idx="10">
                  <c:v>9.5954844778927559E-2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57-4E79-B6B3-9F6150A4ED8F}"/>
            </c:ext>
          </c:extLst>
        </c:ser>
        <c:ser>
          <c:idx val="2"/>
          <c:order val="2"/>
          <c:tx>
            <c:strRef>
              <c:f>Arkusz1!$E$13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Arkusz1!$B$14:$B$24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(np. 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Udział w koncertach i festiwalach</c:v>
                </c:pt>
                <c:pt idx="8">
                  <c:v>Wejście do kina/teatru</c:v>
                </c:pt>
                <c:pt idx="9">
                  <c:v>Wyjazdy, wycieczki organizowane przez biura podróży</c:v>
                </c:pt>
                <c:pt idx="10">
                  <c:v>Wejście klubu/dyskoteki</c:v>
                </c:pt>
              </c:strCache>
            </c:strRef>
          </c:cat>
          <c:val>
            <c:numRef>
              <c:f>Arkusz1!$E$14:$E$24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57-4E79-B6B3-9F6150A4ED8F}"/>
            </c:ext>
          </c:extLst>
        </c:ser>
        <c:ser>
          <c:idx val="3"/>
          <c:order val="3"/>
          <c:tx>
            <c:strRef>
              <c:f>Arkusz1!$F$13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Arkusz1!$B$14:$B$24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(np. 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Udział w koncertach i festiwalach</c:v>
                </c:pt>
                <c:pt idx="8">
                  <c:v>Wejście do kina/teatru</c:v>
                </c:pt>
                <c:pt idx="9">
                  <c:v>Wyjazdy, wycieczki organizowane przez biura podróży</c:v>
                </c:pt>
                <c:pt idx="10">
                  <c:v>Wejście klubu/dyskoteki</c:v>
                </c:pt>
              </c:strCache>
            </c:strRef>
          </c:cat>
          <c:val>
            <c:numRef>
              <c:f>Arkusz1!$F$14:$F$24</c:f>
              <c:numCache>
                <c:formatCode>0.00%</c:formatCode>
                <c:ptCount val="11"/>
                <c:pt idx="0">
                  <c:v>0.1975540921919097</c:v>
                </c:pt>
                <c:pt idx="1">
                  <c:v>0.23047977422389465</c:v>
                </c:pt>
                <c:pt idx="2">
                  <c:v>0.22013170272812793</c:v>
                </c:pt>
                <c:pt idx="3">
                  <c:v>0.19849482596425211</c:v>
                </c:pt>
                <c:pt idx="4">
                  <c:v>0.19661335841956723</c:v>
                </c:pt>
                <c:pt idx="5">
                  <c:v>0.1796801505174036</c:v>
                </c:pt>
                <c:pt idx="6">
                  <c:v>0.17591721542803387</c:v>
                </c:pt>
                <c:pt idx="7">
                  <c:v>0.18062088428974601</c:v>
                </c:pt>
                <c:pt idx="8">
                  <c:v>0.16745061147695203</c:v>
                </c:pt>
                <c:pt idx="9">
                  <c:v>0.17591721542803387</c:v>
                </c:pt>
                <c:pt idx="10">
                  <c:v>0.17497648165569143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57-4E79-B6B3-9F6150A4ED8F}"/>
            </c:ext>
          </c:extLst>
        </c:ser>
        <c:ser>
          <c:idx val="4"/>
          <c:order val="4"/>
          <c:tx>
            <c:strRef>
              <c:f>Arkusz1!$G$13</c:f>
              <c:strCache>
                <c:ptCount val="1"/>
                <c:pt idx="0">
                  <c:v>Raczej tak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Arkusz1!$B$14:$B$24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(np. 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Udział w koncertach i festiwalach</c:v>
                </c:pt>
                <c:pt idx="8">
                  <c:v>Wejście do kina/teatru</c:v>
                </c:pt>
                <c:pt idx="9">
                  <c:v>Wyjazdy, wycieczki organizowane przez biura podróży</c:v>
                </c:pt>
                <c:pt idx="10">
                  <c:v>Wejście klubu/dyskoteki</c:v>
                </c:pt>
              </c:strCache>
            </c:strRef>
          </c:cat>
          <c:val>
            <c:numRef>
              <c:f>Arkusz1!$G$14:$G$24</c:f>
              <c:numCache>
                <c:formatCode>0.00%</c:formatCode>
                <c:ptCount val="11"/>
                <c:pt idx="0">
                  <c:v>0.13828786453433678</c:v>
                </c:pt>
                <c:pt idx="1">
                  <c:v>0.16086547507055504</c:v>
                </c:pt>
                <c:pt idx="2">
                  <c:v>0.16650987770460957</c:v>
                </c:pt>
                <c:pt idx="3">
                  <c:v>0.16933207902163688</c:v>
                </c:pt>
                <c:pt idx="4">
                  <c:v>0.17779868297271872</c:v>
                </c:pt>
                <c:pt idx="5">
                  <c:v>0.20507996237064907</c:v>
                </c:pt>
                <c:pt idx="6">
                  <c:v>0.20037629350893696</c:v>
                </c:pt>
                <c:pt idx="7">
                  <c:v>0.2013170272812794</c:v>
                </c:pt>
                <c:pt idx="8">
                  <c:v>0.21354656632173094</c:v>
                </c:pt>
                <c:pt idx="9">
                  <c:v>0.19379115710254</c:v>
                </c:pt>
                <c:pt idx="10">
                  <c:v>0.19567262464722485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57-4E79-B6B3-9F6150A4ED8F}"/>
            </c:ext>
          </c:extLst>
        </c:ser>
        <c:ser>
          <c:idx val="5"/>
          <c:order val="5"/>
          <c:tx>
            <c:strRef>
              <c:f>Arkusz1!$H$13</c:f>
              <c:strCache>
                <c:ptCount val="1"/>
                <c:pt idx="0">
                  <c:v>Zdecydowanie tak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Arkusz1!$B$14:$B$24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(np. 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Udział w koncertach i festiwalach</c:v>
                </c:pt>
                <c:pt idx="8">
                  <c:v>Wejście do kina/teatru</c:v>
                </c:pt>
                <c:pt idx="9">
                  <c:v>Wyjazdy, wycieczki organizowane przez biura podróży</c:v>
                </c:pt>
                <c:pt idx="10">
                  <c:v>Wejście klubu/dyskoteki</c:v>
                </c:pt>
              </c:strCache>
            </c:strRef>
          </c:cat>
          <c:val>
            <c:numRef>
              <c:f>Arkusz1!$H$14:$H$24</c:f>
              <c:numCache>
                <c:formatCode>0.00%</c:formatCode>
                <c:ptCount val="11"/>
                <c:pt idx="0">
                  <c:v>0.14863593603010347</c:v>
                </c:pt>
                <c:pt idx="1">
                  <c:v>0.14299153339604892</c:v>
                </c:pt>
                <c:pt idx="2">
                  <c:v>0.15333960489181561</c:v>
                </c:pt>
                <c:pt idx="3">
                  <c:v>0.16745061147695203</c:v>
                </c:pt>
                <c:pt idx="4">
                  <c:v>0.16368767638758228</c:v>
                </c:pt>
                <c:pt idx="5">
                  <c:v>0.18626528692380057</c:v>
                </c:pt>
                <c:pt idx="6">
                  <c:v>0.19285042333019756</c:v>
                </c:pt>
                <c:pt idx="7">
                  <c:v>0.21636876763875823</c:v>
                </c:pt>
                <c:pt idx="8">
                  <c:v>0.20507996237064907</c:v>
                </c:pt>
                <c:pt idx="9">
                  <c:v>0.2323612417685795</c:v>
                </c:pt>
                <c:pt idx="10">
                  <c:v>0.23330197554092191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D57-4E79-B6B3-9F6150A4ED8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"/>
        <c:overlap val="100"/>
        <c:axId val="281939696"/>
        <c:axId val="281941656"/>
      </c:barChart>
      <c:catAx>
        <c:axId val="28193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1941656"/>
        <c:crosses val="autoZero"/>
        <c:auto val="1"/>
        <c:lblAlgn val="ctr"/>
        <c:lblOffset val="100"/>
        <c:noMultiLvlLbl val="0"/>
      </c:catAx>
      <c:valAx>
        <c:axId val="281941656"/>
        <c:scaling>
          <c:orientation val="minMax"/>
          <c:max val="1"/>
        </c:scaling>
        <c:delete val="1"/>
        <c:axPos val="b"/>
        <c:numFmt formatCode="0.00%" sourceLinked="1"/>
        <c:majorTickMark val="out"/>
        <c:minorTickMark val="none"/>
        <c:tickLblPos val="nextTo"/>
        <c:crossAx val="28193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35001606056134"/>
          <c:y val="0.94802554151371643"/>
          <c:w val="0.76329996787887733"/>
          <c:h val="4.98255667329840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cap="small" baseline="0">
                <a:effectLst/>
              </a:rPr>
              <a:t>Poparcie dla ograniczania dostępu do usług a stosunek do szczepień</a:t>
            </a:r>
            <a:endParaRPr lang="pl-PL" sz="1000" cap="small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5483240574608869"/>
          <c:y val="6.1460541813898706E-2"/>
          <c:w val="0.53652299766444256"/>
          <c:h val="0.92658801925377698"/>
        </c:manualLayout>
      </c:layout>
      <c:barChart>
        <c:barDir val="bar"/>
        <c:grouping val="clustered"/>
        <c:varyColors val="0"/>
        <c:ser>
          <c:idx val="3"/>
          <c:order val="0"/>
          <c:tx>
            <c:strRef>
              <c:f>Arkusz1!$F$44</c:f>
              <c:strCache>
                <c:ptCount val="1"/>
                <c:pt idx="0">
                  <c:v>nie planujący się szczepić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Arkusz1!$B$45:$B$55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Wejście do kina/teatru</c:v>
                </c:pt>
                <c:pt idx="8">
                  <c:v>Wejście klubu/dyskoteki</c:v>
                </c:pt>
                <c:pt idx="9">
                  <c:v>Udział w koncertach i festiwalach</c:v>
                </c:pt>
                <c:pt idx="10">
                  <c:v>Wyjazdy, wycieczki organizowane przez biura podróży</c:v>
                </c:pt>
              </c:strCache>
            </c:strRef>
          </c:cat>
          <c:val>
            <c:numRef>
              <c:f>Arkusz1!$F$45:$F$55</c:f>
              <c:numCache>
                <c:formatCode>###0%</c:formatCode>
                <c:ptCount val="11"/>
                <c:pt idx="0">
                  <c:v>2.2304832713754649E-2</c:v>
                </c:pt>
                <c:pt idx="1">
                  <c:v>2.6022304832713755E-2</c:v>
                </c:pt>
                <c:pt idx="2" formatCode="0%">
                  <c:v>1.858736059479554E-2</c:v>
                </c:pt>
                <c:pt idx="3">
                  <c:v>4.4609665427509292E-2</c:v>
                </c:pt>
                <c:pt idx="4">
                  <c:v>4.0892193308550186E-2</c:v>
                </c:pt>
                <c:pt idx="5">
                  <c:v>4.4609665427509299E-2</c:v>
                </c:pt>
                <c:pt idx="6">
                  <c:v>3.3457249070631967E-2</c:v>
                </c:pt>
                <c:pt idx="7">
                  <c:v>4.4609665427509299E-2</c:v>
                </c:pt>
                <c:pt idx="8">
                  <c:v>4.4609665427509299E-2</c:v>
                </c:pt>
                <c:pt idx="9">
                  <c:v>3.3457249070631967E-2</c:v>
                </c:pt>
                <c:pt idx="10">
                  <c:v>4.8327137546468397E-2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68-43CE-B41A-5CDB7C9CF935}"/>
            </c:ext>
          </c:extLst>
        </c:ser>
        <c:ser>
          <c:idx val="1"/>
          <c:order val="1"/>
          <c:tx>
            <c:strRef>
              <c:f>Arkusz1!$D$44</c:f>
              <c:strCache>
                <c:ptCount val="1"/>
                <c:pt idx="0">
                  <c:v>potencjalnie chętni do szczepień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Arkusz1!$B$45:$B$55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Wejście do kina/teatru</c:v>
                </c:pt>
                <c:pt idx="8">
                  <c:v>Wejście klubu/dyskoteki</c:v>
                </c:pt>
                <c:pt idx="9">
                  <c:v>Udział w koncertach i festiwalach</c:v>
                </c:pt>
                <c:pt idx="10">
                  <c:v>Wyjazdy, wycieczki organizowane przez biura podróży</c:v>
                </c:pt>
              </c:strCache>
            </c:strRef>
          </c:cat>
          <c:val>
            <c:numRef>
              <c:f>Arkusz1!$D$45:$D$55</c:f>
              <c:numCache>
                <c:formatCode>###0%</c:formatCode>
                <c:ptCount val="11"/>
                <c:pt idx="0">
                  <c:v>7.3825503355704702E-2</c:v>
                </c:pt>
                <c:pt idx="1">
                  <c:v>6.7114093959731544E-2</c:v>
                </c:pt>
                <c:pt idx="2" formatCode="0%">
                  <c:v>0.10738255033557047</c:v>
                </c:pt>
                <c:pt idx="3">
                  <c:v>9.3959731543624164E-2</c:v>
                </c:pt>
                <c:pt idx="4">
                  <c:v>9.3959731543624164E-2</c:v>
                </c:pt>
                <c:pt idx="5">
                  <c:v>0.13422818791946309</c:v>
                </c:pt>
                <c:pt idx="6">
                  <c:v>0.15436241610738255</c:v>
                </c:pt>
                <c:pt idx="7">
                  <c:v>0.17449664429530201</c:v>
                </c:pt>
                <c:pt idx="8">
                  <c:v>0.17449664429530201</c:v>
                </c:pt>
                <c:pt idx="9">
                  <c:v>0.18120805369127518</c:v>
                </c:pt>
                <c:pt idx="10">
                  <c:v>0.20805369127516779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68-43CE-B41A-5CDB7C9CF935}"/>
            </c:ext>
          </c:extLst>
        </c:ser>
        <c:ser>
          <c:idx val="0"/>
          <c:order val="2"/>
          <c:tx>
            <c:strRef>
              <c:f>Arkusz1!$C$44</c:f>
              <c:strCache>
                <c:ptCount val="1"/>
                <c:pt idx="0">
                  <c:v>zaszczepieni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Arkusz1!$B$45:$B$55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Wejście do kina/teatru</c:v>
                </c:pt>
                <c:pt idx="8">
                  <c:v>Wejście klubu/dyskoteki</c:v>
                </c:pt>
                <c:pt idx="9">
                  <c:v>Udział w koncertach i festiwalach</c:v>
                </c:pt>
                <c:pt idx="10">
                  <c:v>Wyjazdy, wycieczki organizowane przez biura podróży</c:v>
                </c:pt>
              </c:strCache>
            </c:strRef>
          </c:cat>
          <c:val>
            <c:numRef>
              <c:f>Arkusz1!$C$45:$C$55</c:f>
              <c:numCache>
                <c:formatCode>###0%</c:formatCode>
                <c:ptCount val="11"/>
                <c:pt idx="0">
                  <c:v>0.44651162790697674</c:v>
                </c:pt>
                <c:pt idx="1">
                  <c:v>0.47441860465116281</c:v>
                </c:pt>
                <c:pt idx="2" formatCode="0%">
                  <c:v>0.49457364341085275</c:v>
                </c:pt>
                <c:pt idx="3">
                  <c:v>0.51472868217054268</c:v>
                </c:pt>
                <c:pt idx="4">
                  <c:v>0.524031007751938</c:v>
                </c:pt>
                <c:pt idx="5">
                  <c:v>0.59534883720930232</c:v>
                </c:pt>
                <c:pt idx="6">
                  <c:v>0.59844961240310079</c:v>
                </c:pt>
                <c:pt idx="7">
                  <c:v>0.63100775193798453</c:v>
                </c:pt>
                <c:pt idx="8">
                  <c:v>0.63100775193798453</c:v>
                </c:pt>
                <c:pt idx="9">
                  <c:v>0.63255813953488382</c:v>
                </c:pt>
                <c:pt idx="10">
                  <c:v>0.63410852713178301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68-43CE-B41A-5CDB7C9CF935}"/>
            </c:ext>
          </c:extLst>
        </c:ser>
        <c:ser>
          <c:idx val="2"/>
          <c:order val="3"/>
          <c:tx>
            <c:strRef>
              <c:f>Arkusz1!$E$44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Arkusz1!$B$45:$B$55</c:f>
              <c:strCache>
                <c:ptCount val="11"/>
                <c:pt idx="0">
                  <c:v>Wizyta lekarska w formie bezpośredniej (w gabinecie)</c:v>
                </c:pt>
                <c:pt idx="1">
                  <c:v>Uczestnictwo w zajęciach/ lekcjach w szkołach</c:v>
                </c:pt>
                <c:pt idx="2">
                  <c:v>Uczestnictwo w zajęciach na wyższej uczelni</c:v>
                </c:pt>
                <c:pt idx="3">
                  <c:v>Korzystanie z transportu zbiorowego (pociąg, autobus itp.)</c:v>
                </c:pt>
                <c:pt idx="4">
                  <c:v>Wejście do galerii handlowej</c:v>
                </c:pt>
                <c:pt idx="5">
                  <c:v>Możliwość zamieszkania w hotelu, pensjonacie</c:v>
                </c:pt>
                <c:pt idx="6">
                  <c:v>Wejście do kawiarni/ restauracji</c:v>
                </c:pt>
                <c:pt idx="7">
                  <c:v>Wejście do kina/teatru</c:v>
                </c:pt>
                <c:pt idx="8">
                  <c:v>Wejście klubu/dyskoteki</c:v>
                </c:pt>
                <c:pt idx="9">
                  <c:v>Udział w koncertach i festiwalach</c:v>
                </c:pt>
                <c:pt idx="10">
                  <c:v>Wyjazdy, wycieczki organizowane przez biura podróży</c:v>
                </c:pt>
              </c:strCache>
            </c:strRef>
          </c:cat>
          <c:val>
            <c:numRef>
              <c:f>Arkusz1!$E$45:$E$55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68-43CE-B41A-5CDB7C9CF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550048352"/>
        <c:axId val="550046392"/>
      </c:barChart>
      <c:catAx>
        <c:axId val="55004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50046392"/>
        <c:crosses val="autoZero"/>
        <c:auto val="1"/>
        <c:lblAlgn val="ctr"/>
        <c:lblOffset val="100"/>
        <c:noMultiLvlLbl val="0"/>
      </c:catAx>
      <c:valAx>
        <c:axId val="550046392"/>
        <c:scaling>
          <c:orientation val="minMax"/>
          <c:max val="0.70000000000000007"/>
          <c:min val="0"/>
        </c:scaling>
        <c:delete val="1"/>
        <c:axPos val="b"/>
        <c:numFmt formatCode="###0%" sourceLinked="1"/>
        <c:majorTickMark val="none"/>
        <c:minorTickMark val="none"/>
        <c:tickLblPos val="nextTo"/>
        <c:crossAx val="55004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490201215079241"/>
          <c:y val="0.84766237259211852"/>
          <c:w val="0.16306394769761737"/>
          <c:h val="0.15233762740788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670C-BD8B-44E0-B0D7-80C5854F1B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0C46AC-91A2-4167-B844-92DACEB1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20</TotalTime>
  <Pages>1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19</cp:revision>
  <cp:lastPrinted>2021-05-26T12:27:00Z</cp:lastPrinted>
  <dcterms:created xsi:type="dcterms:W3CDTF">2021-07-06T12:46:00Z</dcterms:created>
  <dcterms:modified xsi:type="dcterms:W3CDTF">2021-09-16T20:41:00Z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2021-07-15T11:58:56Z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47209306-dd2e-4202-8aa7-1ef0a944a1fb</vt:lpwstr>
  </property>
  <property fmtid="{D5CDD505-2E9C-101B-9397-08002B2CF9AE}" pid="8" name="MSIP_Label_1391a466-f120-4668-a5e5-7af4d8a99d82_ContentBits">
    <vt:lpwstr>2</vt:lpwstr>
  </property>
  <property fmtid="{D5CDD505-2E9C-101B-9397-08002B2CF9AE}" pid="9" name="docIndexRef">
    <vt:lpwstr>889d2ae7-c478-4ecb-8c27-7d97d9cbbc2a</vt:lpwstr>
  </property>
  <property fmtid="{D5CDD505-2E9C-101B-9397-08002B2CF9AE}" pid="10" name="bjSaver">
    <vt:lpwstr>Uyg5cqlL/oeCZ3k668DLYQWGQzJQEVcG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/&gt;&lt;/sisl&gt;</vt:lpwstr>
  </property>
  <property fmtid="{D5CDD505-2E9C-101B-9397-08002B2CF9AE}" pid="13" name="bjDocumentSecurityLabel">
    <vt:lpwstr>Jawne</vt:lpwstr>
  </property>
</Properties>
</file>