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59E60C2C" w14:textId="77F48DEC" w:rsidR="00FB77FC" w:rsidRDefault="00FB77FC" w:rsidP="007508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AA0D6E">
        <w:rPr>
          <w:rFonts w:asciiTheme="minorHAnsi" w:hAnsiTheme="minorHAnsi" w:cstheme="minorHAnsi"/>
          <w:color w:val="002060"/>
          <w:sz w:val="22"/>
          <w:szCs w:val="20"/>
        </w:rPr>
        <w:t xml:space="preserve">Gdańsk, </w:t>
      </w:r>
      <w:r w:rsidR="003C022A">
        <w:rPr>
          <w:rFonts w:asciiTheme="minorHAnsi" w:hAnsiTheme="minorHAnsi" w:cstheme="minorHAnsi"/>
          <w:color w:val="002060"/>
          <w:sz w:val="22"/>
          <w:szCs w:val="20"/>
        </w:rPr>
        <w:t xml:space="preserve">30 </w:t>
      </w:r>
      <w:r w:rsidR="00AE3272">
        <w:rPr>
          <w:rFonts w:asciiTheme="minorHAnsi" w:hAnsiTheme="minorHAnsi" w:cstheme="minorHAnsi"/>
          <w:color w:val="002060"/>
          <w:sz w:val="22"/>
          <w:szCs w:val="20"/>
        </w:rPr>
        <w:t>września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2021 </w:t>
      </w:r>
    </w:p>
    <w:p w14:paraId="1398C6C3" w14:textId="77777777" w:rsidR="005D39B9" w:rsidRDefault="005D39B9" w:rsidP="001A3CF1">
      <w:pPr>
        <w:jc w:val="center"/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</w:pPr>
    </w:p>
    <w:p w14:paraId="4C6DF7A6" w14:textId="50825DDD" w:rsidR="000A3552" w:rsidRDefault="000A3552" w:rsidP="005A212B">
      <w:pPr>
        <w:jc w:val="center"/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  <w:t xml:space="preserve">Gdzie Ci </w:t>
      </w:r>
      <w:r w:rsidR="009D5E45"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  <w:t>mężczyźni…</w:t>
      </w:r>
      <w:r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  <w:t>na rynku pracy?</w:t>
      </w:r>
      <w:r w:rsidR="00356E10"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  <w:t xml:space="preserve"> </w:t>
      </w:r>
      <w:r w:rsidR="005A212B"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  <w:t>Oferty są,</w:t>
      </w:r>
      <w:r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  <w:t xml:space="preserve"> panów brak</w:t>
      </w:r>
    </w:p>
    <w:p w14:paraId="3C466C06" w14:textId="3D1A8EBF" w:rsidR="00617839" w:rsidRPr="003C022A" w:rsidRDefault="00617839" w:rsidP="003C022A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b/>
          <w:bCs/>
          <w:color w:val="1F1B41" w:themeColor="text1"/>
          <w:lang w:eastAsia="pl-PL"/>
        </w:rPr>
      </w:pPr>
      <w:r w:rsidRPr="003C022A">
        <w:rPr>
          <w:rFonts w:asciiTheme="minorHAnsi" w:eastAsia="Times New Roman" w:hAnsiTheme="minorHAnsi" w:cstheme="minorHAnsi"/>
          <w:b/>
          <w:bCs/>
          <w:color w:val="1F1B41" w:themeColor="text1"/>
          <w:lang w:eastAsia="pl-PL"/>
        </w:rPr>
        <w:t xml:space="preserve">Ponad 142 tys. miejsc pracy było do obsadzenia w Polsce w II kw. tego roku. </w:t>
      </w:r>
      <w:r w:rsidR="00C30652" w:rsidRPr="003C022A">
        <w:rPr>
          <w:rFonts w:asciiTheme="minorHAnsi" w:eastAsia="Times New Roman" w:hAnsiTheme="minorHAnsi" w:cstheme="minorHAnsi"/>
          <w:b/>
          <w:bCs/>
          <w:color w:val="1F1B41" w:themeColor="text1"/>
          <w:lang w:eastAsia="pl-PL"/>
        </w:rPr>
        <w:t xml:space="preserve">Najwięcej etatów czekało w przetwórstwie przemysłowym, budownictwie czy transporcie i gospodarce magazynowej – czyli branżach, w których dominującą płcią wśród pracowników są mężczyźni. Ofert pracy dla panów wciąż przybywa, niestety podaż przewyższa popyt, a luki kadrowe w „męskich” zawodach nie załatali również obcokrajowcy przyjeżdżający do Polski w celach zarobkowych.  </w:t>
      </w:r>
    </w:p>
    <w:p w14:paraId="62E6526B" w14:textId="24E3D3E4" w:rsidR="002B6D71" w:rsidRPr="003C022A" w:rsidRDefault="00C30652" w:rsidP="003C022A">
      <w:pPr>
        <w:snapToGrid w:val="0"/>
        <w:spacing w:after="100" w:afterAutospacing="1" w:line="276" w:lineRule="auto"/>
        <w:contextualSpacing/>
        <w:jc w:val="both"/>
        <w:rPr>
          <w:rFonts w:asciiTheme="minorHAnsi" w:eastAsia="Times New Roman" w:hAnsiTheme="minorHAnsi" w:cstheme="minorHAnsi"/>
          <w:color w:val="1F1B41" w:themeColor="text1"/>
          <w:lang w:eastAsia="pl-PL"/>
        </w:rPr>
      </w:pPr>
      <w:r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Według GUS, w </w:t>
      </w:r>
      <w:r w:rsidR="00E559BB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II </w:t>
      </w:r>
      <w:r w:rsidR="009D5E45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>kwartale</w:t>
      </w:r>
      <w:r w:rsidR="00E559BB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2021</w:t>
      </w:r>
      <w:r w:rsidR="009D5E45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r. </w:t>
      </w:r>
      <w:r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>populacja pracujących w wieku 15–89 lat liczyła 16597 tys. osób i zwiększyła się względem poprzedniego kwartału o 1,0</w:t>
      </w:r>
      <w:r w:rsidR="00E559BB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proc. </w:t>
      </w:r>
      <w:r w:rsidR="009D5E45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>Mężczyźni</w:t>
      </w:r>
      <w:r w:rsidR="00E559BB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stanowili 54,7 proc. (tj. 9073 tys.) tej zbiorowości. To oni mogli </w:t>
      </w:r>
      <w:r w:rsidR="009D5E45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– </w:t>
      </w:r>
      <w:r w:rsidR="00E559BB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i nadal mogą </w:t>
      </w:r>
      <w:r w:rsidR="009D5E45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– </w:t>
      </w:r>
      <w:r w:rsidR="00E559BB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>liczyć na etat praktycznie „od ręki” – bo ofert pracy dedykowan</w:t>
      </w:r>
      <w:r w:rsidR="00F729B6">
        <w:rPr>
          <w:rFonts w:asciiTheme="minorHAnsi" w:eastAsia="Times New Roman" w:hAnsiTheme="minorHAnsi" w:cstheme="minorHAnsi"/>
          <w:color w:val="1F1B41" w:themeColor="text1"/>
          <w:lang w:eastAsia="pl-PL"/>
        </w:rPr>
        <w:t>ych</w:t>
      </w:r>
      <w:r w:rsidR="00E559BB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panom wciąż przybywa. </w:t>
      </w:r>
      <w:r w:rsidR="009D5E45" w:rsidRPr="003C022A">
        <w:rPr>
          <w:rFonts w:asciiTheme="minorHAnsi" w:hAnsiTheme="minorHAnsi" w:cstheme="minorHAnsi"/>
          <w:color w:val="1F1B41" w:themeColor="text1"/>
        </w:rPr>
        <w:t>Tylko w</w:t>
      </w:r>
      <w:r w:rsidR="002B6D71" w:rsidRPr="003C022A">
        <w:rPr>
          <w:rFonts w:asciiTheme="minorHAnsi" w:hAnsiTheme="minorHAnsi" w:cstheme="minorHAnsi"/>
          <w:color w:val="1F1B41" w:themeColor="text1"/>
        </w:rPr>
        <w:t xml:space="preserve"> II kwartale 2021 r. w Polsce utworzono 145,8 tys. nowych miejsc pracy</w:t>
      </w:r>
      <w:r w:rsidR="009D5E45" w:rsidRPr="003C022A">
        <w:rPr>
          <w:rFonts w:asciiTheme="minorHAnsi" w:hAnsiTheme="minorHAnsi" w:cstheme="minorHAnsi"/>
          <w:color w:val="1F1B41" w:themeColor="text1"/>
        </w:rPr>
        <w:t xml:space="preserve"> – </w:t>
      </w:r>
      <w:r w:rsidR="009D5E45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>n</w:t>
      </w:r>
      <w:r w:rsidR="002B6D71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>ajwięcej powstało w jednostkach prowadzących działalność w zakresie handlu, naprawy pojazdów samochodowych</w:t>
      </w:r>
      <w:r w:rsidR="002B6D71" w:rsidRPr="003C022A">
        <w:rPr>
          <w:rFonts w:asciiTheme="minorHAnsi" w:hAnsiTheme="minorHAnsi" w:cstheme="minorHAnsi"/>
          <w:color w:val="1F1B41" w:themeColor="text1"/>
          <w:shd w:val="clear" w:color="auto" w:fill="FFFFFF"/>
          <w:vertAlign w:val="superscript"/>
        </w:rPr>
        <w:t xml:space="preserve"> </w:t>
      </w:r>
      <w:r w:rsidR="002B6D71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>(28,7 tys.), przetwórstwa przemysłowego (26,4 tys.) oraz budownictwa (18,0 tys.)</w:t>
      </w:r>
      <w:r w:rsidR="006847B1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>, w s</w:t>
      </w:r>
      <w:r w:rsidR="00326F34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>umie w tych obszarach gospodarki stworzono 73,1 tys. stanowisk</w:t>
      </w:r>
      <w:r w:rsidR="002B6D71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 xml:space="preserve">. </w:t>
      </w:r>
      <w:r w:rsidR="00326F34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>Na ogół zajmują je</w:t>
      </w:r>
      <w:r w:rsidR="002B6D71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 xml:space="preserve"> mężczyźni. Kobiety czasami aplikują na takie oferty zachęcone wyżs</w:t>
      </w:r>
      <w:r w:rsidR="009D5E45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>zym wynagrodzeniem</w:t>
      </w:r>
      <w:r w:rsidR="002B6D71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 xml:space="preserve">, jednak </w:t>
      </w:r>
      <w:r w:rsidR="009D5E45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 xml:space="preserve">rezygnują </w:t>
      </w:r>
      <w:r w:rsidR="002B6D71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>po rozmowie z rekruterem</w:t>
      </w:r>
      <w:r w:rsidR="009D5E45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 xml:space="preserve"> – </w:t>
      </w:r>
      <w:r w:rsidR="002B6D71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>kiedy poznają więcej szczegółów</w:t>
      </w:r>
      <w:r w:rsidR="009D5E45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 xml:space="preserve"> dotyczących wymagań np. siły fizycznej. </w:t>
      </w:r>
      <w:r w:rsidR="00795226" w:rsidRPr="003C022A">
        <w:rPr>
          <w:rFonts w:asciiTheme="minorHAnsi" w:hAnsiTheme="minorHAnsi" w:cstheme="minorHAnsi"/>
          <w:color w:val="1F1B41" w:themeColor="text1"/>
          <w:shd w:val="clear" w:color="auto" w:fill="FFFFFF"/>
        </w:rPr>
        <w:t xml:space="preserve">Panie stanowią </w:t>
      </w:r>
      <w:r w:rsidR="00795226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większość pracowników m.in. w sektorze zdrowia i pracy socjalnej, edukacji, gastronomii i </w:t>
      </w:r>
      <w:r w:rsidR="00F729B6">
        <w:rPr>
          <w:rFonts w:asciiTheme="minorHAnsi" w:eastAsia="Times New Roman" w:hAnsiTheme="minorHAnsi" w:cstheme="minorHAnsi"/>
          <w:color w:val="1F1B41" w:themeColor="text1"/>
          <w:lang w:eastAsia="pl-PL"/>
        </w:rPr>
        <w:t>zakwaterowaniu</w:t>
      </w:r>
      <w:r w:rsidR="00795226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czy </w:t>
      </w:r>
      <w:r w:rsidR="00F729B6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sektorze </w:t>
      </w:r>
      <w:r w:rsidR="006847B1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ubezpieczeniowym. </w:t>
      </w:r>
      <w:r w:rsidR="00326F34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>W</w:t>
      </w:r>
      <w:r w:rsidR="006847B1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tych </w:t>
      </w:r>
      <w:r w:rsidR="00326F34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gałęziach gospodarki (w II kw. 2021 r.) powstało w sumie 19,9 tys. miejsc pracy – niemal o 4 razy mniej niż w sektorach „dedykowanych” zawodowo mężczyznom.  </w:t>
      </w:r>
    </w:p>
    <w:p w14:paraId="26F4D2C1" w14:textId="77777777" w:rsidR="00326F34" w:rsidRPr="003C022A" w:rsidRDefault="00326F34" w:rsidP="003C022A">
      <w:pPr>
        <w:spacing w:line="276" w:lineRule="auto"/>
        <w:jc w:val="both"/>
        <w:rPr>
          <w:b/>
          <w:bCs/>
          <w:color w:val="1F1B41" w:themeColor="text1"/>
        </w:rPr>
      </w:pPr>
    </w:p>
    <w:p w14:paraId="4FD457F6" w14:textId="3F6F2BEC" w:rsidR="002B6D71" w:rsidRPr="003C022A" w:rsidRDefault="00326F34" w:rsidP="003C022A">
      <w:pPr>
        <w:spacing w:line="276" w:lineRule="auto"/>
        <w:jc w:val="both"/>
        <w:rPr>
          <w:b/>
          <w:bCs/>
          <w:color w:val="1F1B41" w:themeColor="text1"/>
        </w:rPr>
      </w:pPr>
      <w:r w:rsidRPr="003C022A">
        <w:rPr>
          <w:b/>
          <w:bCs/>
          <w:color w:val="1F1B41" w:themeColor="text1"/>
        </w:rPr>
        <w:t xml:space="preserve">Pracodawca pozna pana </w:t>
      </w:r>
    </w:p>
    <w:p w14:paraId="2D2174DF" w14:textId="77777777" w:rsidR="00326F34" w:rsidRPr="003C022A" w:rsidRDefault="00326F34" w:rsidP="003C022A">
      <w:pPr>
        <w:spacing w:line="276" w:lineRule="auto"/>
        <w:jc w:val="both"/>
        <w:rPr>
          <w:color w:val="1F1B41" w:themeColor="text1"/>
        </w:rPr>
      </w:pPr>
    </w:p>
    <w:p w14:paraId="2F1AC0EA" w14:textId="03711D84" w:rsidR="00D3498E" w:rsidRPr="003C022A" w:rsidRDefault="00D64C59" w:rsidP="003C022A">
      <w:pPr>
        <w:spacing w:line="276" w:lineRule="auto"/>
        <w:jc w:val="both"/>
        <w:rPr>
          <w:color w:val="1F1B41" w:themeColor="text1"/>
        </w:rPr>
      </w:pPr>
      <w:r w:rsidRPr="003C022A">
        <w:rPr>
          <w:color w:val="1F1B41" w:themeColor="text1"/>
        </w:rPr>
        <w:t>Szybki wzrost puli ogłoszeń rekrutacyjnych na „męskie stanowiska” nie idzie w parze ze</w:t>
      </w:r>
      <w:r w:rsidR="00217BD9" w:rsidRPr="003C022A">
        <w:rPr>
          <w:color w:val="1F1B41" w:themeColor="text1"/>
        </w:rPr>
        <w:t xml:space="preserve"> skokowym</w:t>
      </w:r>
      <w:r w:rsidRPr="003C022A">
        <w:rPr>
          <w:color w:val="1F1B41" w:themeColor="text1"/>
        </w:rPr>
        <w:t xml:space="preserve"> wzrostem liczby panów chętnych do podjęcia pracy</w:t>
      </w:r>
      <w:r w:rsidR="00217BD9" w:rsidRPr="003C022A">
        <w:rPr>
          <w:color w:val="1F1B41" w:themeColor="text1"/>
        </w:rPr>
        <w:t xml:space="preserve"> – tych niestety</w:t>
      </w:r>
      <w:r w:rsidRPr="003C022A">
        <w:rPr>
          <w:color w:val="1F1B41" w:themeColor="text1"/>
        </w:rPr>
        <w:t xml:space="preserve"> brakuje</w:t>
      </w:r>
      <w:r w:rsidR="00F729B6">
        <w:rPr>
          <w:color w:val="1F1B41" w:themeColor="text1"/>
        </w:rPr>
        <w:t xml:space="preserve"> na rynku pracy.</w:t>
      </w:r>
      <w:r w:rsidRPr="003C022A">
        <w:rPr>
          <w:color w:val="1F1B41" w:themeColor="text1"/>
        </w:rPr>
        <w:t xml:space="preserve"> Mimo</w:t>
      </w:r>
      <w:r w:rsidR="00F729B6">
        <w:rPr>
          <w:color w:val="1F1B41" w:themeColor="text1"/>
        </w:rPr>
        <w:t>,</w:t>
      </w:r>
      <w:r w:rsidRPr="003C022A">
        <w:rPr>
          <w:color w:val="1F1B41" w:themeColor="text1"/>
        </w:rPr>
        <w:t xml:space="preserve"> że </w:t>
      </w:r>
      <w:r w:rsidR="00217BD9" w:rsidRPr="003C022A">
        <w:rPr>
          <w:color w:val="1F1B41" w:themeColor="text1"/>
        </w:rPr>
        <w:t>liczba mężczyzn aktywnych zawodowo rośnie</w:t>
      </w:r>
      <w:r w:rsidR="00F729B6">
        <w:rPr>
          <w:color w:val="1F1B41" w:themeColor="text1"/>
        </w:rPr>
        <w:t>,</w:t>
      </w:r>
      <w:r w:rsidR="00217BD9" w:rsidRPr="003C022A">
        <w:rPr>
          <w:color w:val="1F1B41" w:themeColor="text1"/>
        </w:rPr>
        <w:t xml:space="preserve"> to nie</w:t>
      </w:r>
      <w:r w:rsidR="00F729B6">
        <w:rPr>
          <w:color w:val="1F1B41" w:themeColor="text1"/>
        </w:rPr>
        <w:t xml:space="preserve"> </w:t>
      </w:r>
      <w:r w:rsidR="00217BD9" w:rsidRPr="003C022A">
        <w:rPr>
          <w:color w:val="1F1B41" w:themeColor="text1"/>
        </w:rPr>
        <w:t xml:space="preserve">w </w:t>
      </w:r>
      <w:r w:rsidR="00F729B6">
        <w:rPr>
          <w:color w:val="1F1B41" w:themeColor="text1"/>
        </w:rPr>
        <w:t xml:space="preserve">takim </w:t>
      </w:r>
      <w:r w:rsidR="00217BD9" w:rsidRPr="003C022A">
        <w:rPr>
          <w:color w:val="1F1B41" w:themeColor="text1"/>
        </w:rPr>
        <w:t>tempie</w:t>
      </w:r>
      <w:r w:rsidR="00F729B6">
        <w:rPr>
          <w:color w:val="1F1B41" w:themeColor="text1"/>
        </w:rPr>
        <w:t xml:space="preserve"> by </w:t>
      </w:r>
      <w:r w:rsidR="00217BD9" w:rsidRPr="003C022A">
        <w:rPr>
          <w:color w:val="1F1B41" w:themeColor="text1"/>
        </w:rPr>
        <w:t>pokry</w:t>
      </w:r>
      <w:r w:rsidR="00F729B6">
        <w:rPr>
          <w:color w:val="1F1B41" w:themeColor="text1"/>
        </w:rPr>
        <w:t>ć</w:t>
      </w:r>
      <w:r w:rsidR="00217BD9" w:rsidRPr="003C022A">
        <w:rPr>
          <w:color w:val="1F1B41" w:themeColor="text1"/>
        </w:rPr>
        <w:t xml:space="preserve"> ogromną pulę etatów czekających na obsadzenie. </w:t>
      </w:r>
    </w:p>
    <w:p w14:paraId="7479B07E" w14:textId="7B74BDD1" w:rsidR="00217BD9" w:rsidRPr="003C022A" w:rsidRDefault="00217BD9" w:rsidP="003C022A">
      <w:pPr>
        <w:spacing w:line="276" w:lineRule="auto"/>
        <w:jc w:val="both"/>
        <w:rPr>
          <w:color w:val="1F1B41" w:themeColor="text1"/>
        </w:rPr>
      </w:pPr>
    </w:p>
    <w:p w14:paraId="48A2F86E" w14:textId="2585F033" w:rsidR="00217BD9" w:rsidRPr="003C022A" w:rsidRDefault="00217BD9" w:rsidP="003C022A">
      <w:pPr>
        <w:spacing w:line="276" w:lineRule="auto"/>
        <w:jc w:val="both"/>
        <w:rPr>
          <w:color w:val="1F1B41" w:themeColor="text1"/>
        </w:rPr>
      </w:pPr>
      <w:r w:rsidRPr="003C022A">
        <w:rPr>
          <w:color w:val="1F1B41" w:themeColor="text1"/>
        </w:rPr>
        <w:t xml:space="preserve">– </w:t>
      </w:r>
      <w:r w:rsidRPr="003C022A">
        <w:rPr>
          <w:i/>
          <w:iCs/>
          <w:color w:val="1F1B41" w:themeColor="text1"/>
        </w:rPr>
        <w:t xml:space="preserve">Obecnie praktycznie w każdej branży obserwujemy deficyt mężczyzn chętnych do podjęcia pracy i mogących wykonywać znacznie cięższe prace niż panie. Najwięcej nieobsadzonych wakatów odnotowujemy w branżach związanych z obróbką metali, logistycznej oraz produkcyjnej, a także na wszelkich stanowiskach związanych z pracą fizyczną i specjalistycznymi uprawnieniami – </w:t>
      </w:r>
      <w:r w:rsidRPr="003C022A">
        <w:rPr>
          <w:color w:val="1F1B41" w:themeColor="text1"/>
        </w:rPr>
        <w:t xml:space="preserve">mówi Justyna Lach, Dyrektor ds. Rozwoju Projektów Międzynarodowych. – </w:t>
      </w:r>
      <w:r w:rsidRPr="003C022A">
        <w:rPr>
          <w:i/>
          <w:iCs/>
          <w:color w:val="1F1B41" w:themeColor="text1"/>
        </w:rPr>
        <w:t xml:space="preserve">Niestety, </w:t>
      </w:r>
      <w:r w:rsidR="006C3A25" w:rsidRPr="003C022A">
        <w:rPr>
          <w:i/>
          <w:iCs/>
          <w:color w:val="1F1B41" w:themeColor="text1"/>
        </w:rPr>
        <w:t>niedoborów kadrowych n</w:t>
      </w:r>
      <w:r w:rsidR="00B23A03" w:rsidRPr="003C022A">
        <w:rPr>
          <w:i/>
          <w:iCs/>
          <w:color w:val="1F1B41" w:themeColor="text1"/>
        </w:rPr>
        <w:t>ie</w:t>
      </w:r>
      <w:r w:rsidR="006C3A25" w:rsidRPr="003C022A">
        <w:rPr>
          <w:i/>
          <w:iCs/>
          <w:color w:val="1F1B41" w:themeColor="text1"/>
        </w:rPr>
        <w:t xml:space="preserve"> są w stanie załatać </w:t>
      </w:r>
      <w:r w:rsidR="00B23A03" w:rsidRPr="003C022A">
        <w:rPr>
          <w:i/>
          <w:iCs/>
          <w:color w:val="1F1B41" w:themeColor="text1"/>
        </w:rPr>
        <w:t xml:space="preserve">również </w:t>
      </w:r>
      <w:r w:rsidR="00A416A1" w:rsidRPr="003C022A">
        <w:rPr>
          <w:i/>
          <w:iCs/>
          <w:color w:val="1F1B41" w:themeColor="text1"/>
        </w:rPr>
        <w:t>pracujący Ukraińcy</w:t>
      </w:r>
      <w:r w:rsidR="00B23A03" w:rsidRPr="003C022A">
        <w:rPr>
          <w:i/>
          <w:iCs/>
          <w:color w:val="1F1B41" w:themeColor="text1"/>
        </w:rPr>
        <w:t>, mimo że ich liczba w Polsce rośnie</w:t>
      </w:r>
      <w:r w:rsidR="00A416A1" w:rsidRPr="003C022A">
        <w:rPr>
          <w:i/>
          <w:iCs/>
          <w:color w:val="1F1B41" w:themeColor="text1"/>
        </w:rPr>
        <w:t xml:space="preserve"> szybciej niż liczba aktywnych zawodowo Polaków i ten wzrost dotyczy obu płci – </w:t>
      </w:r>
      <w:r w:rsidR="0005546C" w:rsidRPr="003C022A">
        <w:rPr>
          <w:color w:val="1F1B41" w:themeColor="text1"/>
        </w:rPr>
        <w:t>podkreśla</w:t>
      </w:r>
      <w:r w:rsidR="00A416A1" w:rsidRPr="003C022A">
        <w:rPr>
          <w:color w:val="1F1B41" w:themeColor="text1"/>
        </w:rPr>
        <w:t xml:space="preserve">. </w:t>
      </w:r>
    </w:p>
    <w:p w14:paraId="0401E055" w14:textId="5707BC59" w:rsidR="00A416A1" w:rsidRPr="003C022A" w:rsidRDefault="00A416A1" w:rsidP="003C022A">
      <w:pPr>
        <w:spacing w:line="276" w:lineRule="auto"/>
        <w:jc w:val="both"/>
        <w:rPr>
          <w:color w:val="1F1B41" w:themeColor="text1"/>
        </w:rPr>
      </w:pPr>
    </w:p>
    <w:p w14:paraId="5ED194EA" w14:textId="3B63EFC0" w:rsidR="00A416A1" w:rsidRPr="003C022A" w:rsidRDefault="00A416A1" w:rsidP="003C022A">
      <w:pPr>
        <w:spacing w:line="276" w:lineRule="auto"/>
        <w:jc w:val="both"/>
        <w:rPr>
          <w:rFonts w:asciiTheme="minorHAnsi" w:hAnsiTheme="minorHAnsi" w:cstheme="minorHAnsi"/>
          <w:color w:val="1F1B41" w:themeColor="text1"/>
        </w:rPr>
      </w:pPr>
      <w:r w:rsidRPr="003C022A">
        <w:rPr>
          <w:color w:val="1F1B41" w:themeColor="text1"/>
        </w:rPr>
        <w:t xml:space="preserve">Jak wynika z danych Grupy Progres, w pierwszych ośmiu miesiącach 2021 r. liczba </w:t>
      </w:r>
      <w:r w:rsidRPr="005A212B">
        <w:rPr>
          <w:color w:val="1F1B41" w:themeColor="text1"/>
        </w:rPr>
        <w:t>kobiet</w:t>
      </w:r>
      <w:r w:rsidRPr="003C022A">
        <w:rPr>
          <w:color w:val="1F1B41" w:themeColor="text1"/>
        </w:rPr>
        <w:t xml:space="preserve"> pracujących tymczasowo rosła wolniej niż liczba mężczyzn podejmujących tę formę zatrudnienia. Od stycznia do sierpnia br. liczba pań aktywnych zawodowo wzrosła o ponad 11 proc., a liczba mężczyzn zwiększyła się o 35 proc. Porównując Polaków do Ukraińców – liczba Polek wzrosła o 10 proc., a Ukrainek o 13 </w:t>
      </w:r>
      <w:r w:rsidRPr="003C022A">
        <w:rPr>
          <w:color w:val="1F1B41" w:themeColor="text1"/>
        </w:rPr>
        <w:lastRenderedPageBreak/>
        <w:t xml:space="preserve">proc. W przypadku Panów – o 24 proc. wzrosła liczba Polaków pracujących tymczasowo i aż o 49 proc. </w:t>
      </w:r>
      <w:r w:rsidRPr="003C022A">
        <w:rPr>
          <w:rFonts w:asciiTheme="minorHAnsi" w:hAnsiTheme="minorHAnsi" w:cstheme="minorHAnsi"/>
          <w:color w:val="1F1B41" w:themeColor="text1"/>
        </w:rPr>
        <w:t>zwiększyła się liczba Ukraińców zatrudnionych na podstawie umowy o prac</w:t>
      </w:r>
      <w:r w:rsidR="003C022A">
        <w:rPr>
          <w:rFonts w:asciiTheme="minorHAnsi" w:hAnsiTheme="minorHAnsi" w:cstheme="minorHAnsi"/>
          <w:color w:val="1F1B41" w:themeColor="text1"/>
        </w:rPr>
        <w:t>ę</w:t>
      </w:r>
      <w:r w:rsidRPr="003C022A">
        <w:rPr>
          <w:rFonts w:asciiTheme="minorHAnsi" w:hAnsiTheme="minorHAnsi" w:cstheme="minorHAnsi"/>
          <w:color w:val="1F1B41" w:themeColor="text1"/>
        </w:rPr>
        <w:t xml:space="preserve"> tymczasową. </w:t>
      </w:r>
    </w:p>
    <w:p w14:paraId="55DB988D" w14:textId="1CA629FC" w:rsidR="00DA7433" w:rsidRPr="003C022A" w:rsidRDefault="000D47B0" w:rsidP="003C022A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b/>
          <w:bCs/>
          <w:color w:val="1F1B41" w:themeColor="text1"/>
          <w:lang w:eastAsia="pl-PL"/>
        </w:rPr>
      </w:pPr>
      <w:r w:rsidRPr="003C022A">
        <w:rPr>
          <w:rFonts w:asciiTheme="minorHAnsi" w:eastAsia="Times New Roman" w:hAnsiTheme="minorHAnsi" w:cstheme="minorHAnsi"/>
          <w:b/>
          <w:bCs/>
          <w:color w:val="1F1B41" w:themeColor="text1"/>
          <w:lang w:eastAsia="pl-PL"/>
        </w:rPr>
        <w:t xml:space="preserve">Kopernik (nie) będzie kobietą </w:t>
      </w:r>
    </w:p>
    <w:p w14:paraId="71536B22" w14:textId="718C2863" w:rsidR="008B18D7" w:rsidRPr="003C022A" w:rsidRDefault="00DA7433" w:rsidP="003C022A">
      <w:pPr>
        <w:snapToGrid w:val="0"/>
        <w:spacing w:before="100" w:beforeAutospacing="1" w:after="100" w:afterAutospacing="1" w:line="276" w:lineRule="auto"/>
        <w:contextualSpacing/>
        <w:jc w:val="both"/>
        <w:rPr>
          <w:rFonts w:asciiTheme="minorHAnsi" w:eastAsia="Times New Roman" w:hAnsiTheme="minorHAnsi" w:cstheme="minorHAnsi"/>
          <w:color w:val="1F1B41" w:themeColor="text1"/>
          <w:lang w:eastAsia="pl-PL"/>
        </w:rPr>
      </w:pPr>
      <w:r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Braki kadrowe w branżach, </w:t>
      </w:r>
      <w:r w:rsidR="00F729B6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w </w:t>
      </w:r>
      <w:r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>których przeważają mężczyźni</w:t>
      </w:r>
      <w:r w:rsid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>,</w:t>
      </w:r>
      <w:r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prognozowane były również w </w:t>
      </w:r>
      <w:r w:rsidR="008B18D7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ogólnopolskim </w:t>
      </w:r>
      <w:r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>Barometrze zawodów</w:t>
      </w:r>
      <w:r w:rsidR="008B18D7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(Wojewódzkiego Urzędu Pracy w Krakowie)</w:t>
      </w:r>
      <w:r w:rsidR="00F729B6">
        <w:rPr>
          <w:rFonts w:asciiTheme="minorHAnsi" w:eastAsia="Times New Roman" w:hAnsiTheme="minorHAnsi" w:cstheme="minorHAnsi"/>
          <w:color w:val="1F1B41" w:themeColor="text1"/>
          <w:lang w:eastAsia="pl-PL"/>
        </w:rPr>
        <w:t>. Z opracowania w</w:t>
      </w:r>
      <w:r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>ynika, że w 2021 r. na 40 z</w:t>
      </w:r>
      <w:r w:rsidR="00F729B6">
        <w:rPr>
          <w:rFonts w:asciiTheme="minorHAnsi" w:eastAsia="Times New Roman" w:hAnsiTheme="minorHAnsi" w:cstheme="minorHAnsi"/>
          <w:color w:val="1F1B41" w:themeColor="text1"/>
          <w:lang w:eastAsia="pl-PL"/>
        </w:rPr>
        <w:t>a</w:t>
      </w:r>
      <w:r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wodów deficytowych ponad połowa (ok. 25) dedykowana jest </w:t>
      </w:r>
      <w:r w:rsidR="008B18D7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najczęściej </w:t>
      </w:r>
      <w:r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mężczyznom. </w:t>
      </w:r>
      <w:r w:rsidRPr="00F729B6">
        <w:rPr>
          <w:rFonts w:asciiTheme="minorHAnsi" w:eastAsia="Times New Roman" w:hAnsiTheme="minorHAnsi" w:cstheme="minorHAnsi"/>
          <w:color w:val="1F1B41" w:themeColor="text1"/>
          <w:lang w:eastAsia="pl-PL"/>
        </w:rPr>
        <w:t>Wśród nich znajdują się</w:t>
      </w:r>
      <w:r w:rsidR="00F729B6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takie</w:t>
      </w:r>
      <w:r w:rsidRPr="00F729B6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profesje</w:t>
      </w:r>
      <w:r w:rsidR="00F729B6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jak</w:t>
      </w:r>
      <w:r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betoniarze, zbrojarze, brukarze, cieśle, stolarze budowlani, dekarze, blacharze budowlani, elektrycy, elektromechanicy i elektromonterzy, magazynierzy, mechanicy pojazdów samochodowych, monterzy instalacji budowlanych, murarze, tynkarze, operatorzy i mechanicy sprzętu do robót ziemnych, robotnicy budowlani, robotnicy obróbki drewna, stolarze, spawacze i ślusarze. </w:t>
      </w:r>
    </w:p>
    <w:p w14:paraId="63237B58" w14:textId="201AD93F" w:rsidR="003D759B" w:rsidRPr="003C022A" w:rsidRDefault="003D759B" w:rsidP="003C022A">
      <w:pPr>
        <w:snapToGrid w:val="0"/>
        <w:spacing w:before="100" w:beforeAutospacing="1" w:after="100" w:afterAutospacing="1" w:line="276" w:lineRule="auto"/>
        <w:contextualSpacing/>
        <w:jc w:val="both"/>
        <w:rPr>
          <w:rFonts w:asciiTheme="minorHAnsi" w:eastAsia="Times New Roman" w:hAnsiTheme="minorHAnsi" w:cstheme="minorHAnsi"/>
          <w:color w:val="1F1B41" w:themeColor="text1"/>
          <w:lang w:eastAsia="pl-PL"/>
        </w:rPr>
      </w:pPr>
    </w:p>
    <w:p w14:paraId="7C70A125" w14:textId="5A1EE50A" w:rsidR="003C022A" w:rsidRPr="003C022A" w:rsidRDefault="003D759B" w:rsidP="003C022A">
      <w:pPr>
        <w:snapToGrid w:val="0"/>
        <w:spacing w:before="100" w:beforeAutospacing="1" w:after="150" w:line="276" w:lineRule="auto"/>
        <w:contextualSpacing/>
        <w:jc w:val="both"/>
        <w:rPr>
          <w:rFonts w:asciiTheme="minorHAnsi" w:eastAsia="Times New Roman" w:hAnsiTheme="minorHAnsi" w:cstheme="minorHAnsi"/>
          <w:color w:val="1F1B41" w:themeColor="text1"/>
          <w:lang w:eastAsia="pl-PL"/>
        </w:rPr>
      </w:pPr>
      <w:r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>Pracodawcy branż, w których przeważają mężczyźni</w:t>
      </w:r>
      <w:r w:rsid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>,</w:t>
      </w:r>
      <w:r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muszą spełnić kilka warunków, jeśli chcą wygrać wyścig o pracownika. Najistotniejsze jest końcowe wynagrodzenie – obecnie kandydaci do pracy tymczasowej oczekują co najmniej 3,5 tys. zł netto. Znaczenie ma również stawka godzinowa</w:t>
      </w:r>
      <w:r w:rsidR="003C022A"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 xml:space="preserve"> – przekraczająca 15 zł za godzinę </w:t>
      </w:r>
      <w:r w:rsidRPr="003C022A">
        <w:rPr>
          <w:rFonts w:asciiTheme="minorHAnsi" w:eastAsia="Times New Roman" w:hAnsiTheme="minorHAnsi" w:cstheme="minorHAnsi"/>
          <w:color w:val="1F1B41" w:themeColor="text1"/>
          <w:lang w:eastAsia="pl-PL"/>
        </w:rPr>
        <w:t>oraz możliwość pracy w nadgodzinach. Coraz więcej osób zwraca również uwagę na możliwość rozwoju oraz perspektywę zdobycia konkretnego zawodu czy uprawnień.</w:t>
      </w:r>
    </w:p>
    <w:p w14:paraId="2A09D88C" w14:textId="77777777" w:rsidR="005A212B" w:rsidRPr="003C022A" w:rsidRDefault="005A212B" w:rsidP="005A212B">
      <w:pPr>
        <w:snapToGrid w:val="0"/>
        <w:spacing w:before="100" w:beforeAutospacing="1" w:after="150" w:line="276" w:lineRule="auto"/>
        <w:contextualSpacing/>
        <w:jc w:val="both"/>
        <w:rPr>
          <w:rFonts w:asciiTheme="minorHAnsi" w:eastAsia="Times New Roman" w:hAnsiTheme="minorHAnsi" w:cstheme="minorHAnsi"/>
          <w:color w:val="1F1B41" w:themeColor="text1"/>
          <w:lang w:eastAsia="pl-PL"/>
        </w:rPr>
      </w:pPr>
    </w:p>
    <w:p w14:paraId="4E87EE3E" w14:textId="39DCEFC4" w:rsidR="003C022A" w:rsidRPr="005A212B" w:rsidRDefault="003C022A" w:rsidP="005A212B">
      <w:pPr>
        <w:snapToGrid w:val="0"/>
        <w:spacing w:before="100" w:beforeAutospacing="1" w:after="150" w:line="276" w:lineRule="auto"/>
        <w:contextualSpacing/>
        <w:jc w:val="both"/>
        <w:rPr>
          <w:rFonts w:asciiTheme="minorHAnsi" w:eastAsia="Times New Roman" w:hAnsiTheme="minorHAnsi" w:cs="Calibri (Tekst podstawowy)"/>
          <w:color w:val="1F1B41" w:themeColor="text1"/>
          <w:lang w:eastAsia="pl-PL"/>
        </w:rPr>
      </w:pPr>
      <w:r w:rsidRPr="003C022A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>– Rozwiązaniem</w:t>
      </w:r>
      <w:r w:rsidR="005A212B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 problemu deficytów kadrowych mężczyzn</w:t>
      </w:r>
      <w:r w:rsidRPr="003C022A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 może być np. rekrutacja par</w:t>
      </w:r>
      <w:r w:rsidR="002E6FD1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. </w:t>
      </w:r>
      <w:r w:rsidR="00BB6D0E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Możliwa, gdy dysponujemy lub </w:t>
      </w:r>
      <w:r w:rsidR="005A212B" w:rsidRPr="005A212B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>plujemy</w:t>
      </w:r>
      <w:r w:rsidR="00BB6D0E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 stworzyć etaty</w:t>
      </w:r>
      <w:r w:rsidRPr="003C022A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, które </w:t>
      </w:r>
      <w:r w:rsidR="005A212B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>chętnie wybierają także panie</w:t>
      </w:r>
      <w:r w:rsidR="00BB6D0E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 </w:t>
      </w:r>
      <w:r w:rsidRPr="003C022A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>tj. prace związane ze sprzątaniem, pakowaniem czy kontrolą jakości. Takie działanie może znaczenie przyspieszyć procesy rekrutacji</w:t>
      </w:r>
      <w:r w:rsidR="00915B6C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 </w:t>
      </w:r>
      <w:r w:rsidR="00BB6D0E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m.in. </w:t>
      </w:r>
      <w:r w:rsidR="002E6FD1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>obcokrajowców</w:t>
      </w:r>
      <w:r w:rsidR="00915B6C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 </w:t>
      </w:r>
      <w:r w:rsidR="00BB6D0E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– </w:t>
      </w:r>
      <w:r w:rsidR="00915B6C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>chętnych do przyjazdu do Polski ze swoją drugą połówką</w:t>
      </w:r>
      <w:r w:rsidR="00BB6D0E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 – </w:t>
      </w:r>
      <w:r w:rsidR="002E6FD1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>którzy uzupełnią braki w zespole</w:t>
      </w:r>
      <w:r w:rsidR="005A212B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 na stanowiskach dedykowanych panom.</w:t>
      </w:r>
      <w:r w:rsidR="00915B6C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 J</w:t>
      </w:r>
      <w:r w:rsidRPr="003C022A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ednak w Polsce </w:t>
      </w:r>
      <w:r w:rsidR="00BB6D0E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>na takie działanie</w:t>
      </w:r>
      <w:r w:rsidR="005A212B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 i chęć rekrutacji par</w:t>
      </w:r>
      <w:r w:rsidR="00BB6D0E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 nadal </w:t>
      </w:r>
      <w:r w:rsidRPr="003C022A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>gotowa jest niewielka liczba przedsiębiorców</w:t>
      </w:r>
      <w:r w:rsidR="00BB6D0E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 z </w:t>
      </w:r>
      <w:r w:rsidRPr="003C022A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 xml:space="preserve">branż uznawanych za męskie – </w:t>
      </w:r>
      <w:r w:rsidRPr="003C022A">
        <w:rPr>
          <w:rFonts w:asciiTheme="minorHAnsi" w:eastAsia="Times New Roman" w:hAnsiTheme="minorHAnsi" w:cs="Calibri (Tekst podstawowy)"/>
          <w:color w:val="1F1B41" w:themeColor="text1"/>
          <w:lang w:eastAsia="pl-PL"/>
        </w:rPr>
        <w:t>podsumowuje</w:t>
      </w:r>
      <w:r w:rsidR="005A212B">
        <w:rPr>
          <w:rFonts w:asciiTheme="minorHAnsi" w:eastAsia="Times New Roman" w:hAnsiTheme="minorHAnsi" w:cs="Calibri (Tekst podstawowy)"/>
          <w:color w:val="1F1B41" w:themeColor="text1"/>
          <w:lang w:eastAsia="pl-PL"/>
        </w:rPr>
        <w:t xml:space="preserve"> Justyna Lach</w:t>
      </w:r>
      <w:r w:rsidRPr="003C022A">
        <w:rPr>
          <w:rFonts w:asciiTheme="minorHAnsi" w:eastAsia="Times New Roman" w:hAnsiTheme="minorHAnsi" w:cs="Calibri (Tekst podstawowy)"/>
          <w:i/>
          <w:iCs/>
          <w:color w:val="1F1B41" w:themeColor="text1"/>
          <w:lang w:eastAsia="pl-PL"/>
        </w:rPr>
        <w:t>.</w:t>
      </w:r>
    </w:p>
    <w:p w14:paraId="56CA48DB" w14:textId="77777777" w:rsidR="000A3552" w:rsidRDefault="000A3552" w:rsidP="006D016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AA3B618" w14:textId="558DAB4E" w:rsidR="007E1799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33644547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6AFE0966" w14:textId="54406E28" w:rsidR="00E05548" w:rsidRPr="006D016D" w:rsidRDefault="00E05548" w:rsidP="006D016D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7F5D49C2" w14:textId="0EC64921" w:rsidR="00DF5583" w:rsidRPr="006D016D" w:rsidRDefault="00E05548" w:rsidP="00D24642">
      <w:pPr>
        <w:rPr>
          <w:color w:val="002060"/>
          <w:sz w:val="24"/>
          <w:szCs w:val="24"/>
          <w:lang w:val="en-US"/>
        </w:rPr>
      </w:pPr>
      <w:r w:rsidRPr="006D016D">
        <w:rPr>
          <w:color w:val="002060"/>
          <w:sz w:val="24"/>
          <w:szCs w:val="24"/>
        </w:rPr>
        <w:t xml:space="preserve">e-mail: </w:t>
      </w:r>
      <w:hyperlink r:id="rId8" w:history="1">
        <w:r w:rsidRPr="006D016D">
          <w:rPr>
            <w:rStyle w:val="Hipercze"/>
            <w:sz w:val="24"/>
            <w:szCs w:val="24"/>
          </w:rPr>
          <w:t>k.tyniec@bepr.pl</w:t>
        </w:r>
      </w:hyperlink>
      <w:r w:rsidR="006D016D" w:rsidRPr="006D016D">
        <w:rPr>
          <w:color w:val="002060"/>
          <w:sz w:val="24"/>
          <w:szCs w:val="24"/>
        </w:rPr>
        <w:t xml:space="preserve"> lub </w:t>
      </w:r>
      <w:r w:rsidRPr="006D016D">
        <w:rPr>
          <w:color w:val="002060"/>
          <w:sz w:val="24"/>
          <w:szCs w:val="24"/>
        </w:rPr>
        <w:t xml:space="preserve">kom. </w:t>
      </w:r>
      <w:r w:rsidRPr="006D016D">
        <w:rPr>
          <w:color w:val="002060"/>
          <w:sz w:val="24"/>
          <w:szCs w:val="24"/>
          <w:lang w:val="en-US"/>
        </w:rPr>
        <w:t>+48 500 690 965</w:t>
      </w:r>
    </w:p>
    <w:sectPr w:rsidR="00DF5583" w:rsidRPr="006D016D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188E" w14:textId="77777777" w:rsidR="0027776A" w:rsidRDefault="0027776A" w:rsidP="00B332FF">
      <w:r>
        <w:separator/>
      </w:r>
    </w:p>
  </w:endnote>
  <w:endnote w:type="continuationSeparator" w:id="0">
    <w:p w14:paraId="5931150B" w14:textId="77777777" w:rsidR="0027776A" w:rsidRDefault="0027776A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(Tekst podstawowy)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1EA0" w14:textId="77777777" w:rsidR="007508C7" w:rsidRDefault="00750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D366" w14:textId="77777777" w:rsidR="007508C7" w:rsidRDefault="0075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57B4" w14:textId="77777777" w:rsidR="0027776A" w:rsidRDefault="0027776A" w:rsidP="00B332FF">
      <w:r>
        <w:separator/>
      </w:r>
    </w:p>
  </w:footnote>
  <w:footnote w:type="continuationSeparator" w:id="0">
    <w:p w14:paraId="1A8F7E13" w14:textId="77777777" w:rsidR="0027776A" w:rsidRDefault="0027776A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A731" w14:textId="77777777" w:rsidR="007508C7" w:rsidRDefault="00750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</w:t>
                    </w:r>
                    <w:proofErr w:type="gramStart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389 ;</w:t>
                    </w:r>
                    <w:proofErr w:type="gramEnd"/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E42F" w14:textId="77777777" w:rsidR="007508C7" w:rsidRDefault="00750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A7A49"/>
    <w:multiLevelType w:val="hybridMultilevel"/>
    <w:tmpl w:val="434C3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53F5"/>
    <w:rsid w:val="00036102"/>
    <w:rsid w:val="000426D5"/>
    <w:rsid w:val="00053363"/>
    <w:rsid w:val="0005546C"/>
    <w:rsid w:val="000565AC"/>
    <w:rsid w:val="000668DA"/>
    <w:rsid w:val="00074B37"/>
    <w:rsid w:val="00080CD1"/>
    <w:rsid w:val="000924FC"/>
    <w:rsid w:val="000A3077"/>
    <w:rsid w:val="000A3552"/>
    <w:rsid w:val="000A6C87"/>
    <w:rsid w:val="000B2757"/>
    <w:rsid w:val="000C403C"/>
    <w:rsid w:val="000C7470"/>
    <w:rsid w:val="000D47B0"/>
    <w:rsid w:val="000D60DF"/>
    <w:rsid w:val="000E6326"/>
    <w:rsid w:val="000F2E79"/>
    <w:rsid w:val="00102972"/>
    <w:rsid w:val="001126CB"/>
    <w:rsid w:val="00112702"/>
    <w:rsid w:val="00114250"/>
    <w:rsid w:val="001522F5"/>
    <w:rsid w:val="00165D83"/>
    <w:rsid w:val="00172852"/>
    <w:rsid w:val="00180C30"/>
    <w:rsid w:val="001834B1"/>
    <w:rsid w:val="00192A33"/>
    <w:rsid w:val="00194540"/>
    <w:rsid w:val="001A3CF1"/>
    <w:rsid w:val="001A5D06"/>
    <w:rsid w:val="001A75A5"/>
    <w:rsid w:val="001B1511"/>
    <w:rsid w:val="001B41C0"/>
    <w:rsid w:val="001C5671"/>
    <w:rsid w:val="001C6A76"/>
    <w:rsid w:val="001D35E3"/>
    <w:rsid w:val="001E358E"/>
    <w:rsid w:val="001E74E4"/>
    <w:rsid w:val="001F14B3"/>
    <w:rsid w:val="001F7C74"/>
    <w:rsid w:val="00217BD9"/>
    <w:rsid w:val="00226588"/>
    <w:rsid w:val="00231305"/>
    <w:rsid w:val="00231C0B"/>
    <w:rsid w:val="002333C2"/>
    <w:rsid w:val="00237E0C"/>
    <w:rsid w:val="00241CDE"/>
    <w:rsid w:val="00251CB2"/>
    <w:rsid w:val="002527CA"/>
    <w:rsid w:val="002547CE"/>
    <w:rsid w:val="00271898"/>
    <w:rsid w:val="0027776A"/>
    <w:rsid w:val="00280B72"/>
    <w:rsid w:val="00286E1F"/>
    <w:rsid w:val="00293D11"/>
    <w:rsid w:val="002A1444"/>
    <w:rsid w:val="002A406D"/>
    <w:rsid w:val="002A6884"/>
    <w:rsid w:val="002B2936"/>
    <w:rsid w:val="002B6D71"/>
    <w:rsid w:val="002C19BC"/>
    <w:rsid w:val="002C295A"/>
    <w:rsid w:val="002C7FCC"/>
    <w:rsid w:val="002D06AC"/>
    <w:rsid w:val="002E6FD1"/>
    <w:rsid w:val="002F6058"/>
    <w:rsid w:val="00301E41"/>
    <w:rsid w:val="0031516E"/>
    <w:rsid w:val="00321C33"/>
    <w:rsid w:val="00323633"/>
    <w:rsid w:val="00326F34"/>
    <w:rsid w:val="0032786E"/>
    <w:rsid w:val="0033021F"/>
    <w:rsid w:val="00356E10"/>
    <w:rsid w:val="003629C8"/>
    <w:rsid w:val="00367362"/>
    <w:rsid w:val="0036739B"/>
    <w:rsid w:val="00381CC9"/>
    <w:rsid w:val="00391607"/>
    <w:rsid w:val="00391CE0"/>
    <w:rsid w:val="003941D4"/>
    <w:rsid w:val="003A5053"/>
    <w:rsid w:val="003A6667"/>
    <w:rsid w:val="003B13B2"/>
    <w:rsid w:val="003B2C2A"/>
    <w:rsid w:val="003C022A"/>
    <w:rsid w:val="003D054B"/>
    <w:rsid w:val="003D759B"/>
    <w:rsid w:val="003F173D"/>
    <w:rsid w:val="004018D5"/>
    <w:rsid w:val="00402361"/>
    <w:rsid w:val="00403851"/>
    <w:rsid w:val="004062B8"/>
    <w:rsid w:val="00410C6C"/>
    <w:rsid w:val="00412F56"/>
    <w:rsid w:val="00427773"/>
    <w:rsid w:val="004323D1"/>
    <w:rsid w:val="00433886"/>
    <w:rsid w:val="0043438C"/>
    <w:rsid w:val="00445800"/>
    <w:rsid w:val="00465B97"/>
    <w:rsid w:val="004815B8"/>
    <w:rsid w:val="00495EC6"/>
    <w:rsid w:val="004A2351"/>
    <w:rsid w:val="004E3C8A"/>
    <w:rsid w:val="004E64AC"/>
    <w:rsid w:val="004F032D"/>
    <w:rsid w:val="004F16A8"/>
    <w:rsid w:val="004F1E0F"/>
    <w:rsid w:val="004F6E3E"/>
    <w:rsid w:val="00512A67"/>
    <w:rsid w:val="00512F62"/>
    <w:rsid w:val="00514E69"/>
    <w:rsid w:val="00516A5A"/>
    <w:rsid w:val="0052476B"/>
    <w:rsid w:val="005262E5"/>
    <w:rsid w:val="00530981"/>
    <w:rsid w:val="0053464A"/>
    <w:rsid w:val="00536118"/>
    <w:rsid w:val="00540F74"/>
    <w:rsid w:val="00553E6C"/>
    <w:rsid w:val="00572EF3"/>
    <w:rsid w:val="005740D7"/>
    <w:rsid w:val="0059056F"/>
    <w:rsid w:val="005927B2"/>
    <w:rsid w:val="00596452"/>
    <w:rsid w:val="005973BF"/>
    <w:rsid w:val="005A09C9"/>
    <w:rsid w:val="005A212B"/>
    <w:rsid w:val="005A3F81"/>
    <w:rsid w:val="005D1823"/>
    <w:rsid w:val="005D39B9"/>
    <w:rsid w:val="005D56D5"/>
    <w:rsid w:val="005F7D58"/>
    <w:rsid w:val="00617839"/>
    <w:rsid w:val="006229DA"/>
    <w:rsid w:val="0064167D"/>
    <w:rsid w:val="00670266"/>
    <w:rsid w:val="00674190"/>
    <w:rsid w:val="006751EB"/>
    <w:rsid w:val="006829CF"/>
    <w:rsid w:val="006847B1"/>
    <w:rsid w:val="00691170"/>
    <w:rsid w:val="006C0A82"/>
    <w:rsid w:val="006C3A25"/>
    <w:rsid w:val="006D016D"/>
    <w:rsid w:val="006D5D94"/>
    <w:rsid w:val="006D652A"/>
    <w:rsid w:val="006E1DD8"/>
    <w:rsid w:val="006E657F"/>
    <w:rsid w:val="00714B45"/>
    <w:rsid w:val="00724C9D"/>
    <w:rsid w:val="00733113"/>
    <w:rsid w:val="00740A88"/>
    <w:rsid w:val="007465C3"/>
    <w:rsid w:val="007508C7"/>
    <w:rsid w:val="007520B9"/>
    <w:rsid w:val="007565E2"/>
    <w:rsid w:val="007638C4"/>
    <w:rsid w:val="00781F52"/>
    <w:rsid w:val="00795226"/>
    <w:rsid w:val="007A0A35"/>
    <w:rsid w:val="007B3D7D"/>
    <w:rsid w:val="007C0AE6"/>
    <w:rsid w:val="007C50A0"/>
    <w:rsid w:val="007C7383"/>
    <w:rsid w:val="007C7859"/>
    <w:rsid w:val="007D1FD1"/>
    <w:rsid w:val="007D2EEF"/>
    <w:rsid w:val="007E1799"/>
    <w:rsid w:val="007E4E0D"/>
    <w:rsid w:val="007E5F53"/>
    <w:rsid w:val="007F3A4F"/>
    <w:rsid w:val="007F3E84"/>
    <w:rsid w:val="007F55BA"/>
    <w:rsid w:val="007F74A0"/>
    <w:rsid w:val="00840053"/>
    <w:rsid w:val="00851356"/>
    <w:rsid w:val="0088277C"/>
    <w:rsid w:val="0089087A"/>
    <w:rsid w:val="00896D22"/>
    <w:rsid w:val="00896F74"/>
    <w:rsid w:val="008A3A86"/>
    <w:rsid w:val="008B18D7"/>
    <w:rsid w:val="008B49F0"/>
    <w:rsid w:val="008B4AD4"/>
    <w:rsid w:val="008B7179"/>
    <w:rsid w:val="008B7F3E"/>
    <w:rsid w:val="008D2771"/>
    <w:rsid w:val="008E0E59"/>
    <w:rsid w:val="008E380D"/>
    <w:rsid w:val="008E7511"/>
    <w:rsid w:val="00900BC8"/>
    <w:rsid w:val="00902F43"/>
    <w:rsid w:val="00915B6C"/>
    <w:rsid w:val="0093053E"/>
    <w:rsid w:val="00933034"/>
    <w:rsid w:val="00935535"/>
    <w:rsid w:val="00937AF8"/>
    <w:rsid w:val="00945355"/>
    <w:rsid w:val="009571ED"/>
    <w:rsid w:val="009646A6"/>
    <w:rsid w:val="00974C5D"/>
    <w:rsid w:val="009A75F4"/>
    <w:rsid w:val="009B155A"/>
    <w:rsid w:val="009B6CD0"/>
    <w:rsid w:val="009C23BE"/>
    <w:rsid w:val="009D366C"/>
    <w:rsid w:val="009D5E45"/>
    <w:rsid w:val="009E5581"/>
    <w:rsid w:val="009E5B91"/>
    <w:rsid w:val="009E6056"/>
    <w:rsid w:val="009E6DF0"/>
    <w:rsid w:val="009F4B3E"/>
    <w:rsid w:val="009F7EC3"/>
    <w:rsid w:val="00A22AC8"/>
    <w:rsid w:val="00A31144"/>
    <w:rsid w:val="00A416A1"/>
    <w:rsid w:val="00A51B87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3D2E"/>
    <w:rsid w:val="00AA0D6E"/>
    <w:rsid w:val="00AA5B4D"/>
    <w:rsid w:val="00AC0CA9"/>
    <w:rsid w:val="00AC76AB"/>
    <w:rsid w:val="00AE3272"/>
    <w:rsid w:val="00AE48F0"/>
    <w:rsid w:val="00AF56E3"/>
    <w:rsid w:val="00AF7D6A"/>
    <w:rsid w:val="00B22885"/>
    <w:rsid w:val="00B23A03"/>
    <w:rsid w:val="00B332FF"/>
    <w:rsid w:val="00B36436"/>
    <w:rsid w:val="00B56394"/>
    <w:rsid w:val="00B63CEC"/>
    <w:rsid w:val="00B75213"/>
    <w:rsid w:val="00B75DA6"/>
    <w:rsid w:val="00B95E76"/>
    <w:rsid w:val="00BA077A"/>
    <w:rsid w:val="00BB6D0E"/>
    <w:rsid w:val="00BB6D37"/>
    <w:rsid w:val="00BE1F69"/>
    <w:rsid w:val="00BE7867"/>
    <w:rsid w:val="00BF080B"/>
    <w:rsid w:val="00BF210F"/>
    <w:rsid w:val="00C0117C"/>
    <w:rsid w:val="00C21316"/>
    <w:rsid w:val="00C22A96"/>
    <w:rsid w:val="00C30652"/>
    <w:rsid w:val="00C3641C"/>
    <w:rsid w:val="00C467A0"/>
    <w:rsid w:val="00C50E5D"/>
    <w:rsid w:val="00C703CA"/>
    <w:rsid w:val="00C852BE"/>
    <w:rsid w:val="00C92005"/>
    <w:rsid w:val="00CA4372"/>
    <w:rsid w:val="00CB0118"/>
    <w:rsid w:val="00CB0C5F"/>
    <w:rsid w:val="00CC7FBD"/>
    <w:rsid w:val="00CD6E4E"/>
    <w:rsid w:val="00CD776E"/>
    <w:rsid w:val="00CE2F4C"/>
    <w:rsid w:val="00D06C42"/>
    <w:rsid w:val="00D07E15"/>
    <w:rsid w:val="00D12EAA"/>
    <w:rsid w:val="00D24642"/>
    <w:rsid w:val="00D3498E"/>
    <w:rsid w:val="00D428F8"/>
    <w:rsid w:val="00D52E9C"/>
    <w:rsid w:val="00D62F36"/>
    <w:rsid w:val="00D64C59"/>
    <w:rsid w:val="00D651C3"/>
    <w:rsid w:val="00D655EE"/>
    <w:rsid w:val="00D80F14"/>
    <w:rsid w:val="00D97599"/>
    <w:rsid w:val="00DA6C2E"/>
    <w:rsid w:val="00DA7433"/>
    <w:rsid w:val="00DB1303"/>
    <w:rsid w:val="00DB16EF"/>
    <w:rsid w:val="00DD6DBA"/>
    <w:rsid w:val="00DF23DC"/>
    <w:rsid w:val="00DF2BE8"/>
    <w:rsid w:val="00DF5583"/>
    <w:rsid w:val="00E03C52"/>
    <w:rsid w:val="00E05548"/>
    <w:rsid w:val="00E123DB"/>
    <w:rsid w:val="00E233AE"/>
    <w:rsid w:val="00E24786"/>
    <w:rsid w:val="00E42011"/>
    <w:rsid w:val="00E50747"/>
    <w:rsid w:val="00E55742"/>
    <w:rsid w:val="00E559BB"/>
    <w:rsid w:val="00E65520"/>
    <w:rsid w:val="00E8569E"/>
    <w:rsid w:val="00E870D6"/>
    <w:rsid w:val="00E936EB"/>
    <w:rsid w:val="00EB3A78"/>
    <w:rsid w:val="00EB52F7"/>
    <w:rsid w:val="00EC09DE"/>
    <w:rsid w:val="00EC5AB1"/>
    <w:rsid w:val="00EC74E8"/>
    <w:rsid w:val="00ED1C77"/>
    <w:rsid w:val="00ED2886"/>
    <w:rsid w:val="00ED3B00"/>
    <w:rsid w:val="00ED62E3"/>
    <w:rsid w:val="00ED73F3"/>
    <w:rsid w:val="00EE6B69"/>
    <w:rsid w:val="00EF6665"/>
    <w:rsid w:val="00F1211C"/>
    <w:rsid w:val="00F125CF"/>
    <w:rsid w:val="00F13302"/>
    <w:rsid w:val="00F23E5F"/>
    <w:rsid w:val="00F2485C"/>
    <w:rsid w:val="00F2796A"/>
    <w:rsid w:val="00F36B63"/>
    <w:rsid w:val="00F436C1"/>
    <w:rsid w:val="00F44C66"/>
    <w:rsid w:val="00F50A10"/>
    <w:rsid w:val="00F54BC8"/>
    <w:rsid w:val="00F60D97"/>
    <w:rsid w:val="00F729B6"/>
    <w:rsid w:val="00F80C05"/>
    <w:rsid w:val="00FB77FC"/>
    <w:rsid w:val="00FC1310"/>
    <w:rsid w:val="00FC48F8"/>
    <w:rsid w:val="00FC6E7E"/>
    <w:rsid w:val="00FD2FE0"/>
    <w:rsid w:val="00FE13C8"/>
    <w:rsid w:val="00FE1FF2"/>
    <w:rsid w:val="00FE4C3A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4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3</cp:revision>
  <cp:lastPrinted>2021-09-27T12:25:00Z</cp:lastPrinted>
  <dcterms:created xsi:type="dcterms:W3CDTF">2021-09-30T08:09:00Z</dcterms:created>
  <dcterms:modified xsi:type="dcterms:W3CDTF">2021-09-30T08:18:00Z</dcterms:modified>
</cp:coreProperties>
</file>