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1B02D35C" w:rsidR="002D190A" w:rsidRDefault="00B31D3F" w:rsidP="002F733A">
      <w:pPr>
        <w:spacing w:before="240" w:after="240" w:line="259" w:lineRule="auto"/>
        <w:ind w:left="6373"/>
        <w:jc w:val="right"/>
        <w:rPr>
          <w:sz w:val="22"/>
        </w:rPr>
      </w:pPr>
      <w:r>
        <w:rPr>
          <w:sz w:val="22"/>
        </w:rPr>
        <w:t>Warszawa,</w:t>
      </w:r>
      <w:r w:rsidR="0052709D">
        <w:rPr>
          <w:sz w:val="22"/>
        </w:rPr>
        <w:t xml:space="preserve"> </w:t>
      </w:r>
      <w:r w:rsidR="00BF70D1">
        <w:rPr>
          <w:sz w:val="22"/>
        </w:rPr>
        <w:t>4</w:t>
      </w:r>
      <w:r w:rsidR="001C38A7">
        <w:rPr>
          <w:sz w:val="22"/>
        </w:rPr>
        <w:t>.10</w:t>
      </w:r>
      <w:r w:rsidR="002D190A">
        <w:rPr>
          <w:sz w:val="22"/>
        </w:rPr>
        <w:t xml:space="preserve">.2021 r. </w:t>
      </w:r>
    </w:p>
    <w:p w14:paraId="40780070" w14:textId="77777777" w:rsidR="00946B5F" w:rsidRDefault="002D190A" w:rsidP="002F733A">
      <w:pPr>
        <w:spacing w:before="480" w:after="480" w:line="259" w:lineRule="auto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</w:p>
    <w:p w14:paraId="3045B60B" w14:textId="314A46CD" w:rsidR="00FC21C0" w:rsidRDefault="00437E8F" w:rsidP="002F733A">
      <w:pPr>
        <w:spacing w:before="240" w:after="24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O</w:t>
      </w:r>
      <w:r w:rsidR="002B320F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>6</w:t>
      </w:r>
      <w:r w:rsidR="002B320F">
        <w:rPr>
          <w:rFonts w:ascii="Calibri" w:eastAsia="Calibri" w:hAnsi="Calibri" w:cs="Times New Roman"/>
          <w:b/>
          <w:bCs/>
          <w:sz w:val="28"/>
          <w:szCs w:val="28"/>
        </w:rPr>
        <w:t xml:space="preserve">40 mln </w:t>
      </w:r>
      <w:r w:rsidR="00E37D10">
        <w:rPr>
          <w:rFonts w:ascii="Calibri" w:eastAsia="Calibri" w:hAnsi="Calibri" w:cs="Times New Roman"/>
          <w:b/>
          <w:bCs/>
          <w:sz w:val="28"/>
          <w:szCs w:val="28"/>
        </w:rPr>
        <w:t xml:space="preserve">zł wzrosły zaległości handlu </w:t>
      </w:r>
      <w:r>
        <w:rPr>
          <w:rFonts w:ascii="Calibri" w:eastAsia="Calibri" w:hAnsi="Calibri" w:cs="Times New Roman"/>
          <w:b/>
          <w:bCs/>
          <w:sz w:val="28"/>
          <w:szCs w:val="28"/>
        </w:rPr>
        <w:t>od początku pandemii</w:t>
      </w:r>
      <w:r w:rsidR="002B320F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3C1C2371" w14:textId="15437CDE" w:rsidR="00A767F6" w:rsidRDefault="006709B7" w:rsidP="001E13F0">
      <w:pPr>
        <w:spacing w:before="240" w:after="24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 w:rsidRPr="00B773F1">
        <w:rPr>
          <w:rFonts w:ascii="Calibri" w:eastAsia="Calibri" w:hAnsi="Calibri" w:cs="Times New Roman"/>
          <w:b/>
          <w:bCs/>
          <w:sz w:val="22"/>
        </w:rPr>
        <w:t xml:space="preserve">Notowane </w:t>
      </w:r>
      <w:r w:rsidR="00D311E9" w:rsidRPr="00B773F1">
        <w:rPr>
          <w:rFonts w:ascii="Calibri" w:eastAsia="Calibri" w:hAnsi="Calibri" w:cs="Times New Roman"/>
          <w:b/>
          <w:bCs/>
          <w:sz w:val="22"/>
        </w:rPr>
        <w:t>spore</w:t>
      </w:r>
      <w:r w:rsidR="002B320F" w:rsidRPr="00B773F1">
        <w:rPr>
          <w:rFonts w:ascii="Calibri" w:eastAsia="Calibri" w:hAnsi="Calibri" w:cs="Times New Roman"/>
          <w:b/>
          <w:bCs/>
          <w:sz w:val="22"/>
        </w:rPr>
        <w:t xml:space="preserve"> </w:t>
      </w:r>
      <w:r w:rsidRPr="00B773F1">
        <w:rPr>
          <w:rFonts w:ascii="Calibri" w:eastAsia="Calibri" w:hAnsi="Calibri" w:cs="Times New Roman"/>
          <w:b/>
          <w:bCs/>
          <w:sz w:val="22"/>
        </w:rPr>
        <w:t>wzrosty sprzedaży detalicznej nie idą jeszcze w parze z</w:t>
      </w:r>
      <w:r w:rsidR="00D311E9" w:rsidRPr="00B773F1">
        <w:rPr>
          <w:rFonts w:ascii="Calibri" w:eastAsia="Calibri" w:hAnsi="Calibri" w:cs="Times New Roman"/>
          <w:b/>
          <w:bCs/>
          <w:sz w:val="22"/>
        </w:rPr>
        <w:t xml:space="preserve">e znaczącą </w:t>
      </w:r>
      <w:r w:rsidRPr="00B773F1">
        <w:rPr>
          <w:rFonts w:ascii="Calibri" w:eastAsia="Calibri" w:hAnsi="Calibri" w:cs="Times New Roman"/>
          <w:b/>
          <w:bCs/>
          <w:sz w:val="22"/>
        </w:rPr>
        <w:t>poprawą sytuacji branży handlowej</w:t>
      </w:r>
      <w:r w:rsidR="00E767E7" w:rsidRPr="00B773F1">
        <w:rPr>
          <w:rFonts w:ascii="Calibri" w:eastAsia="Calibri" w:hAnsi="Calibri" w:cs="Times New Roman"/>
          <w:b/>
          <w:bCs/>
          <w:sz w:val="22"/>
        </w:rPr>
        <w:t xml:space="preserve">, choć </w:t>
      </w:r>
      <w:r w:rsidR="002B320F" w:rsidRPr="00B773F1">
        <w:rPr>
          <w:rFonts w:ascii="Calibri" w:eastAsia="Calibri" w:hAnsi="Calibri" w:cs="Times New Roman"/>
          <w:b/>
          <w:bCs/>
          <w:sz w:val="22"/>
        </w:rPr>
        <w:t xml:space="preserve">są </w:t>
      </w:r>
      <w:r w:rsidR="00E767E7" w:rsidRPr="00B773F1">
        <w:rPr>
          <w:rFonts w:ascii="Calibri" w:eastAsia="Calibri" w:hAnsi="Calibri" w:cs="Times New Roman"/>
          <w:b/>
          <w:bCs/>
          <w:sz w:val="22"/>
        </w:rPr>
        <w:t xml:space="preserve">pewne sygnały </w:t>
      </w:r>
      <w:r w:rsidR="002B320F" w:rsidRPr="00B773F1">
        <w:rPr>
          <w:rFonts w:ascii="Calibri" w:eastAsia="Calibri" w:hAnsi="Calibri" w:cs="Times New Roman"/>
          <w:b/>
          <w:bCs/>
          <w:sz w:val="22"/>
        </w:rPr>
        <w:t>zmian na lepsze</w:t>
      </w:r>
      <w:r w:rsidR="00E767E7" w:rsidRPr="00B773F1">
        <w:rPr>
          <w:rFonts w:ascii="Calibri" w:eastAsia="Calibri" w:hAnsi="Calibri" w:cs="Times New Roman"/>
          <w:b/>
          <w:bCs/>
          <w:sz w:val="22"/>
        </w:rPr>
        <w:t xml:space="preserve">. Przyhamował spadek </w:t>
      </w:r>
      <w:r w:rsidR="00F8074A" w:rsidRPr="00B773F1">
        <w:rPr>
          <w:rFonts w:ascii="Calibri" w:eastAsia="Calibri" w:hAnsi="Calibri" w:cs="Times New Roman"/>
          <w:b/>
          <w:bCs/>
          <w:sz w:val="22"/>
        </w:rPr>
        <w:t xml:space="preserve">liczby </w:t>
      </w:r>
      <w:r w:rsidR="00E767E7" w:rsidRPr="00B773F1">
        <w:rPr>
          <w:rFonts w:ascii="Calibri" w:eastAsia="Calibri" w:hAnsi="Calibri" w:cs="Times New Roman"/>
          <w:b/>
          <w:bCs/>
          <w:sz w:val="22"/>
        </w:rPr>
        <w:t>sklepów, a</w:t>
      </w:r>
      <w:r w:rsidR="00720A75">
        <w:rPr>
          <w:rFonts w:ascii="Calibri" w:eastAsia="Calibri" w:hAnsi="Calibri" w:cs="Times New Roman"/>
          <w:b/>
          <w:bCs/>
          <w:sz w:val="22"/>
        </w:rPr>
        <w:t> </w:t>
      </w:r>
      <w:r w:rsidR="00E767E7" w:rsidRPr="00B773F1">
        <w:rPr>
          <w:rFonts w:ascii="Calibri" w:eastAsia="Calibri" w:hAnsi="Calibri" w:cs="Times New Roman"/>
          <w:b/>
          <w:bCs/>
          <w:sz w:val="22"/>
        </w:rPr>
        <w:t>zaległości rosną wolniej niż w innych branżach</w:t>
      </w:r>
      <w:r w:rsidR="001E13F0" w:rsidRPr="00B773F1">
        <w:rPr>
          <w:rFonts w:ascii="Calibri" w:eastAsia="Calibri" w:hAnsi="Calibri" w:cs="Times New Roman"/>
          <w:b/>
          <w:bCs/>
          <w:sz w:val="22"/>
        </w:rPr>
        <w:t>. Byłoby jeszcze lepiej</w:t>
      </w:r>
      <w:r w:rsidR="00720A75">
        <w:rPr>
          <w:rFonts w:ascii="Calibri" w:eastAsia="Calibri" w:hAnsi="Calibri" w:cs="Times New Roman"/>
          <w:b/>
          <w:bCs/>
          <w:sz w:val="22"/>
        </w:rPr>
        <w:t>,</w:t>
      </w:r>
      <w:r w:rsidR="001E13F0" w:rsidRPr="00B773F1">
        <w:rPr>
          <w:rFonts w:ascii="Calibri" w:eastAsia="Calibri" w:hAnsi="Calibri" w:cs="Times New Roman"/>
          <w:b/>
          <w:bCs/>
          <w:sz w:val="22"/>
        </w:rPr>
        <w:t xml:space="preserve"> gdyby nie tegoroczne zwiększenie zadłużenia wobec dostawców i banków handlu hurtowego, w tym m.in. przez firmy zajmujące się hurtową sprzedażą płodów rolnych i żywych zwierząt. Suma zaległości</w:t>
      </w:r>
      <w:r w:rsidR="005E244B" w:rsidRPr="00B773F1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5E244B" w:rsidRPr="005C2D70">
        <w:rPr>
          <w:rFonts w:ascii="Calibri" w:eastAsia="Calibri" w:hAnsi="Calibri" w:cs="Times New Roman"/>
          <w:b/>
          <w:bCs/>
          <w:sz w:val="22"/>
        </w:rPr>
        <w:t>całej</w:t>
      </w:r>
      <w:r w:rsidR="001E13F0" w:rsidRPr="005C2D70">
        <w:rPr>
          <w:rFonts w:ascii="Calibri" w:eastAsia="Calibri" w:hAnsi="Calibri" w:cs="Times New Roman"/>
          <w:b/>
          <w:bCs/>
          <w:sz w:val="22"/>
        </w:rPr>
        <w:t xml:space="preserve"> branży </w:t>
      </w:r>
      <w:r w:rsidRPr="00B773F1">
        <w:rPr>
          <w:rFonts w:ascii="Calibri" w:eastAsia="Calibri" w:hAnsi="Calibri" w:cs="Times New Roman"/>
          <w:b/>
          <w:bCs/>
          <w:sz w:val="22"/>
        </w:rPr>
        <w:t xml:space="preserve">handlowej </w:t>
      </w:r>
      <w:r w:rsidR="002B320F" w:rsidRPr="00B773F1">
        <w:rPr>
          <w:rFonts w:ascii="Calibri" w:eastAsia="Calibri" w:hAnsi="Calibri" w:cs="Times New Roman"/>
          <w:b/>
          <w:bCs/>
          <w:sz w:val="22"/>
        </w:rPr>
        <w:t>należ</w:t>
      </w:r>
      <w:r w:rsidR="001E13F0" w:rsidRPr="00B773F1">
        <w:rPr>
          <w:rFonts w:ascii="Calibri" w:eastAsia="Calibri" w:hAnsi="Calibri" w:cs="Times New Roman"/>
          <w:b/>
          <w:bCs/>
          <w:sz w:val="22"/>
        </w:rPr>
        <w:t>y</w:t>
      </w:r>
      <w:r w:rsidR="002B320F" w:rsidRPr="00B773F1">
        <w:rPr>
          <w:rFonts w:ascii="Calibri" w:eastAsia="Calibri" w:hAnsi="Calibri" w:cs="Times New Roman"/>
          <w:b/>
          <w:bCs/>
          <w:sz w:val="22"/>
        </w:rPr>
        <w:t xml:space="preserve"> do najwyższych wśród wszystkich sektorów i </w:t>
      </w:r>
      <w:r w:rsidRPr="00B773F1">
        <w:rPr>
          <w:rFonts w:ascii="Calibri" w:eastAsia="Calibri" w:hAnsi="Calibri" w:cs="Times New Roman"/>
          <w:b/>
          <w:bCs/>
          <w:sz w:val="22"/>
        </w:rPr>
        <w:t>wyn</w:t>
      </w:r>
      <w:r w:rsidR="00D13039" w:rsidRPr="00B773F1">
        <w:rPr>
          <w:rFonts w:ascii="Calibri" w:eastAsia="Calibri" w:hAnsi="Calibri" w:cs="Times New Roman"/>
          <w:b/>
          <w:bCs/>
          <w:sz w:val="22"/>
        </w:rPr>
        <w:t>os</w:t>
      </w:r>
      <w:r w:rsidR="001E13F0" w:rsidRPr="00B773F1">
        <w:rPr>
          <w:rFonts w:ascii="Calibri" w:eastAsia="Calibri" w:hAnsi="Calibri" w:cs="Times New Roman"/>
          <w:b/>
          <w:bCs/>
          <w:sz w:val="22"/>
        </w:rPr>
        <w:t xml:space="preserve">i </w:t>
      </w:r>
      <w:r w:rsidR="002B320F" w:rsidRPr="00B773F1">
        <w:rPr>
          <w:rFonts w:ascii="Calibri" w:eastAsia="Calibri" w:hAnsi="Calibri" w:cs="Times New Roman"/>
          <w:b/>
          <w:bCs/>
          <w:sz w:val="22"/>
        </w:rPr>
        <w:t>już niemal 8</w:t>
      </w:r>
      <w:r w:rsidRPr="00B773F1">
        <w:rPr>
          <w:rFonts w:ascii="Calibri" w:eastAsia="Calibri" w:hAnsi="Calibri" w:cs="Times New Roman"/>
          <w:b/>
          <w:bCs/>
          <w:sz w:val="22"/>
        </w:rPr>
        <w:t>,</w:t>
      </w:r>
      <w:r w:rsidR="002B320F" w:rsidRPr="00B773F1">
        <w:rPr>
          <w:rFonts w:ascii="Calibri" w:eastAsia="Calibri" w:hAnsi="Calibri" w:cs="Times New Roman"/>
          <w:b/>
          <w:bCs/>
          <w:sz w:val="22"/>
        </w:rPr>
        <w:t xml:space="preserve">4 </w:t>
      </w:r>
      <w:r w:rsidRPr="00B773F1">
        <w:rPr>
          <w:rFonts w:ascii="Calibri" w:eastAsia="Calibri" w:hAnsi="Calibri" w:cs="Times New Roman"/>
          <w:b/>
          <w:bCs/>
          <w:sz w:val="22"/>
        </w:rPr>
        <w:t>mld zł</w:t>
      </w:r>
      <w:r w:rsidR="001E13F0" w:rsidRPr="00B773F1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720A75">
        <w:rPr>
          <w:rFonts w:ascii="Calibri" w:eastAsia="Calibri" w:hAnsi="Calibri" w:cs="Times New Roman"/>
          <w:b/>
          <w:bCs/>
          <w:sz w:val="22"/>
        </w:rPr>
        <w:t>–</w:t>
      </w:r>
      <w:r w:rsidR="001E13F0" w:rsidRPr="00B773F1">
        <w:rPr>
          <w:rFonts w:ascii="Calibri" w:eastAsia="Calibri" w:hAnsi="Calibri" w:cs="Times New Roman"/>
          <w:b/>
          <w:bCs/>
          <w:sz w:val="22"/>
        </w:rPr>
        <w:t xml:space="preserve"> wynika z danych Rejestru Dłużników BIG InfoMonitor oraz bazy informacji kredytowych BIK</w:t>
      </w:r>
      <w:r w:rsidRPr="00B773F1">
        <w:rPr>
          <w:rFonts w:ascii="Calibri" w:eastAsia="Calibri" w:hAnsi="Calibri" w:cs="Times New Roman"/>
          <w:b/>
          <w:bCs/>
          <w:sz w:val="22"/>
        </w:rPr>
        <w:t>.</w:t>
      </w:r>
      <w:r w:rsidR="00767319">
        <w:rPr>
          <w:rFonts w:ascii="Calibri" w:eastAsia="Calibri" w:hAnsi="Calibri" w:cs="Times New Roman"/>
          <w:b/>
          <w:bCs/>
          <w:sz w:val="22"/>
        </w:rPr>
        <w:t xml:space="preserve"> </w:t>
      </w:r>
    </w:p>
    <w:p w14:paraId="1289CA64" w14:textId="2EFA306E" w:rsidR="0051126F" w:rsidRPr="0051126F" w:rsidRDefault="0051126F" w:rsidP="000B5559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Jak podaje Główny Urząd Statystyczny, w </w:t>
      </w:r>
      <w:r w:rsidR="00574353">
        <w:rPr>
          <w:rFonts w:ascii="Calibri" w:eastAsia="Times New Roman" w:hAnsi="Calibri" w:cs="Times New Roman"/>
          <w:color w:val="auto"/>
          <w:sz w:val="22"/>
          <w:lang w:eastAsia="pl-PL"/>
        </w:rPr>
        <w:t>sierpniu</w:t>
      </w:r>
      <w:r w:rsidR="00574353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br. sprzedaż detaliczna w cenach stałych (bez uwzględnienia inflacji) była wyższa niż przed rokiem o </w:t>
      </w:r>
      <w:r w:rsidR="00F156F4">
        <w:rPr>
          <w:rFonts w:ascii="Calibri" w:eastAsia="Times New Roman" w:hAnsi="Calibri" w:cs="Times New Roman"/>
          <w:color w:val="auto"/>
          <w:sz w:val="22"/>
          <w:lang w:eastAsia="pl-PL"/>
        </w:rPr>
        <w:t>5,4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 (wobec wzrostu o </w:t>
      </w:r>
      <w:r w:rsidR="00F156F4">
        <w:rPr>
          <w:rFonts w:ascii="Calibri" w:eastAsia="Times New Roman" w:hAnsi="Calibri" w:cs="Times New Roman"/>
          <w:color w:val="auto"/>
          <w:sz w:val="22"/>
          <w:lang w:eastAsia="pl-PL"/>
        </w:rPr>
        <w:t>0,5</w:t>
      </w:r>
      <w:r w:rsidR="00F156F4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proc. w </w:t>
      </w:r>
      <w:r w:rsidR="00F156F4">
        <w:rPr>
          <w:rFonts w:ascii="Calibri" w:eastAsia="Times New Roman" w:hAnsi="Calibri" w:cs="Times New Roman"/>
          <w:color w:val="auto"/>
          <w:sz w:val="22"/>
          <w:lang w:eastAsia="pl-PL"/>
        </w:rPr>
        <w:t>sierpniu</w:t>
      </w:r>
      <w:r w:rsidR="00F156F4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2020</w:t>
      </w:r>
      <w:r w:rsidR="00345D12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r.). W porównaniu z </w:t>
      </w:r>
      <w:r w:rsidR="00F156F4">
        <w:rPr>
          <w:rFonts w:ascii="Calibri" w:eastAsia="Times New Roman" w:hAnsi="Calibri" w:cs="Times New Roman"/>
          <w:color w:val="auto"/>
          <w:sz w:val="22"/>
          <w:lang w:eastAsia="pl-PL"/>
        </w:rPr>
        <w:t>lipcem</w:t>
      </w:r>
      <w:r w:rsidR="00F156F4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2021 r. ten wskaźnik </w:t>
      </w:r>
      <w:r w:rsidR="00F156F4" w:rsidRPr="00F156F4">
        <w:rPr>
          <w:rFonts w:ascii="Calibri" w:eastAsia="Times New Roman" w:hAnsi="Calibri" w:cs="Times New Roman"/>
          <w:color w:val="auto"/>
          <w:sz w:val="22"/>
          <w:lang w:eastAsia="pl-PL"/>
        </w:rPr>
        <w:t>spad</w:t>
      </w:r>
      <w:r w:rsidR="00F156F4">
        <w:rPr>
          <w:rFonts w:ascii="Calibri" w:eastAsia="Times New Roman" w:hAnsi="Calibri" w:cs="Times New Roman"/>
          <w:color w:val="auto"/>
          <w:sz w:val="22"/>
          <w:lang w:eastAsia="pl-PL"/>
        </w:rPr>
        <w:t>ł</w:t>
      </w:r>
      <w:r w:rsidR="00F156F4" w:rsidRPr="00F156F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o</w:t>
      </w:r>
      <w:r w:rsidR="00F156F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F156F4" w:rsidRPr="00F156F4">
        <w:rPr>
          <w:rFonts w:ascii="Calibri" w:eastAsia="Times New Roman" w:hAnsi="Calibri" w:cs="Times New Roman"/>
          <w:color w:val="auto"/>
          <w:sz w:val="22"/>
          <w:lang w:eastAsia="pl-PL"/>
        </w:rPr>
        <w:t>1</w:t>
      </w:r>
      <w:r w:rsidR="00F156F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, a od początku tego roku </w:t>
      </w:r>
      <w:r w:rsidR="00F156F4">
        <w:rPr>
          <w:rFonts w:ascii="Calibri" w:eastAsia="Times New Roman" w:hAnsi="Calibri" w:cs="Times New Roman"/>
          <w:color w:val="auto"/>
          <w:sz w:val="22"/>
          <w:lang w:eastAsia="pl-PL"/>
        </w:rPr>
        <w:t>wzr</w:t>
      </w:r>
      <w:r w:rsidR="001E13F0">
        <w:rPr>
          <w:rFonts w:ascii="Calibri" w:eastAsia="Times New Roman" w:hAnsi="Calibri" w:cs="Times New Roman"/>
          <w:color w:val="auto"/>
          <w:sz w:val="22"/>
          <w:lang w:eastAsia="pl-PL"/>
        </w:rPr>
        <w:t>ós</w:t>
      </w:r>
      <w:r w:rsidR="00BE47DD">
        <w:rPr>
          <w:rFonts w:ascii="Calibri" w:eastAsia="Times New Roman" w:hAnsi="Calibri" w:cs="Times New Roman"/>
          <w:color w:val="auto"/>
          <w:sz w:val="22"/>
          <w:lang w:eastAsia="pl-PL"/>
        </w:rPr>
        <w:t>ł</w:t>
      </w:r>
      <w:r w:rsidR="00F156F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o 7,3 proc. (rok do roku)</w:t>
      </w:r>
      <w:r w:rsidR="00F156F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, wobec spadku </w:t>
      </w:r>
      <w:r w:rsidR="00F156F4" w:rsidRPr="00F156F4">
        <w:rPr>
          <w:rFonts w:ascii="Calibri" w:eastAsia="Times New Roman" w:hAnsi="Calibri" w:cs="Times New Roman"/>
          <w:color w:val="auto"/>
          <w:sz w:val="22"/>
          <w:lang w:eastAsia="pl-PL"/>
        </w:rPr>
        <w:t>o 3,5</w:t>
      </w:r>
      <w:r w:rsidR="00F156F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</w:t>
      </w:r>
      <w:r w:rsidR="00F156F4" w:rsidRPr="00F156F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w </w:t>
      </w:r>
      <w:r w:rsidR="00F156F4">
        <w:rPr>
          <w:rFonts w:ascii="Calibri" w:eastAsia="Times New Roman" w:hAnsi="Calibri" w:cs="Times New Roman"/>
          <w:color w:val="auto"/>
          <w:sz w:val="22"/>
          <w:lang w:eastAsia="pl-PL"/>
        </w:rPr>
        <w:t>zeszłym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.</w:t>
      </w:r>
    </w:p>
    <w:p w14:paraId="1E25B017" w14:textId="311992F3" w:rsidR="00CA3C10" w:rsidRDefault="0051126F" w:rsidP="00CA3C10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Największe wzrosty w porównaniu z analogicznym okresem </w:t>
      </w:r>
      <w:r w:rsidR="00BE47DD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2020 r. 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odnotowały podmioty handlujące tekstyliami, odzieżą i obuwiem (</w:t>
      </w:r>
      <w:r w:rsidR="006F39E0" w:rsidRPr="006F39E0">
        <w:rPr>
          <w:rFonts w:ascii="Calibri" w:eastAsia="Times New Roman" w:hAnsi="Calibri" w:cs="Times New Roman"/>
          <w:color w:val="auto"/>
          <w:sz w:val="22"/>
          <w:lang w:eastAsia="pl-PL"/>
        </w:rPr>
        <w:t>o 28,6</w:t>
      </w:r>
      <w:r w:rsidR="006F39E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</w:t>
      </w:r>
      <w:r w:rsidR="006F39E0" w:rsidRPr="006F39E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wobec wzrostu</w:t>
      </w:r>
      <w:r w:rsidR="006F39E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6F39E0" w:rsidRPr="006F39E0">
        <w:rPr>
          <w:rFonts w:ascii="Calibri" w:eastAsia="Times New Roman" w:hAnsi="Calibri" w:cs="Times New Roman"/>
          <w:color w:val="auto"/>
          <w:sz w:val="22"/>
          <w:lang w:eastAsia="pl-PL"/>
        </w:rPr>
        <w:t>o 1,2</w:t>
      </w:r>
      <w:r w:rsidR="006F39E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</w:t>
      </w:r>
      <w:r w:rsidR="006F39E0" w:rsidRPr="006F39E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przed rokiem)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, a</w:t>
      </w:r>
      <w:r w:rsidR="00337835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wskazania wyższe niż średnia zaobserwowano również w </w:t>
      </w:r>
      <w:r w:rsidR="00CA3C10" w:rsidRPr="00CA3C10">
        <w:rPr>
          <w:rFonts w:ascii="Calibri" w:eastAsia="Times New Roman" w:hAnsi="Calibri" w:cs="Times New Roman"/>
          <w:color w:val="auto"/>
          <w:sz w:val="22"/>
          <w:lang w:eastAsia="pl-PL"/>
        </w:rPr>
        <w:t>grupach:</w:t>
      </w:r>
      <w:r w:rsidR="00CA3C1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CA3C10" w:rsidRPr="00CA3C10">
        <w:rPr>
          <w:rFonts w:ascii="Calibri" w:eastAsia="Times New Roman" w:hAnsi="Calibri" w:cs="Times New Roman"/>
          <w:color w:val="auto"/>
          <w:sz w:val="22"/>
          <w:lang w:eastAsia="pl-PL"/>
        </w:rPr>
        <w:t>„pozostałe” (o 12,5</w:t>
      </w:r>
      <w:r w:rsidR="00CA3C1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</w:t>
      </w:r>
      <w:r w:rsidR="00CA3C10" w:rsidRPr="00CA3C10">
        <w:rPr>
          <w:rFonts w:ascii="Calibri" w:eastAsia="Times New Roman" w:hAnsi="Calibri" w:cs="Times New Roman"/>
          <w:color w:val="auto"/>
          <w:sz w:val="22"/>
          <w:lang w:eastAsia="pl-PL"/>
        </w:rPr>
        <w:t>), „prasa, książki, pozostała sprzedaż w wyspecjalizowanych sklepach”</w:t>
      </w:r>
      <w:r w:rsidR="00CA3C1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CA3C10" w:rsidRPr="00CA3C10">
        <w:rPr>
          <w:rFonts w:ascii="Calibri" w:eastAsia="Times New Roman" w:hAnsi="Calibri" w:cs="Times New Roman"/>
          <w:color w:val="auto"/>
          <w:sz w:val="22"/>
          <w:lang w:eastAsia="pl-PL"/>
        </w:rPr>
        <w:t>(o 7,9</w:t>
      </w:r>
      <w:r w:rsidR="00CA3C1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</w:t>
      </w:r>
      <w:r w:rsidR="00CA3C10" w:rsidRPr="00CA3C10">
        <w:rPr>
          <w:rFonts w:ascii="Calibri" w:eastAsia="Times New Roman" w:hAnsi="Calibri" w:cs="Times New Roman"/>
          <w:color w:val="auto"/>
          <w:sz w:val="22"/>
          <w:lang w:eastAsia="pl-PL"/>
        </w:rPr>
        <w:t>), „farmaceutyki, kosmetyki, sprzęt ortopedyczny” (o 7,5%), „pojazdy samochodowe, motocykle, części” (o 5,7</w:t>
      </w:r>
      <w:r w:rsidR="00CA3C1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</w:t>
      </w:r>
      <w:r w:rsidR="00CA3C10" w:rsidRPr="00CA3C10">
        <w:rPr>
          <w:rFonts w:ascii="Calibri" w:eastAsia="Times New Roman" w:hAnsi="Calibri" w:cs="Times New Roman"/>
          <w:color w:val="auto"/>
          <w:sz w:val="22"/>
          <w:lang w:eastAsia="pl-PL"/>
        </w:rPr>
        <w:t>). Spadek sprzedaży raportowały natomiast jednostki sprzedające paliwa</w:t>
      </w:r>
      <w:r w:rsidR="00CA3C1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CA3C10" w:rsidRPr="00CA3C10">
        <w:rPr>
          <w:rFonts w:ascii="Calibri" w:eastAsia="Times New Roman" w:hAnsi="Calibri" w:cs="Times New Roman"/>
          <w:color w:val="auto"/>
          <w:sz w:val="22"/>
          <w:lang w:eastAsia="pl-PL"/>
        </w:rPr>
        <w:t>stałe, ciekłe i gazowe (o 2,3</w:t>
      </w:r>
      <w:r w:rsidR="00CA3C1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</w:t>
      </w:r>
      <w:r w:rsidR="00CA3C10" w:rsidRPr="00CA3C10">
        <w:rPr>
          <w:rFonts w:ascii="Calibri" w:eastAsia="Times New Roman" w:hAnsi="Calibri" w:cs="Times New Roman"/>
          <w:color w:val="auto"/>
          <w:sz w:val="22"/>
          <w:lang w:eastAsia="pl-PL"/>
        </w:rPr>
        <w:t>) oraz „żywność, napoje i wyroby tytoniowe” (o 1,3</w:t>
      </w:r>
      <w:r w:rsidR="00CA3C1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</w:t>
      </w:r>
      <w:r w:rsidR="00CA3C10" w:rsidRPr="00CA3C10">
        <w:rPr>
          <w:rFonts w:ascii="Calibri" w:eastAsia="Times New Roman" w:hAnsi="Calibri" w:cs="Times New Roman"/>
          <w:color w:val="auto"/>
          <w:sz w:val="22"/>
          <w:lang w:eastAsia="pl-PL"/>
        </w:rPr>
        <w:t>).</w:t>
      </w:r>
    </w:p>
    <w:p w14:paraId="5243DD6F" w14:textId="35926B0B" w:rsidR="00AC60F3" w:rsidRDefault="00AC60F3" w:rsidP="00AC60F3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Co więcej, według GUS w</w:t>
      </w:r>
      <w:r w:rsidRPr="00AC60F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sierpniu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br</w:t>
      </w:r>
      <w:r w:rsidRPr="00AC60F3">
        <w:rPr>
          <w:rFonts w:ascii="Calibri" w:eastAsia="Times New Roman" w:hAnsi="Calibri" w:cs="Times New Roman"/>
          <w:color w:val="auto"/>
          <w:sz w:val="22"/>
          <w:lang w:eastAsia="pl-PL"/>
        </w:rPr>
        <w:t>. w porównaniu z lipcem odnotowano wzrost wartości sprzedaży detalicznej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Pr="00AC60F3">
        <w:rPr>
          <w:rFonts w:ascii="Calibri" w:eastAsia="Times New Roman" w:hAnsi="Calibri" w:cs="Times New Roman"/>
          <w:color w:val="auto"/>
          <w:sz w:val="22"/>
          <w:lang w:eastAsia="pl-PL"/>
        </w:rPr>
        <w:t>przez Internet w cenach bieżących (o 5,6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</w:t>
      </w:r>
      <w:r w:rsidRPr="00AC60F3">
        <w:rPr>
          <w:rFonts w:ascii="Calibri" w:eastAsia="Times New Roman" w:hAnsi="Calibri" w:cs="Times New Roman"/>
          <w:color w:val="auto"/>
          <w:sz w:val="22"/>
          <w:lang w:eastAsia="pl-PL"/>
        </w:rPr>
        <w:t>)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, a</w:t>
      </w:r>
      <w:r w:rsidR="006F605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jej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u</w:t>
      </w:r>
      <w:r w:rsidRPr="00AC60F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dział zwiększył się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 ciągu tego miesiąca </w:t>
      </w:r>
      <w:r w:rsidRPr="00AC60F3">
        <w:rPr>
          <w:rFonts w:ascii="Calibri" w:eastAsia="Times New Roman" w:hAnsi="Calibri" w:cs="Times New Roman"/>
          <w:color w:val="auto"/>
          <w:sz w:val="22"/>
          <w:lang w:eastAsia="pl-PL"/>
        </w:rPr>
        <w:t>z 7,4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Pr="00AC60F3">
        <w:rPr>
          <w:rFonts w:ascii="Calibri" w:eastAsia="Times New Roman" w:hAnsi="Calibri" w:cs="Times New Roman"/>
          <w:color w:val="auto"/>
          <w:sz w:val="22"/>
          <w:lang w:eastAsia="pl-PL"/>
        </w:rPr>
        <w:t>do 7,9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</w:t>
      </w:r>
    </w:p>
    <w:p w14:paraId="789B4D9E" w14:textId="5E09FD08" w:rsidR="00CC687C" w:rsidRPr="0051126F" w:rsidRDefault="00D13039" w:rsidP="00331D33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W</w:t>
      </w:r>
      <w:r w:rsidR="00CC687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edług analityków </w:t>
      </w:r>
      <w:r w:rsidR="00CC687C" w:rsidRPr="00CC687C">
        <w:rPr>
          <w:rFonts w:ascii="Calibri" w:eastAsia="Times New Roman" w:hAnsi="Calibri" w:cs="Times New Roman"/>
          <w:color w:val="auto"/>
          <w:sz w:val="22"/>
          <w:lang w:eastAsia="pl-PL"/>
        </w:rPr>
        <w:t>Polskiego Instytutu Ekonomicznego</w:t>
      </w:r>
      <w:r w:rsidR="00CC687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h</w:t>
      </w:r>
      <w:r w:rsidR="00CC687C" w:rsidRPr="00CC687C">
        <w:rPr>
          <w:rFonts w:ascii="Calibri" w:eastAsia="Times New Roman" w:hAnsi="Calibri" w:cs="Times New Roman"/>
          <w:color w:val="auto"/>
          <w:sz w:val="22"/>
          <w:lang w:eastAsia="pl-PL"/>
        </w:rPr>
        <w:t>andel hurtowy przetrwał pandemię w</w:t>
      </w:r>
      <w:r w:rsidR="00B321B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CC687C" w:rsidRPr="00CC687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lepszej kondycji niż detaliczny. </w:t>
      </w:r>
      <w:r w:rsidR="00CC687C">
        <w:rPr>
          <w:rFonts w:ascii="Calibri" w:eastAsia="Times New Roman" w:hAnsi="Calibri" w:cs="Times New Roman"/>
          <w:color w:val="auto"/>
          <w:sz w:val="22"/>
          <w:lang w:eastAsia="pl-PL"/>
        </w:rPr>
        <w:t>W</w:t>
      </w:r>
      <w:r w:rsidR="00CC687C" w:rsidRPr="00CC687C">
        <w:rPr>
          <w:rFonts w:ascii="Calibri" w:eastAsia="Times New Roman" w:hAnsi="Calibri" w:cs="Times New Roman"/>
          <w:color w:val="auto"/>
          <w:sz w:val="22"/>
          <w:lang w:eastAsia="pl-PL"/>
        </w:rPr>
        <w:t>iększ</w:t>
      </w:r>
      <w:r w:rsidR="00CC687C">
        <w:rPr>
          <w:rFonts w:ascii="Calibri" w:eastAsia="Times New Roman" w:hAnsi="Calibri" w:cs="Times New Roman"/>
          <w:color w:val="auto"/>
          <w:sz w:val="22"/>
          <w:lang w:eastAsia="pl-PL"/>
        </w:rPr>
        <w:t>a</w:t>
      </w:r>
      <w:r w:rsidR="00CC687C" w:rsidRPr="00CC687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odporność </w:t>
      </w:r>
      <w:r w:rsidR="00CC687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na trudną sytuację i wynikająca z tego lepsza kondycja wzięła się </w:t>
      </w:r>
      <w:r w:rsidR="00CC687C" w:rsidRPr="00CC687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m.in. </w:t>
      </w:r>
      <w:r w:rsidR="00CC687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 </w:t>
      </w:r>
      <w:r w:rsidR="00CC687C" w:rsidRPr="00CC687C">
        <w:rPr>
          <w:rFonts w:ascii="Calibri" w:eastAsia="Times New Roman" w:hAnsi="Calibri" w:cs="Times New Roman"/>
          <w:color w:val="auto"/>
          <w:sz w:val="22"/>
          <w:lang w:eastAsia="pl-PL"/>
        </w:rPr>
        <w:t>t</w:t>
      </w:r>
      <w:r w:rsidR="00CC687C">
        <w:rPr>
          <w:rFonts w:ascii="Calibri" w:eastAsia="Times New Roman" w:hAnsi="Calibri" w:cs="Times New Roman"/>
          <w:color w:val="auto"/>
          <w:sz w:val="22"/>
          <w:lang w:eastAsia="pl-PL"/>
        </w:rPr>
        <w:t>eg</w:t>
      </w:r>
      <w:r w:rsidR="00CC687C" w:rsidRPr="00CC687C">
        <w:rPr>
          <w:rFonts w:ascii="Calibri" w:eastAsia="Times New Roman" w:hAnsi="Calibri" w:cs="Times New Roman"/>
          <w:color w:val="auto"/>
          <w:sz w:val="22"/>
          <w:lang w:eastAsia="pl-PL"/>
        </w:rPr>
        <w:t>o, że przedsiębiorstwa hurtowe</w:t>
      </w:r>
      <w:r w:rsidR="00CC687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miały </w:t>
      </w:r>
      <w:r w:rsidR="00CC687C" w:rsidRPr="00CC687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możliwości sprzedaży do firm z </w:t>
      </w:r>
      <w:r w:rsidR="00CC687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tych </w:t>
      </w:r>
      <w:r w:rsidR="00CC687C" w:rsidRPr="00CC687C">
        <w:rPr>
          <w:rFonts w:ascii="Calibri" w:eastAsia="Times New Roman" w:hAnsi="Calibri" w:cs="Times New Roman"/>
          <w:color w:val="auto"/>
          <w:sz w:val="22"/>
          <w:lang w:eastAsia="pl-PL"/>
        </w:rPr>
        <w:t>sektorów gospodarki</w:t>
      </w:r>
      <w:r w:rsidR="00CC687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, </w:t>
      </w:r>
      <w:r w:rsidR="00CC687C" w:rsidRPr="00CC687C">
        <w:rPr>
          <w:rFonts w:ascii="Calibri" w:eastAsia="Times New Roman" w:hAnsi="Calibri" w:cs="Times New Roman"/>
          <w:color w:val="auto"/>
          <w:sz w:val="22"/>
          <w:lang w:eastAsia="pl-PL"/>
        </w:rPr>
        <w:t>które wznowiły działalnoś</w:t>
      </w:r>
      <w:r w:rsidR="00CC687C">
        <w:rPr>
          <w:rFonts w:ascii="Calibri" w:eastAsia="Times New Roman" w:hAnsi="Calibri" w:cs="Times New Roman"/>
          <w:color w:val="auto"/>
          <w:sz w:val="22"/>
          <w:lang w:eastAsia="pl-PL"/>
        </w:rPr>
        <w:t>ć.</w:t>
      </w:r>
      <w:r w:rsidR="00DA57D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</w:p>
    <w:p w14:paraId="3BE91856" w14:textId="02B4C456" w:rsidR="002B320F" w:rsidRDefault="00F8074A" w:rsidP="00574353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>Z kolei o</w:t>
      </w:r>
      <w:r w:rsidR="00355774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ceniając sytuację </w:t>
      </w:r>
      <w:r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handlu detalicznego </w:t>
      </w:r>
      <w:r w:rsidR="00355774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>po liczbie sklepów</w:t>
      </w:r>
      <w:r w:rsidR="00437E8F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>,</w:t>
      </w:r>
      <w:r w:rsidR="002B320F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Dun&amp;Bradstreet </w:t>
      </w:r>
      <w:r w:rsidR="00437E8F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>zauważa, że</w:t>
      </w:r>
      <w:r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355774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>uniknął</w:t>
      </w:r>
      <w:r w:rsidR="00BE47DD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on</w:t>
      </w:r>
      <w:r w:rsidR="00355774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2B320F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>trwałego, negatywnego śladu</w:t>
      </w:r>
      <w:r w:rsidR="00355774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pandemii</w:t>
      </w:r>
      <w:r w:rsidR="002B320F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</w:t>
      </w:r>
      <w:r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>Wywiadownia gospodarcza w</w:t>
      </w:r>
      <w:r w:rsidR="00437E8F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skazuje, że doszło </w:t>
      </w:r>
      <w:r w:rsidR="00355774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wręcz </w:t>
      </w:r>
      <w:r w:rsidR="00437E8F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>d</w:t>
      </w:r>
      <w:r w:rsidR="002B320F"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>o swego rodzaju stabilizacji, bowiem na koniec lipca 2021 roku działało 376 tys. punktów sprzedaży detalicznej i w porównaniu do końca 2020 roku liczba ta właściwie nie uległa zmianie</w:t>
      </w:r>
      <w:r w:rsidRPr="00C13DD4">
        <w:rPr>
          <w:rFonts w:ascii="Calibri" w:eastAsia="Times New Roman" w:hAnsi="Calibri" w:cs="Times New Roman"/>
          <w:color w:val="auto"/>
          <w:sz w:val="22"/>
          <w:lang w:eastAsia="pl-PL"/>
        </w:rPr>
        <w:t>, a</w:t>
      </w:r>
      <w:r w:rsidR="00337835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2B320F" w:rsidRPr="002F733A">
        <w:rPr>
          <w:rFonts w:ascii="Calibri" w:eastAsia="Times New Roman" w:hAnsi="Calibri" w:cs="Times New Roman"/>
          <w:color w:val="auto"/>
          <w:sz w:val="22"/>
          <w:lang w:eastAsia="pl-PL"/>
        </w:rPr>
        <w:t>wcze</w:t>
      </w:r>
      <w:r w:rsidR="002B320F" w:rsidRPr="002F733A">
        <w:rPr>
          <w:rFonts w:ascii="Calibri" w:eastAsia="Times New Roman" w:hAnsi="Calibri" w:cs="Times New Roman" w:hint="eastAsia"/>
          <w:color w:val="auto"/>
          <w:sz w:val="22"/>
          <w:lang w:eastAsia="pl-PL"/>
        </w:rPr>
        <w:t>ś</w:t>
      </w:r>
      <w:r w:rsidR="002B320F" w:rsidRPr="002F733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niej </w:t>
      </w:r>
      <w:r w:rsidR="00437E8F" w:rsidRPr="002F733A">
        <w:rPr>
          <w:rFonts w:ascii="Calibri" w:eastAsia="Times New Roman" w:hAnsi="Calibri" w:cs="Times New Roman"/>
          <w:color w:val="auto"/>
          <w:sz w:val="22"/>
          <w:lang w:eastAsia="pl-PL"/>
        </w:rPr>
        <w:t>bywa</w:t>
      </w:r>
      <w:r w:rsidR="00437E8F" w:rsidRPr="002F733A">
        <w:rPr>
          <w:rFonts w:ascii="Calibri" w:eastAsia="Times New Roman" w:hAnsi="Calibri" w:cs="Times New Roman" w:hint="eastAsia"/>
          <w:color w:val="auto"/>
          <w:sz w:val="22"/>
          <w:lang w:eastAsia="pl-PL"/>
        </w:rPr>
        <w:t>ł</w:t>
      </w:r>
      <w:r w:rsidR="00437E8F" w:rsidRPr="002F733A">
        <w:rPr>
          <w:rFonts w:ascii="Calibri" w:eastAsia="Times New Roman" w:hAnsi="Calibri" w:cs="Times New Roman"/>
          <w:color w:val="auto"/>
          <w:sz w:val="22"/>
          <w:lang w:eastAsia="pl-PL"/>
        </w:rPr>
        <w:t>o z tym r</w:t>
      </w:r>
      <w:r w:rsidR="00437E8F" w:rsidRPr="002F733A">
        <w:rPr>
          <w:rFonts w:ascii="Calibri" w:eastAsia="Times New Roman" w:hAnsi="Calibri" w:cs="Times New Roman" w:hint="eastAsia"/>
          <w:color w:val="auto"/>
          <w:sz w:val="22"/>
          <w:lang w:eastAsia="pl-PL"/>
        </w:rPr>
        <w:t>óż</w:t>
      </w:r>
      <w:r w:rsidR="00437E8F" w:rsidRPr="002F733A">
        <w:rPr>
          <w:rFonts w:ascii="Calibri" w:eastAsia="Times New Roman" w:hAnsi="Calibri" w:cs="Times New Roman"/>
          <w:color w:val="auto"/>
          <w:sz w:val="22"/>
          <w:lang w:eastAsia="pl-PL"/>
        </w:rPr>
        <w:t>nie</w:t>
      </w:r>
      <w:r w:rsidR="002B320F" w:rsidRPr="002F733A">
        <w:rPr>
          <w:rFonts w:ascii="Calibri" w:eastAsia="Times New Roman" w:hAnsi="Calibri" w:cs="Times New Roman"/>
          <w:color w:val="auto"/>
          <w:sz w:val="22"/>
          <w:lang w:eastAsia="pl-PL"/>
        </w:rPr>
        <w:t>.</w:t>
      </w:r>
    </w:p>
    <w:p w14:paraId="664D9900" w14:textId="6489C14D" w:rsidR="00DA57D6" w:rsidRDefault="00F8074A" w:rsidP="00AC60F3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A c</w:t>
      </w:r>
      <w:r w:rsidR="0035577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 widać w zaległościach wobec dostawców i banków? </w:t>
      </w:r>
      <w:r w:rsidR="00C13DD4">
        <w:rPr>
          <w:rFonts w:ascii="Calibri" w:eastAsia="Times New Roman" w:hAnsi="Calibri" w:cs="Times New Roman"/>
          <w:color w:val="auto"/>
          <w:sz w:val="22"/>
          <w:lang w:eastAsia="pl-PL"/>
        </w:rPr>
        <w:t>–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0B5559" w:rsidRPr="00D72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Generalnie obserwujemy, że kłopoty z</w:t>
      </w:r>
      <w:r w:rsidR="00B321B6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 </w:t>
      </w:r>
      <w:r w:rsidR="000B5559" w:rsidRPr="00D72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płatnościami przedsiębiorstw w wielu przypadkach zaczęły się pogłębiać od wiosny tego roku. Podobnie stało się z handlem</w:t>
      </w:r>
      <w:r w:rsidR="000B5559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. </w:t>
      </w:r>
      <w:r w:rsidRPr="002F733A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O</w:t>
      </w:r>
      <w:r w:rsidR="00DA57D6" w:rsidRPr="002F733A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ile w zeszłym roku</w:t>
      </w:r>
      <w:r w:rsidRPr="002F733A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, w pierwszej fazie pandemii</w:t>
      </w:r>
      <w:r w:rsidR="00DA57D6" w:rsidRPr="002F733A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handel hurtowy radził sobie całkiem nieźle</w:t>
      </w:r>
      <w:r w:rsidR="00C13DD4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,</w:t>
      </w:r>
      <w:r w:rsidRPr="002F733A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</w:t>
      </w:r>
      <w:r w:rsidRPr="0011375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podwyższając długi u dostawców i banków „jedynie” o 43 mln zł, w tym roku </w:t>
      </w:r>
      <w:r w:rsidRPr="0011375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lastRenderedPageBreak/>
        <w:t>w</w:t>
      </w:r>
      <w:r w:rsidR="00B321B6" w:rsidRPr="0011375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 </w:t>
      </w:r>
      <w:r w:rsidRPr="0011375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siedem miesięcy powiększył zaległość o 352 mln zł. W handlu detalicznym sytuacja jest wyrównana, w trzy kwartały zeszłego roku</w:t>
      </w:r>
      <w:r w:rsidR="00BE47DD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suma wzrosła </w:t>
      </w:r>
      <w:r w:rsidR="00BE47DD" w:rsidRPr="0011375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o 89 mln zł, </w:t>
      </w:r>
      <w:r w:rsidR="00BE47DD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a </w:t>
      </w:r>
      <w:r w:rsidRPr="0011375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w 2021 r. </w:t>
      </w:r>
      <w:r w:rsidR="00BE47DD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o </w:t>
      </w:r>
      <w:r w:rsidRPr="0011375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105 mln zł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– mówi </w:t>
      </w:r>
      <w:r w:rsidRPr="002F733A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Sławomir Grzelczak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, prezes BIG InfoMonitor.</w:t>
      </w:r>
      <w:r w:rsidR="00E8751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</w:p>
    <w:p w14:paraId="3835C43A" w14:textId="77777777" w:rsidR="007704A4" w:rsidRPr="00EA7482" w:rsidRDefault="007704A4" w:rsidP="002F733A">
      <w:pPr>
        <w:spacing w:after="240" w:line="259" w:lineRule="auto"/>
        <w:jc w:val="both"/>
        <w:rPr>
          <w:rFonts w:ascii="Calibri" w:eastAsia="Times New Roman" w:hAnsi="Calibri" w:cs="Times New Roman"/>
          <w:color w:val="auto"/>
          <w:sz w:val="23"/>
          <w:szCs w:val="24"/>
          <w:lang w:eastAsia="pl-PL"/>
        </w:rPr>
      </w:pPr>
      <w:r w:rsidRPr="00EA7482">
        <w:rPr>
          <w:b/>
          <w:bCs/>
          <w:noProof/>
          <w:color w:val="FFFFFF" w:themeColor="background1"/>
        </w:rPr>
        <w:drawing>
          <wp:inline distT="0" distB="0" distL="0" distR="0" wp14:anchorId="5DCE5276" wp14:editId="6BDCC82B">
            <wp:extent cx="5704205" cy="2066307"/>
            <wp:effectExtent l="0" t="0" r="0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3C1A9AA3-E169-479B-BE64-1AC2D3A44C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EA7482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Rejestr Dłużników BIG InfoMonitor i baza BIK</w:t>
      </w:r>
    </w:p>
    <w:p w14:paraId="38D7A278" w14:textId="77777777" w:rsidR="00337835" w:rsidRPr="001C38A7" w:rsidRDefault="00337835" w:rsidP="00337835">
      <w:pPr>
        <w:spacing w:after="120" w:line="259" w:lineRule="auto"/>
        <w:jc w:val="both"/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</w:pPr>
      <w:r w:rsidRPr="001C38A7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Najwyższa sektorowa zaległość</w:t>
      </w:r>
    </w:p>
    <w:p w14:paraId="4380A2B2" w14:textId="77777777" w:rsidR="00337835" w:rsidRPr="000B5559" w:rsidRDefault="00337835" w:rsidP="00337835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 danych zgromadzonych w Rejestrze Dłużników BIG InfoMonitor i w bazie informacji kredytowych BIK wynika, że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n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ieuregulowane na czas zadłużenie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całego handlu wobec dostawców i banków wynosi już 8,39 mld zł i jest to najwyższa sektorowa zaległość. Drugi pod względem sumy zaległości przemysł</w:t>
      </w:r>
      <w:r w:rsidRPr="002F733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ma do zwrotu 6,61 mld zł, trzecie budownictwo 5,9 mld zł, a czwarty transport i gospodarka magazynowa – 2,26 mld zł</w:t>
      </w:r>
      <w:r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</w:t>
      </w:r>
    </w:p>
    <w:p w14:paraId="07FF1E03" w14:textId="3CDB0C89" w:rsidR="001C7DDC" w:rsidRDefault="00437E8F" w:rsidP="002F733A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Zaległości handlu w okresie pandemii wzrosły o ponad 8 proc., </w:t>
      </w:r>
      <w:r w:rsidR="000B5559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a to </w:t>
      </w:r>
      <w:r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znacznie mniej niż ogół</w:t>
      </w:r>
      <w:r w:rsidR="00BE47DD">
        <w:rPr>
          <w:rFonts w:ascii="Calibri" w:eastAsia="Times New Roman" w:hAnsi="Calibri" w:cs="Times New Roman"/>
          <w:color w:val="auto"/>
          <w:sz w:val="22"/>
          <w:lang w:eastAsia="pl-PL"/>
        </w:rPr>
        <w:t>u</w:t>
      </w:r>
      <w:r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firm, które mają o ponad 12 proc. przeterminowanych zobowiązań więcej. </w:t>
      </w:r>
      <w:r w:rsidR="00BE47DD">
        <w:rPr>
          <w:rFonts w:ascii="Calibri" w:eastAsia="Times New Roman" w:hAnsi="Calibri" w:cs="Times New Roman"/>
          <w:color w:val="auto"/>
          <w:sz w:val="22"/>
          <w:lang w:eastAsia="pl-PL"/>
        </w:rPr>
        <w:t>Z uwagi na skalę działania sektora w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grę wchodzi jednak niebagatelna kwota </w:t>
      </w:r>
      <w:r w:rsidR="00ED299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0,</w:t>
      </w:r>
      <w:r w:rsidR="000B5559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64 </w:t>
      </w:r>
      <w:r w:rsidR="00ED299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mld </w:t>
      </w:r>
      <w:r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zł dodatkowych zaległości</w:t>
      </w:r>
      <w:r w:rsidR="00ED299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, z czego niemal 0,5 mld zł</w:t>
      </w:r>
      <w:r w:rsidR="008C4A84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głównie za </w:t>
      </w:r>
      <w:r w:rsidR="00F8074A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sprawą</w:t>
      </w:r>
      <w:r w:rsidR="00ED299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8C4A84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problemów z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8C4A84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rozliczeniami handlu hurtowego, </w:t>
      </w:r>
      <w:r w:rsidR="00BE47DD">
        <w:rPr>
          <w:rFonts w:ascii="Calibri" w:eastAsia="Times New Roman" w:hAnsi="Calibri" w:cs="Times New Roman"/>
          <w:color w:val="auto"/>
          <w:sz w:val="22"/>
          <w:lang w:eastAsia="pl-PL"/>
        </w:rPr>
        <w:t>doszło w tym</w:t>
      </w:r>
      <w:r w:rsidR="00ED299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rok</w:t>
      </w:r>
      <w:r w:rsidR="00BE47DD">
        <w:rPr>
          <w:rFonts w:ascii="Calibri" w:eastAsia="Times New Roman" w:hAnsi="Calibri" w:cs="Times New Roman"/>
          <w:color w:val="auto"/>
          <w:sz w:val="22"/>
          <w:lang w:eastAsia="pl-PL"/>
        </w:rPr>
        <w:t>u</w:t>
      </w:r>
      <w:r w:rsidR="00ED299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.</w:t>
      </w:r>
      <w:r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</w:p>
    <w:p w14:paraId="12209438" w14:textId="15072E5F" w:rsidR="005E244B" w:rsidRPr="001C38A7" w:rsidRDefault="005E244B" w:rsidP="002F733A">
      <w:pPr>
        <w:spacing w:after="120" w:line="259" w:lineRule="auto"/>
        <w:jc w:val="both"/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</w:pPr>
      <w:r w:rsidRPr="001C38A7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 xml:space="preserve">Po stronie hurtowni najwięcej nieopłaconych kredytów i faktur dostawców </w:t>
      </w:r>
    </w:p>
    <w:p w14:paraId="7A3FC5A7" w14:textId="7DADCBA6" w:rsidR="005A5780" w:rsidRPr="001C38A7" w:rsidRDefault="001C7DDC" w:rsidP="005A5780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bookmarkStart w:id="0" w:name="_Hlk83814240"/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Na handel hurtowy przypada </w:t>
      </w:r>
      <w:r w:rsidR="00ED299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obecnie </w:t>
      </w:r>
      <w:r w:rsidR="0051126F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4,59 mld zł</w:t>
      </w:r>
      <w:r w:rsidR="00ED299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nieopłaconych w terminie rat kredytów i zobowiązań wobec kontrahentów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, </w:t>
      </w:r>
      <w:r w:rsidR="005537F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na </w:t>
      </w:r>
      <w:r w:rsidR="0051126F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detaliczny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2,62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mld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zł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, a </w:t>
      </w:r>
      <w:r w:rsidR="005537F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na </w:t>
      </w:r>
      <w:r w:rsidR="00345D12">
        <w:rPr>
          <w:rFonts w:ascii="Calibri" w:eastAsia="Times New Roman" w:hAnsi="Calibri" w:cs="Times New Roman"/>
          <w:color w:val="auto"/>
          <w:sz w:val="22"/>
          <w:lang w:eastAsia="pl-PL"/>
        </w:rPr>
        <w:t>firm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y</w:t>
      </w:r>
      <w:r w:rsidR="00345D1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handlując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e</w:t>
      </w:r>
      <w:r w:rsidR="00345D1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samochodami </w:t>
      </w:r>
      <w:r w:rsidR="00345D12">
        <w:rPr>
          <w:rFonts w:ascii="Calibri" w:eastAsia="Times New Roman" w:hAnsi="Calibri" w:cs="Times New Roman"/>
          <w:color w:val="auto"/>
          <w:sz w:val="22"/>
          <w:lang w:eastAsia="pl-PL"/>
        </w:rPr>
        <w:t>i</w:t>
      </w:r>
      <w:r w:rsidR="004E3D5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je </w:t>
      </w:r>
      <w:r w:rsidR="00345D12">
        <w:rPr>
          <w:rFonts w:ascii="Calibri" w:eastAsia="Times New Roman" w:hAnsi="Calibri" w:cs="Times New Roman"/>
          <w:color w:val="auto"/>
          <w:sz w:val="22"/>
          <w:lang w:eastAsia="pl-PL"/>
        </w:rPr>
        <w:t>serwisując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e</w:t>
      </w:r>
      <w:r w:rsidR="00345D1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1,19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mld zł</w:t>
      </w:r>
      <w:r w:rsidR="0051126F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Od początku pandemii wartości </w:t>
      </w:r>
      <w:r w:rsidR="005537F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te </w:t>
      </w:r>
      <w:r w:rsidR="0051126F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rosną – </w:t>
      </w:r>
      <w:r w:rsidR="000B5559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w</w:t>
      </w:r>
      <w:r w:rsid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51126F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marcu 2020 r. wynosiły odpowiednio 4,23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51126F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mld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51126F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>zł</w:t>
      </w:r>
      <w:r w:rsidR="00345D12">
        <w:rPr>
          <w:rFonts w:ascii="Calibri" w:eastAsia="Times New Roman" w:hAnsi="Calibri" w:cs="Times New Roman"/>
          <w:color w:val="auto"/>
          <w:sz w:val="22"/>
          <w:lang w:eastAsia="pl-PL"/>
        </w:rPr>
        <w:t>,</w:t>
      </w:r>
      <w:r w:rsidR="0051126F" w:rsidRPr="005112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2,42 mld zł</w:t>
      </w:r>
      <w:r w:rsidR="00345D1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i 1,1 mld zł</w:t>
      </w:r>
      <w:r w:rsidR="00ED299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W </w:t>
      </w:r>
      <w:r w:rsidR="00EC6D8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najmniejszym stopniu o 7,4 proc. podwyższyły </w:t>
      </w:r>
      <w:r w:rsidR="002E593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swoje </w:t>
      </w:r>
      <w:r w:rsidR="00BE47DD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długi </w:t>
      </w:r>
      <w:r w:rsidR="002E593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wobec kontrahentów </w:t>
      </w:r>
      <w:r w:rsidR="00BE47DD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i banków </w:t>
      </w:r>
      <w:r w:rsidR="00EC6D8C">
        <w:rPr>
          <w:rFonts w:ascii="Calibri" w:eastAsia="Times New Roman" w:hAnsi="Calibri" w:cs="Times New Roman"/>
          <w:color w:val="auto"/>
          <w:sz w:val="22"/>
          <w:lang w:eastAsia="pl-PL"/>
        </w:rPr>
        <w:t>firmy handlujące pojazdami i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EC6D8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częściami, </w:t>
      </w:r>
      <w:r w:rsidR="003438A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 </w:t>
      </w:r>
      <w:r w:rsidR="00ED299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8 proc. </w:t>
      </w:r>
      <w:r w:rsidR="002E593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firmy </w:t>
      </w:r>
      <w:r w:rsidR="00ED299B">
        <w:rPr>
          <w:rFonts w:ascii="Calibri" w:eastAsia="Times New Roman" w:hAnsi="Calibri" w:cs="Times New Roman"/>
          <w:color w:val="auto"/>
          <w:sz w:val="22"/>
          <w:lang w:eastAsia="pl-PL"/>
        </w:rPr>
        <w:t>detali</w:t>
      </w:r>
      <w:r w:rsidR="002E593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czne, </w:t>
      </w:r>
      <w:r w:rsidR="00ED299B">
        <w:rPr>
          <w:rFonts w:ascii="Calibri" w:eastAsia="Times New Roman" w:hAnsi="Calibri" w:cs="Times New Roman"/>
          <w:color w:val="auto"/>
          <w:sz w:val="22"/>
          <w:lang w:eastAsia="pl-PL"/>
        </w:rPr>
        <w:t>a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ED299B">
        <w:rPr>
          <w:rFonts w:ascii="Calibri" w:eastAsia="Times New Roman" w:hAnsi="Calibri" w:cs="Times New Roman"/>
          <w:color w:val="auto"/>
          <w:sz w:val="22"/>
          <w:lang w:eastAsia="pl-PL"/>
        </w:rPr>
        <w:t>naj</w:t>
      </w:r>
      <w:r w:rsidR="00EC6D8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bardziej hurtownie 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>–</w:t>
      </w:r>
      <w:r w:rsidR="00EC6D8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o prawie 9 proc. </w:t>
      </w:r>
      <w:bookmarkStart w:id="1" w:name="_Hlk83374270"/>
      <w:r w:rsidR="005A5780"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>W handlu hurtowym widać, że w dużej mierze przyłożyli się do tego odbiorcy rolników, zarówno hodowcy</w:t>
      </w:r>
      <w:r w:rsidR="000769A1">
        <w:rPr>
          <w:rFonts w:ascii="Calibri" w:eastAsia="Times New Roman" w:hAnsi="Calibri" w:cs="Times New Roman"/>
          <w:color w:val="auto"/>
          <w:sz w:val="22"/>
          <w:lang w:eastAsia="pl-PL"/>
        </w:rPr>
        <w:t>,</w:t>
      </w:r>
      <w:r w:rsidR="005A5780"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jak i dostawcy płodów rolnych. </w:t>
      </w:r>
    </w:p>
    <w:p w14:paraId="0E98E945" w14:textId="491C2E3D" w:rsidR="005A5780" w:rsidRPr="001C38A7" w:rsidRDefault="000769A1" w:rsidP="005A5780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>–</w:t>
      </w:r>
      <w:r w:rsidR="005A5780"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EC6D8C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Powodów takiej sytuacji jest kilka. Przede wszystkim omijanie hurtowni w bezpośrednim łańcuchu dostaw i handlu. Nasycenie rynku sieciami handlowymi, w tym przede wszystkim dyskont</w:t>
      </w:r>
      <w:r w:rsidR="005A5780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ami. I</w:t>
      </w:r>
      <w:r w:rsidR="00EC6D8C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ch dominująca pozycja na polskim rynku sprawia, że sieci handlowe </w:t>
      </w:r>
      <w:r w:rsidR="005A5780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same </w:t>
      </w:r>
      <w:r w:rsidR="00EC6D8C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bezpośrednio </w:t>
      </w:r>
      <w:r w:rsidR="005A5780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negocjują cenę </w:t>
      </w:r>
      <w:r w:rsidR="00EC6D8C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z</w:t>
      </w:r>
      <w:r w:rsidR="00B629E5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 </w:t>
      </w:r>
      <w:r w:rsidR="00EC6D8C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producentem</w:t>
      </w:r>
      <w:r w:rsidR="005A5780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, </w:t>
      </w:r>
      <w:r w:rsidR="00EC6D8C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pomi</w:t>
      </w:r>
      <w:r w:rsidR="005A5780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jając </w:t>
      </w:r>
      <w:r w:rsidR="00EC6D8C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hurtowni</w:t>
      </w:r>
      <w:r w:rsidR="005A5780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e</w:t>
      </w:r>
      <w:r w:rsidR="00EC6D8C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. </w:t>
      </w:r>
      <w:r w:rsidR="005A5780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To</w:t>
      </w:r>
      <w:r w:rsidR="00EC6D8C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sprawia, że hurtownie są zmuszone obniżyć swoją marżę</w:t>
      </w:r>
      <w:r w:rsidR="005A5780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, a to</w:t>
      </w:r>
      <w:r w:rsidR="00B629E5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</w:t>
      </w:r>
      <w:r w:rsidR="00EC6D8C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przekłada się na brak gotówki w kasie, rosnące długi i zaległości na rzecz dostawców i usługodawców</w:t>
      </w:r>
      <w:r w:rsidR="005A5780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, p</w:t>
      </w:r>
      <w:r w:rsidR="00EC6D8C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rzez co hurtownicy sami stają się dłużnikami. </w:t>
      </w:r>
      <w:r w:rsidR="005A5780" w:rsidRPr="001C38A7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Największymi wierzycielami hurtowni spożywczych są banki, fundusze sekurytyzacyjne oraz firmy windykacyjne i leasingow</w:t>
      </w:r>
      <w:r w:rsidR="005A5780"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e – wyjaśnia </w:t>
      </w:r>
      <w:r w:rsidR="005A5780" w:rsidRPr="001C38A7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Sławomir Grzelczak</w:t>
      </w:r>
      <w:r w:rsidR="005A5780"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</w:t>
      </w:r>
    </w:p>
    <w:p w14:paraId="3FFA1091" w14:textId="74F26B65" w:rsidR="00EC6D8C" w:rsidRPr="001C38A7" w:rsidRDefault="005A5780" w:rsidP="00EC6D8C">
      <w:pPr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Sam </w:t>
      </w:r>
      <w:r w:rsidR="00EC6D8C"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>handel hurtowy t</w:t>
      </w:r>
      <w:r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>eż zresztą ma</w:t>
      </w:r>
      <w:r w:rsidR="00EC6D8C"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problem z dłużnikami, którzy na czas nie regulują swoich zobowiązań. W przypadku hurtowni </w:t>
      </w:r>
      <w:r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są </w:t>
      </w:r>
      <w:r w:rsidR="00EC6D8C"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>to przede wszystkim małe sklepy detaliczne, które nie płacąc w</w:t>
      </w:r>
      <w:r w:rsidR="00B629E5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EC6D8C"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terminie </w:t>
      </w:r>
      <w:r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>uruchamiają powstawanie zatorów płatniczych</w:t>
      </w:r>
      <w:r w:rsidR="00EC6D8C" w:rsidRPr="001C38A7">
        <w:rPr>
          <w:rFonts w:ascii="Calibri" w:eastAsia="Times New Roman" w:hAnsi="Calibri" w:cs="Times New Roman"/>
          <w:color w:val="auto"/>
          <w:sz w:val="22"/>
          <w:lang w:eastAsia="pl-PL"/>
        </w:rPr>
        <w:t>. Szczególnie w przypadku branży spożywczej, gdzie producenci, detaliści i hurtownicy są wzajemnie i ściśle ze sobą powiązani.</w:t>
      </w:r>
    </w:p>
    <w:bookmarkEnd w:id="0"/>
    <w:bookmarkEnd w:id="1"/>
    <w:p w14:paraId="3647990F" w14:textId="43AD8ADA" w:rsidR="003405B8" w:rsidRDefault="008E058F" w:rsidP="000B5559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 w:rsidRPr="00B773F1">
        <w:rPr>
          <w:rFonts w:ascii="Calibri" w:eastAsia="Times New Roman" w:hAnsi="Calibri" w:cs="Times New Roman"/>
          <w:color w:val="auto"/>
          <w:sz w:val="22"/>
          <w:lang w:eastAsia="pl-PL"/>
        </w:rPr>
        <w:lastRenderedPageBreak/>
        <w:t>Od początk</w:t>
      </w:r>
      <w:r w:rsidR="00F7060A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>u</w:t>
      </w:r>
      <w:r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pandemii </w:t>
      </w:r>
      <w:r w:rsidR="00DD05A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>tylko firmy oferujące w hurcie żywe zwierzęta zwiększyły zaległości o</w:t>
      </w:r>
      <w:r w:rsidR="00B629E5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DD05A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>57,5</w:t>
      </w:r>
      <w:r w:rsidR="00B629E5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DD05A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>mln</w:t>
      </w:r>
      <w:r w:rsidR="00B629E5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DD05A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zł, o 108 proc. Sprzedający </w:t>
      </w:r>
      <w:r w:rsidR="00137CF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hurtowo </w:t>
      </w:r>
      <w:r w:rsidR="00DD05A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>wyroby z mięsa podwyższyli zaległości o 27 mln zł (33</w:t>
      </w:r>
      <w:r w:rsidR="00B629E5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DD05A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>proc.), a</w:t>
      </w:r>
      <w:r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DD05A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>oferujący owoce i warzywa o 45 mln zł (16 proc.). Do tego trzeba też doliczyć niemal 37</w:t>
      </w:r>
      <w:r w:rsidR="00B629E5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DD05A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mln zł (wzrost o 49 proc.) nowych zaległości hurtowni zbóż i pasz dla zwierząt. </w:t>
      </w:r>
      <w:r w:rsidR="00334AB6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>Łącznie to blisko 170</w:t>
      </w:r>
      <w:r w:rsidR="00B629E5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334AB6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>mln zł, czyli prawie połowa</w:t>
      </w:r>
      <w:r w:rsidR="00137CF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przyrostu </w:t>
      </w:r>
      <w:r w:rsidR="00334AB6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zaległości, jaką od marca 2020 do lipca 2021 zanotował handel hurtowy. </w:t>
      </w:r>
      <w:r w:rsidR="00137CF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>Rekordzistami negatywnych zmian</w:t>
      </w:r>
      <w:r w:rsidR="00B629E5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137CF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okazały się jednak firmy oferujące w hurcie herbatę, kawę, kakao i przyprawy, przybyło im 25 mln zł długów – podwyższając sumę nierozliczonych faktury i rat kredytów o 146 proc. </w:t>
      </w:r>
      <w:r w:rsidR="00DD05AD" w:rsidRPr="00B773F1">
        <w:rPr>
          <w:rFonts w:ascii="Calibri" w:eastAsia="Times New Roman" w:hAnsi="Calibri" w:cs="Times New Roman"/>
          <w:color w:val="auto"/>
          <w:sz w:val="22"/>
          <w:lang w:eastAsia="pl-PL"/>
        </w:rPr>
        <w:t>Ale byli też tacy, którym w tej kategorii zaległości spadały, to m.in. sprzedawcy wyrobów chemicznych oraz paliw.</w:t>
      </w:r>
      <w:r w:rsidR="003405B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</w:p>
    <w:p w14:paraId="43910BC8" w14:textId="71A48D88" w:rsidR="001008B4" w:rsidRPr="006168F7" w:rsidRDefault="00137CFD" w:rsidP="001008B4">
      <w:pPr>
        <w:spacing w:before="240" w:after="120" w:line="259" w:lineRule="auto"/>
        <w:jc w:val="both"/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S</w:t>
      </w:r>
      <w:r w:rsidR="006168F7" w:rsidRPr="006168F7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ytuację detalu</w:t>
      </w:r>
      <w:r w:rsidR="00B629E5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 xml:space="preserve"> </w:t>
      </w:r>
      <w:r w:rsidR="00E14065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 xml:space="preserve">trochę </w:t>
      </w:r>
      <w:r w:rsidR="006168F7" w:rsidRPr="006168F7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 xml:space="preserve">łagodzi </w:t>
      </w:r>
      <w:r w:rsidR="005E244B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 xml:space="preserve">lepiej radzący sobie </w:t>
      </w:r>
      <w:r w:rsidR="00644CEA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e</w:t>
      </w:r>
      <w:r w:rsidR="00850F2C" w:rsidRPr="006168F7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-</w:t>
      </w:r>
      <w:r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commerce</w:t>
      </w:r>
      <w:r w:rsidR="00850F2C" w:rsidRPr="006168F7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 xml:space="preserve"> </w:t>
      </w:r>
    </w:p>
    <w:p w14:paraId="314D77DF" w14:textId="50D693DD" w:rsidR="003405B8" w:rsidRDefault="001E73DA" w:rsidP="000B5559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W detalu największy przyrost (</w:t>
      </w:r>
      <w:r w:rsidR="003405B8">
        <w:rPr>
          <w:rFonts w:ascii="Calibri" w:eastAsia="Times New Roman" w:hAnsi="Calibri" w:cs="Times New Roman"/>
          <w:color w:val="auto"/>
          <w:sz w:val="22"/>
          <w:lang w:eastAsia="pl-PL"/>
        </w:rPr>
        <w:t>59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proc.) zanotowa</w:t>
      </w:r>
      <w:r w:rsidR="008C4A84">
        <w:rPr>
          <w:rFonts w:ascii="Calibri" w:eastAsia="Times New Roman" w:hAnsi="Calibri" w:cs="Times New Roman"/>
          <w:color w:val="auto"/>
          <w:sz w:val="22"/>
          <w:lang w:eastAsia="pl-PL"/>
        </w:rPr>
        <w:t>ły sklepy z</w:t>
      </w:r>
      <w:r w:rsidR="000B5559">
        <w:rPr>
          <w:rFonts w:ascii="Calibri" w:eastAsia="Times New Roman" w:hAnsi="Calibri" w:cs="Times New Roman"/>
          <w:color w:val="auto"/>
          <w:sz w:val="22"/>
          <w:lang w:eastAsia="pl-PL"/>
        </w:rPr>
        <w:t>e sprzętem</w:t>
      </w:r>
      <w:r w:rsidR="008C4A8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3405B8">
        <w:rPr>
          <w:rFonts w:ascii="Calibri" w:eastAsia="Times New Roman" w:hAnsi="Calibri" w:cs="Times New Roman"/>
          <w:color w:val="auto"/>
          <w:sz w:val="22"/>
          <w:lang w:eastAsia="pl-PL"/>
        </w:rPr>
        <w:t>komputer</w:t>
      </w:r>
      <w:r w:rsidR="000B5559">
        <w:rPr>
          <w:rFonts w:ascii="Calibri" w:eastAsia="Times New Roman" w:hAnsi="Calibri" w:cs="Times New Roman"/>
          <w:color w:val="auto"/>
          <w:sz w:val="22"/>
          <w:lang w:eastAsia="pl-PL"/>
        </w:rPr>
        <w:t>owym</w:t>
      </w:r>
      <w:r w:rsidR="003405B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, dla których pandemia okazała się czasem niespotykanych wcześniej żniw, a jednak mimo sprzedażowej hossy dziś są dłużni dostawcom o ponad 33 mln zł więcej niż przed pojawieniem się COVID-19. </w:t>
      </w:r>
      <w:r w:rsidR="005A1F0F">
        <w:rPr>
          <w:rFonts w:ascii="Calibri" w:eastAsia="Times New Roman" w:hAnsi="Calibri" w:cs="Times New Roman"/>
          <w:color w:val="auto"/>
          <w:sz w:val="22"/>
          <w:lang w:eastAsia="pl-PL"/>
        </w:rPr>
        <w:t>Mocno, bo w</w:t>
      </w:r>
      <w:r w:rsidR="003468D9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3405B8">
        <w:rPr>
          <w:rFonts w:ascii="Calibri" w:eastAsia="Times New Roman" w:hAnsi="Calibri" w:cs="Times New Roman"/>
          <w:color w:val="auto"/>
          <w:sz w:val="22"/>
          <w:lang w:eastAsia="pl-PL"/>
        </w:rPr>
        <w:t>granicach 40 proc.</w:t>
      </w:r>
      <w:r w:rsidR="000B5559">
        <w:rPr>
          <w:rFonts w:ascii="Calibri" w:eastAsia="Times New Roman" w:hAnsi="Calibri" w:cs="Times New Roman"/>
          <w:color w:val="auto"/>
          <w:sz w:val="22"/>
          <w:lang w:eastAsia="pl-PL"/>
        </w:rPr>
        <w:t>,</w:t>
      </w:r>
      <w:r w:rsidR="003405B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wzrosły też zaległości sklepów obuwniczych, z grami i zabawkami ora</w:t>
      </w:r>
      <w:r w:rsidR="00B4747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 </w:t>
      </w:r>
      <w:r w:rsidR="003405B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oferujących owoce i warzywa. </w:t>
      </w:r>
    </w:p>
    <w:p w14:paraId="7AE52151" w14:textId="7F146BA0" w:rsidR="000B5559" w:rsidRDefault="003405B8" w:rsidP="000B5559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Jednocześnie </w:t>
      </w:r>
      <w:r w:rsidR="00B4747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 nielicznych przypadkach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długi</w:t>
      </w:r>
      <w:r w:rsidR="00B4747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DA57D6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handlu detalicznego </w:t>
      </w:r>
      <w:r w:rsidR="00B47477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malały. Zmniejszyły je </w:t>
      </w:r>
      <w:r w:rsidR="009F347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specjalistyczn</w:t>
      </w:r>
      <w:r w:rsidR="00B47477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e</w:t>
      </w:r>
      <w:r w:rsidR="009F347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punkt</w:t>
      </w:r>
      <w:r w:rsidR="00B47477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y </w:t>
      </w:r>
      <w:r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ze sprzętem audio, </w:t>
      </w:r>
      <w:r w:rsidR="009F347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sklep</w:t>
      </w:r>
      <w:r w:rsidR="00B47477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y</w:t>
      </w:r>
      <w:r w:rsidR="009F347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B47477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 </w:t>
      </w:r>
      <w:r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odzieżą używaną</w:t>
      </w:r>
      <w:r w:rsidR="009F347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B47477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i sklepy </w:t>
      </w:r>
      <w:r w:rsidR="009F347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mięsn</w:t>
      </w:r>
      <w:r w:rsidR="00B47477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>e</w:t>
      </w:r>
      <w:r w:rsidR="009F347B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</w:t>
      </w:r>
    </w:p>
    <w:p w14:paraId="5F13305A" w14:textId="387B8DE7" w:rsidR="005E7FE8" w:rsidRPr="002F733A" w:rsidRDefault="000B5559" w:rsidP="000B5559">
      <w:pPr>
        <w:spacing w:after="120" w:line="259" w:lineRule="auto"/>
        <w:jc w:val="both"/>
        <w:rPr>
          <w:color w:val="auto"/>
          <w:sz w:val="22"/>
        </w:rPr>
      </w:pPr>
      <w:r w:rsidRPr="00D72873">
        <w:rPr>
          <w:sz w:val="22"/>
        </w:rPr>
        <w:t>–</w:t>
      </w:r>
      <w:r w:rsidR="00DA57D6" w:rsidRPr="000B555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C030CB" w:rsidRPr="002F733A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Z</w:t>
      </w:r>
      <w:r w:rsidR="00B47477" w:rsidRPr="002F733A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aległości handlu byłyby wyższe, gdyby nie poprawa</w:t>
      </w:r>
      <w:r w:rsidRPr="002F733A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,</w:t>
      </w:r>
      <w:r w:rsidR="00B47477" w:rsidRPr="002F733A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</w:t>
      </w:r>
      <w:r w:rsidR="00C030CB" w:rsidRPr="002F733A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jaką w nowych warunkach odnotował </w:t>
      </w:r>
      <w:r w:rsidR="00B47477" w:rsidRPr="002F733A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e-commerce. </w:t>
      </w:r>
      <w:r w:rsidR="005E7FE8" w:rsidRPr="002F733A">
        <w:rPr>
          <w:i/>
          <w:iCs/>
          <w:sz w:val="22"/>
        </w:rPr>
        <w:t xml:space="preserve">Gdy przed pandemią </w:t>
      </w:r>
      <w:r w:rsidR="00B47477" w:rsidRPr="002F733A">
        <w:rPr>
          <w:i/>
          <w:iCs/>
          <w:sz w:val="22"/>
        </w:rPr>
        <w:t xml:space="preserve">dostawcy czy finansujący biznesy zajmujące się sprzedażą detaliczną prowadzoną przez domy sprzedaży wysyłkowej lub </w:t>
      </w:r>
      <w:r>
        <w:rPr>
          <w:i/>
          <w:iCs/>
          <w:sz w:val="22"/>
        </w:rPr>
        <w:t>I</w:t>
      </w:r>
      <w:r w:rsidRPr="002F733A">
        <w:rPr>
          <w:i/>
          <w:iCs/>
          <w:sz w:val="22"/>
        </w:rPr>
        <w:t xml:space="preserve">nternet </w:t>
      </w:r>
      <w:r w:rsidR="00B47477" w:rsidRPr="002F733A">
        <w:rPr>
          <w:i/>
          <w:iCs/>
          <w:sz w:val="22"/>
        </w:rPr>
        <w:t>musieli mieć mocne nerwy, bo prawdopodobieństwo, że nie otrzymają pieniędzy było całkiem spore</w:t>
      </w:r>
      <w:r w:rsidR="00DA57D6" w:rsidRPr="002F733A">
        <w:rPr>
          <w:i/>
          <w:iCs/>
          <w:sz w:val="22"/>
        </w:rPr>
        <w:t>,</w:t>
      </w:r>
      <w:r w:rsidR="00B47477" w:rsidRPr="002F733A">
        <w:rPr>
          <w:i/>
          <w:iCs/>
          <w:sz w:val="22"/>
        </w:rPr>
        <w:t xml:space="preserve"> teraz </w:t>
      </w:r>
      <w:r w:rsidR="00C030CB" w:rsidRPr="002F733A">
        <w:rPr>
          <w:i/>
          <w:iCs/>
          <w:sz w:val="22"/>
        </w:rPr>
        <w:t xml:space="preserve">sytuacja się zmieniła. </w:t>
      </w:r>
      <w:r w:rsidR="00B47477" w:rsidRPr="002F733A">
        <w:rPr>
          <w:i/>
          <w:iCs/>
          <w:sz w:val="22"/>
        </w:rPr>
        <w:t xml:space="preserve">Przed pandemią problemy z rozliczeniami handlu online </w:t>
      </w:r>
      <w:r w:rsidR="005A1F0F" w:rsidRPr="002F733A">
        <w:rPr>
          <w:i/>
          <w:iCs/>
          <w:sz w:val="22"/>
        </w:rPr>
        <w:t xml:space="preserve">w najlepszym przypadku rosły </w:t>
      </w:r>
      <w:r w:rsidR="005E7FE8" w:rsidRPr="002F733A">
        <w:rPr>
          <w:i/>
          <w:iCs/>
          <w:sz w:val="22"/>
        </w:rPr>
        <w:t xml:space="preserve">co najmniej dwa razy szybciej niż </w:t>
      </w:r>
      <w:r w:rsidR="00B47477" w:rsidRPr="002F733A">
        <w:rPr>
          <w:i/>
          <w:iCs/>
          <w:sz w:val="22"/>
        </w:rPr>
        <w:t xml:space="preserve">w przypadku </w:t>
      </w:r>
      <w:r w:rsidR="005E7FE8" w:rsidRPr="002F733A">
        <w:rPr>
          <w:i/>
          <w:iCs/>
          <w:sz w:val="22"/>
        </w:rPr>
        <w:t xml:space="preserve">ogółu przedsiębiorstw, </w:t>
      </w:r>
      <w:r w:rsidR="00B47477" w:rsidRPr="002F733A">
        <w:rPr>
          <w:i/>
          <w:iCs/>
          <w:sz w:val="22"/>
        </w:rPr>
        <w:t>od tego roku</w:t>
      </w:r>
      <w:r w:rsidR="005E7FE8" w:rsidRPr="002F733A">
        <w:rPr>
          <w:i/>
          <w:iCs/>
          <w:sz w:val="22"/>
        </w:rPr>
        <w:t xml:space="preserve"> jest odwrotnie.</w:t>
      </w:r>
      <w:r w:rsidR="00C030CB" w:rsidRPr="002F733A">
        <w:rPr>
          <w:i/>
          <w:iCs/>
          <w:sz w:val="22"/>
        </w:rPr>
        <w:t xml:space="preserve"> O zmniejszaniu długów na razie jednak nie ma </w:t>
      </w:r>
      <w:r w:rsidR="008C4A84" w:rsidRPr="002F733A">
        <w:rPr>
          <w:i/>
          <w:iCs/>
          <w:sz w:val="22"/>
        </w:rPr>
        <w:t xml:space="preserve">jeszcze </w:t>
      </w:r>
      <w:r w:rsidR="00C030CB" w:rsidRPr="002F733A">
        <w:rPr>
          <w:i/>
          <w:iCs/>
          <w:sz w:val="22"/>
        </w:rPr>
        <w:t>mowy</w:t>
      </w:r>
      <w:r w:rsidR="00C030CB" w:rsidRPr="002F733A">
        <w:rPr>
          <w:sz w:val="22"/>
        </w:rPr>
        <w:t xml:space="preserve"> – mówi </w:t>
      </w:r>
      <w:r w:rsidR="00C030CB" w:rsidRPr="002F733A">
        <w:rPr>
          <w:b/>
          <w:bCs/>
          <w:sz w:val="22"/>
        </w:rPr>
        <w:t>Sławomir Grzelczak</w:t>
      </w:r>
      <w:r w:rsidR="00C030CB" w:rsidRPr="002F733A">
        <w:rPr>
          <w:sz w:val="22"/>
        </w:rPr>
        <w:t>.</w:t>
      </w:r>
      <w:r w:rsidR="00E87518">
        <w:rPr>
          <w:sz w:val="22"/>
        </w:rPr>
        <w:t xml:space="preserve"> </w:t>
      </w:r>
    </w:p>
    <w:p w14:paraId="1ADC4484" w14:textId="77777777" w:rsidR="00EA7482" w:rsidRPr="00EA7482" w:rsidRDefault="00EA7482" w:rsidP="006F4350">
      <w:pPr>
        <w:spacing w:before="240" w:after="12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 w:rsidRPr="00EA7482">
        <w:rPr>
          <w:rFonts w:ascii="Calibri" w:eastAsia="Calibri" w:hAnsi="Calibri" w:cs="Times New Roman"/>
          <w:b/>
          <w:bCs/>
          <w:sz w:val="22"/>
        </w:rPr>
        <w:t>Handel najczęściej czeka na należności</w:t>
      </w:r>
    </w:p>
    <w:p w14:paraId="3B48379D" w14:textId="4EC89E4B" w:rsidR="00EA7482" w:rsidRDefault="008C4A84" w:rsidP="006F4350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Handlowi nie jest łatwo, bo też </w:t>
      </w:r>
      <w:r w:rsidR="002F733A">
        <w:rPr>
          <w:rFonts w:ascii="Calibri" w:eastAsia="Calibri" w:hAnsi="Calibri" w:cs="Times New Roman"/>
          <w:sz w:val="22"/>
        </w:rPr>
        <w:t>jego</w:t>
      </w:r>
      <w:r>
        <w:rPr>
          <w:rFonts w:ascii="Calibri" w:eastAsia="Calibri" w:hAnsi="Calibri" w:cs="Times New Roman"/>
          <w:sz w:val="22"/>
        </w:rPr>
        <w:t xml:space="preserve"> płacący z odroczonym terminem odbiorcy szczególnie go nie rozpieszczają. </w:t>
      </w:r>
      <w:r w:rsidR="00EA7482" w:rsidRPr="00EA7482">
        <w:rPr>
          <w:rFonts w:ascii="Calibri" w:eastAsia="Calibri" w:hAnsi="Calibri" w:cs="Times New Roman"/>
          <w:sz w:val="22"/>
        </w:rPr>
        <w:t>Badania Keralla Research</w:t>
      </w:r>
      <w:r>
        <w:rPr>
          <w:rFonts w:ascii="Calibri" w:eastAsia="Calibri" w:hAnsi="Calibri" w:cs="Times New Roman"/>
          <w:sz w:val="22"/>
        </w:rPr>
        <w:t xml:space="preserve"> dla </w:t>
      </w:r>
      <w:r w:rsidRPr="00EA7482">
        <w:rPr>
          <w:rFonts w:ascii="Calibri" w:eastAsia="Calibri" w:hAnsi="Calibri" w:cs="Times New Roman"/>
          <w:sz w:val="22"/>
        </w:rPr>
        <w:t>Rejestru Dłużników BIG InfoMonitor</w:t>
      </w:r>
      <w:r w:rsidR="00EA7482" w:rsidRPr="00EA7482">
        <w:rPr>
          <w:rFonts w:ascii="Calibri" w:eastAsia="Calibri" w:hAnsi="Calibri" w:cs="Times New Roman"/>
          <w:sz w:val="22"/>
        </w:rPr>
        <w:t xml:space="preserve"> pokazują, że przedstawiciele t</w:t>
      </w:r>
      <w:r>
        <w:rPr>
          <w:rFonts w:ascii="Calibri" w:eastAsia="Calibri" w:hAnsi="Calibri" w:cs="Times New Roman"/>
          <w:sz w:val="22"/>
        </w:rPr>
        <w:t>ego sektora najczęściej wskazują, że klienci niewiele sobie robią z terminów płatności za dostarczony towar. O odbiorcach opóźniających przelew przynajmniej w grupie mikro, małych i</w:t>
      </w:r>
      <w:r w:rsidR="00843DE4">
        <w:rPr>
          <w:rFonts w:ascii="Calibri" w:eastAsia="Calibri" w:hAnsi="Calibri" w:cs="Times New Roman"/>
          <w:sz w:val="22"/>
        </w:rPr>
        <w:t> </w:t>
      </w:r>
      <w:r>
        <w:rPr>
          <w:rFonts w:ascii="Calibri" w:eastAsia="Calibri" w:hAnsi="Calibri" w:cs="Times New Roman"/>
          <w:sz w:val="22"/>
        </w:rPr>
        <w:t xml:space="preserve">średnich firm mówi </w:t>
      </w:r>
      <w:r w:rsidR="00EA7482" w:rsidRPr="00EA7482">
        <w:rPr>
          <w:rFonts w:ascii="Calibri" w:eastAsia="Calibri" w:hAnsi="Calibri" w:cs="Times New Roman"/>
          <w:sz w:val="22"/>
        </w:rPr>
        <w:t xml:space="preserve">91,9 proc. </w:t>
      </w:r>
      <w:r>
        <w:rPr>
          <w:rFonts w:ascii="Calibri" w:eastAsia="Calibri" w:hAnsi="Calibri" w:cs="Times New Roman"/>
          <w:sz w:val="22"/>
        </w:rPr>
        <w:t>badanych</w:t>
      </w:r>
      <w:r w:rsidR="00EA7482" w:rsidRPr="00EA7482">
        <w:rPr>
          <w:rFonts w:ascii="Calibri" w:eastAsia="Calibri" w:hAnsi="Calibri" w:cs="Times New Roman"/>
          <w:sz w:val="22"/>
        </w:rPr>
        <w:t>, przy średniej</w:t>
      </w:r>
      <w:r>
        <w:rPr>
          <w:rFonts w:ascii="Calibri" w:eastAsia="Calibri" w:hAnsi="Calibri" w:cs="Times New Roman"/>
          <w:sz w:val="22"/>
        </w:rPr>
        <w:t xml:space="preserve"> na rynku </w:t>
      </w:r>
      <w:r w:rsidR="00EA7482" w:rsidRPr="00EA7482">
        <w:rPr>
          <w:rFonts w:ascii="Calibri" w:eastAsia="Calibri" w:hAnsi="Calibri" w:cs="Times New Roman"/>
          <w:sz w:val="22"/>
        </w:rPr>
        <w:t xml:space="preserve">wynoszącej 80,7 proc. </w:t>
      </w:r>
    </w:p>
    <w:p w14:paraId="61C84E47" w14:textId="77777777" w:rsidR="00EA7482" w:rsidRPr="00EA7482" w:rsidRDefault="00EA7482" w:rsidP="006F4350">
      <w:pPr>
        <w:spacing w:after="120" w:line="259" w:lineRule="auto"/>
        <w:jc w:val="both"/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</w:pPr>
      <w:r>
        <w:rPr>
          <w:noProof/>
        </w:rPr>
        <w:drawing>
          <wp:inline distT="0" distB="0" distL="0" distR="0" wp14:anchorId="5484CEE9" wp14:editId="4DEDEC75">
            <wp:extent cx="5760720" cy="2283195"/>
            <wp:effectExtent l="0" t="0" r="0" b="3175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D016EDFD-B251-4D3D-ACD3-90718E71E5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A7482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badanie</w:t>
      </w:r>
      <w:r w:rsidRPr="00EA7482">
        <w:rPr>
          <w:rFonts w:ascii="Calibri" w:eastAsia="Times New Roman" w:hAnsi="Calibri" w:cs="Times New Roman"/>
          <w:i/>
          <w:color w:val="auto"/>
          <w:sz w:val="16"/>
          <w:szCs w:val="16"/>
          <w:lang w:eastAsia="pl-PL"/>
        </w:rPr>
        <w:t xml:space="preserve"> </w:t>
      </w:r>
      <w:r w:rsidRPr="00EA7482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Keralla Research dla BIG InfoMonitor</w:t>
      </w:r>
    </w:p>
    <w:p w14:paraId="57B4FE6F" w14:textId="6E96CE99" w:rsidR="00EA7482" w:rsidRDefault="008A439D" w:rsidP="006F4350">
      <w:pPr>
        <w:spacing w:before="240" w:after="12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lastRenderedPageBreak/>
        <w:t>P</w:t>
      </w:r>
      <w:r w:rsidR="00EA7482" w:rsidRPr="00EA7482">
        <w:rPr>
          <w:rFonts w:ascii="Calibri" w:eastAsia="Calibri" w:hAnsi="Calibri" w:cs="Times New Roman"/>
          <w:sz w:val="22"/>
        </w:rPr>
        <w:t>rzedstawiciele branży handlowej najczęściej wspomina</w:t>
      </w:r>
      <w:r>
        <w:rPr>
          <w:rFonts w:ascii="Calibri" w:eastAsia="Calibri" w:hAnsi="Calibri" w:cs="Times New Roman"/>
          <w:sz w:val="22"/>
        </w:rPr>
        <w:t>ją też</w:t>
      </w:r>
      <w:r w:rsidR="00EA7482" w:rsidRPr="00EA7482">
        <w:rPr>
          <w:rFonts w:ascii="Calibri" w:eastAsia="Calibri" w:hAnsi="Calibri" w:cs="Times New Roman"/>
          <w:sz w:val="22"/>
        </w:rPr>
        <w:t>, że mają należności przeterminowane o</w:t>
      </w:r>
      <w:r w:rsidR="008D6576">
        <w:rPr>
          <w:rFonts w:ascii="Calibri" w:eastAsia="Calibri" w:hAnsi="Calibri" w:cs="Times New Roman"/>
          <w:sz w:val="22"/>
        </w:rPr>
        <w:t> </w:t>
      </w:r>
      <w:r w:rsidR="00EA7482" w:rsidRPr="00EA7482">
        <w:rPr>
          <w:rFonts w:ascii="Calibri" w:eastAsia="Calibri" w:hAnsi="Calibri" w:cs="Times New Roman"/>
          <w:sz w:val="22"/>
        </w:rPr>
        <w:t xml:space="preserve">ponad 60 dni. </w:t>
      </w:r>
      <w:r>
        <w:rPr>
          <w:rFonts w:ascii="Calibri" w:eastAsia="Calibri" w:hAnsi="Calibri" w:cs="Times New Roman"/>
          <w:sz w:val="22"/>
        </w:rPr>
        <w:t xml:space="preserve">Jest to problem </w:t>
      </w:r>
      <w:r w:rsidR="00EA7482" w:rsidRPr="00EA7482">
        <w:rPr>
          <w:rFonts w:ascii="Calibri" w:eastAsia="Calibri" w:hAnsi="Calibri" w:cs="Times New Roman"/>
          <w:sz w:val="22"/>
        </w:rPr>
        <w:t>49 proc.</w:t>
      </w:r>
      <w:r>
        <w:rPr>
          <w:rFonts w:ascii="Calibri" w:eastAsia="Calibri" w:hAnsi="Calibri" w:cs="Times New Roman"/>
          <w:sz w:val="22"/>
        </w:rPr>
        <w:t xml:space="preserve"> ankietowanych. Dla porównania </w:t>
      </w:r>
      <w:r w:rsidR="00EA7482" w:rsidRPr="00EA7482">
        <w:rPr>
          <w:rFonts w:ascii="Calibri" w:eastAsia="Calibri" w:hAnsi="Calibri" w:cs="Times New Roman"/>
          <w:sz w:val="22"/>
        </w:rPr>
        <w:t>transpor</w:t>
      </w:r>
      <w:r>
        <w:rPr>
          <w:rFonts w:ascii="Calibri" w:eastAsia="Calibri" w:hAnsi="Calibri" w:cs="Times New Roman"/>
          <w:sz w:val="22"/>
        </w:rPr>
        <w:t xml:space="preserve">t ma </w:t>
      </w:r>
      <w:r w:rsidR="00EA7482" w:rsidRPr="00EA7482">
        <w:rPr>
          <w:rFonts w:ascii="Calibri" w:eastAsia="Calibri" w:hAnsi="Calibri" w:cs="Times New Roman"/>
          <w:sz w:val="22"/>
        </w:rPr>
        <w:t>36 proc.</w:t>
      </w:r>
      <w:r>
        <w:rPr>
          <w:rFonts w:ascii="Calibri" w:eastAsia="Calibri" w:hAnsi="Calibri" w:cs="Times New Roman"/>
          <w:sz w:val="22"/>
        </w:rPr>
        <w:t xml:space="preserve"> niesolidnych klientów, a </w:t>
      </w:r>
      <w:r w:rsidR="00EA7482" w:rsidRPr="00EA7482">
        <w:rPr>
          <w:rFonts w:ascii="Calibri" w:eastAsia="Calibri" w:hAnsi="Calibri" w:cs="Times New Roman"/>
          <w:sz w:val="22"/>
        </w:rPr>
        <w:t>usług</w:t>
      </w:r>
      <w:r>
        <w:rPr>
          <w:rFonts w:ascii="Calibri" w:eastAsia="Calibri" w:hAnsi="Calibri" w:cs="Times New Roman"/>
          <w:sz w:val="22"/>
        </w:rPr>
        <w:t>i i p</w:t>
      </w:r>
      <w:r w:rsidRPr="00EA7482">
        <w:rPr>
          <w:rFonts w:ascii="Calibri" w:eastAsia="Calibri" w:hAnsi="Calibri" w:cs="Times New Roman"/>
          <w:sz w:val="22"/>
        </w:rPr>
        <w:t>rzemy</w:t>
      </w:r>
      <w:r>
        <w:rPr>
          <w:rFonts w:ascii="Calibri" w:eastAsia="Calibri" w:hAnsi="Calibri" w:cs="Times New Roman"/>
          <w:sz w:val="22"/>
        </w:rPr>
        <w:t xml:space="preserve">sł ok. 30 </w:t>
      </w:r>
      <w:r w:rsidRPr="00EA7482">
        <w:rPr>
          <w:rFonts w:ascii="Calibri" w:eastAsia="Calibri" w:hAnsi="Calibri" w:cs="Times New Roman"/>
          <w:sz w:val="22"/>
        </w:rPr>
        <w:t>proc.</w:t>
      </w:r>
      <w:r>
        <w:rPr>
          <w:rFonts w:ascii="Calibri" w:eastAsia="Calibri" w:hAnsi="Calibri" w:cs="Times New Roman"/>
          <w:sz w:val="22"/>
        </w:rPr>
        <w:t xml:space="preserve"> W najlepiej traktowanym przez zleceniodawców </w:t>
      </w:r>
      <w:r w:rsidR="00EA7482" w:rsidRPr="00EA7482">
        <w:rPr>
          <w:rFonts w:ascii="Calibri" w:eastAsia="Calibri" w:hAnsi="Calibri" w:cs="Times New Roman"/>
          <w:sz w:val="22"/>
        </w:rPr>
        <w:t>budow</w:t>
      </w:r>
      <w:r>
        <w:rPr>
          <w:rFonts w:ascii="Calibri" w:eastAsia="Calibri" w:hAnsi="Calibri" w:cs="Times New Roman"/>
          <w:sz w:val="22"/>
        </w:rPr>
        <w:t xml:space="preserve">nictwie opóźnione o ponad dwa miesiące należności to kłopot co piątej firmy. </w:t>
      </w:r>
    </w:p>
    <w:p w14:paraId="5DFD6382" w14:textId="77777777" w:rsidR="0041054F" w:rsidRPr="0041054F" w:rsidRDefault="00EA7482" w:rsidP="006F4350">
      <w:pPr>
        <w:spacing w:after="120" w:line="259" w:lineRule="auto"/>
        <w:jc w:val="both"/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</w:pPr>
      <w:r>
        <w:rPr>
          <w:noProof/>
        </w:rPr>
        <w:drawing>
          <wp:inline distT="0" distB="0" distL="0" distR="0" wp14:anchorId="51C942FE" wp14:editId="7B193B34">
            <wp:extent cx="3259455" cy="2984422"/>
            <wp:effectExtent l="0" t="0" r="0" b="6985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55C9BC5E-1870-4161-BDBB-BD6ECD9D69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52AF77" wp14:editId="63A7F492">
            <wp:extent cx="2469515" cy="2983179"/>
            <wp:effectExtent l="0" t="0" r="6985" b="8255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5F476ED8-7ADE-49D2-B487-4F00FAB7D7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1054F" w:rsidRPr="0041054F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badanie</w:t>
      </w:r>
      <w:r w:rsidR="0041054F" w:rsidRPr="0041054F">
        <w:rPr>
          <w:rFonts w:ascii="Calibri" w:eastAsia="Times New Roman" w:hAnsi="Calibri" w:cs="Times New Roman"/>
          <w:i/>
          <w:color w:val="auto"/>
          <w:sz w:val="16"/>
          <w:szCs w:val="16"/>
          <w:lang w:eastAsia="pl-PL"/>
        </w:rPr>
        <w:t xml:space="preserve"> </w:t>
      </w:r>
      <w:r w:rsidR="0041054F" w:rsidRPr="0041054F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Keralla Research dla BIG InfoMonitor</w:t>
      </w:r>
    </w:p>
    <w:p w14:paraId="2035616C" w14:textId="2521F375" w:rsidR="00EA7482" w:rsidRPr="00EA7482" w:rsidRDefault="0041054F" w:rsidP="006F4350">
      <w:pPr>
        <w:spacing w:before="240"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41054F">
        <w:rPr>
          <w:rFonts w:ascii="Calibri" w:eastAsia="Calibri" w:hAnsi="Calibri" w:cs="Times New Roman"/>
          <w:sz w:val="22"/>
        </w:rPr>
        <w:t xml:space="preserve">– </w:t>
      </w:r>
      <w:r w:rsidRPr="008F362C">
        <w:rPr>
          <w:rFonts w:ascii="Calibri" w:eastAsia="Calibri" w:hAnsi="Calibri" w:cs="Times New Roman"/>
          <w:i/>
          <w:iCs/>
          <w:sz w:val="22"/>
        </w:rPr>
        <w:t xml:space="preserve">Czwarta fala pandemii to coraz powszechniejsze zapowiedzi powrotu wielu znienawidzonych ograniczeń </w:t>
      </w:r>
      <w:r w:rsidR="008A439D">
        <w:rPr>
          <w:rFonts w:ascii="Calibri" w:eastAsia="Calibri" w:hAnsi="Calibri" w:cs="Times New Roman"/>
          <w:i/>
          <w:iCs/>
          <w:sz w:val="22"/>
        </w:rPr>
        <w:t xml:space="preserve">m.in. </w:t>
      </w:r>
      <w:r w:rsidRPr="008F362C">
        <w:rPr>
          <w:rFonts w:ascii="Calibri" w:eastAsia="Calibri" w:hAnsi="Calibri" w:cs="Times New Roman"/>
          <w:i/>
          <w:iCs/>
          <w:sz w:val="22"/>
        </w:rPr>
        <w:t xml:space="preserve">w dostępie do placówek handlowych, ale też nieuniknione w przypadku lockdownu zakłócenia w swobodnym przepływie towarów. </w:t>
      </w:r>
      <w:r w:rsidR="008A439D">
        <w:rPr>
          <w:rFonts w:ascii="Calibri" w:eastAsia="Calibri" w:hAnsi="Calibri" w:cs="Times New Roman"/>
          <w:i/>
          <w:iCs/>
          <w:sz w:val="22"/>
        </w:rPr>
        <w:t>T</w:t>
      </w:r>
      <w:r w:rsidRPr="008F362C">
        <w:rPr>
          <w:rFonts w:ascii="Calibri" w:eastAsia="Calibri" w:hAnsi="Calibri" w:cs="Times New Roman"/>
          <w:i/>
          <w:iCs/>
          <w:sz w:val="22"/>
        </w:rPr>
        <w:t>aka perspektywa</w:t>
      </w:r>
      <w:r w:rsidR="008A439D">
        <w:rPr>
          <w:rFonts w:ascii="Calibri" w:eastAsia="Calibri" w:hAnsi="Calibri" w:cs="Times New Roman"/>
          <w:i/>
          <w:iCs/>
          <w:sz w:val="22"/>
        </w:rPr>
        <w:t xml:space="preserve">, że na jesiennych obostrzeniach się nie skończy </w:t>
      </w:r>
      <w:r w:rsidRPr="008F362C">
        <w:rPr>
          <w:rFonts w:ascii="Calibri" w:eastAsia="Calibri" w:hAnsi="Calibri" w:cs="Times New Roman"/>
          <w:i/>
          <w:iCs/>
          <w:sz w:val="22"/>
        </w:rPr>
        <w:t>przynosi wi</w:t>
      </w:r>
      <w:r w:rsidR="008A439D">
        <w:rPr>
          <w:rFonts w:ascii="Calibri" w:eastAsia="Calibri" w:hAnsi="Calibri" w:cs="Times New Roman"/>
          <w:i/>
          <w:iCs/>
          <w:sz w:val="22"/>
        </w:rPr>
        <w:t xml:space="preserve">ele </w:t>
      </w:r>
      <w:r w:rsidRPr="008F362C">
        <w:rPr>
          <w:rFonts w:ascii="Calibri" w:eastAsia="Calibri" w:hAnsi="Calibri" w:cs="Times New Roman"/>
          <w:i/>
          <w:iCs/>
          <w:sz w:val="22"/>
        </w:rPr>
        <w:t>obaw</w:t>
      </w:r>
      <w:r w:rsidR="008A439D">
        <w:rPr>
          <w:rFonts w:ascii="Calibri" w:eastAsia="Calibri" w:hAnsi="Calibri" w:cs="Times New Roman"/>
          <w:i/>
          <w:iCs/>
          <w:sz w:val="22"/>
        </w:rPr>
        <w:t xml:space="preserve">, stąd w </w:t>
      </w:r>
      <w:r w:rsidRPr="008F362C">
        <w:rPr>
          <w:rFonts w:ascii="Calibri" w:eastAsia="Calibri" w:hAnsi="Calibri" w:cs="Times New Roman"/>
          <w:i/>
          <w:iCs/>
          <w:sz w:val="22"/>
        </w:rPr>
        <w:t>naszych bada</w:t>
      </w:r>
      <w:r w:rsidR="008A439D">
        <w:rPr>
          <w:rFonts w:ascii="Calibri" w:eastAsia="Calibri" w:hAnsi="Calibri" w:cs="Times New Roman"/>
          <w:i/>
          <w:iCs/>
          <w:sz w:val="22"/>
        </w:rPr>
        <w:t>niach n</w:t>
      </w:r>
      <w:r w:rsidRPr="008F362C">
        <w:rPr>
          <w:rFonts w:ascii="Calibri" w:eastAsia="Calibri" w:hAnsi="Calibri" w:cs="Times New Roman"/>
          <w:i/>
          <w:iCs/>
          <w:sz w:val="22"/>
        </w:rPr>
        <w:t xml:space="preserve">iemal co siódma firma zajmująca się handlem uważa, że do kondycji sprzed pandemii uda jej się powrócić dopiero </w:t>
      </w:r>
      <w:r w:rsidR="00915947">
        <w:rPr>
          <w:rFonts w:ascii="Calibri" w:eastAsia="Calibri" w:hAnsi="Calibri" w:cs="Times New Roman"/>
          <w:i/>
          <w:iCs/>
          <w:sz w:val="22"/>
        </w:rPr>
        <w:t xml:space="preserve">gdy uda się pokonać </w:t>
      </w:r>
      <w:r w:rsidR="006F4350">
        <w:rPr>
          <w:rFonts w:ascii="Calibri" w:eastAsia="Calibri" w:hAnsi="Calibri" w:cs="Times New Roman"/>
          <w:i/>
          <w:iCs/>
          <w:sz w:val="22"/>
        </w:rPr>
        <w:t>COVID</w:t>
      </w:r>
      <w:r w:rsidR="00915947">
        <w:rPr>
          <w:rFonts w:ascii="Calibri" w:eastAsia="Calibri" w:hAnsi="Calibri" w:cs="Times New Roman"/>
          <w:i/>
          <w:iCs/>
          <w:sz w:val="22"/>
        </w:rPr>
        <w:t xml:space="preserve">-19 i </w:t>
      </w:r>
      <w:r w:rsidRPr="008F362C">
        <w:rPr>
          <w:rFonts w:ascii="Calibri" w:eastAsia="Calibri" w:hAnsi="Calibri" w:cs="Times New Roman"/>
          <w:i/>
          <w:iCs/>
          <w:sz w:val="22"/>
        </w:rPr>
        <w:t>zniesi</w:t>
      </w:r>
      <w:r w:rsidR="00915947">
        <w:rPr>
          <w:rFonts w:ascii="Calibri" w:eastAsia="Calibri" w:hAnsi="Calibri" w:cs="Times New Roman"/>
          <w:i/>
          <w:iCs/>
          <w:sz w:val="22"/>
        </w:rPr>
        <w:t xml:space="preserve">one zostaną </w:t>
      </w:r>
      <w:r w:rsidR="008A439D">
        <w:rPr>
          <w:rFonts w:ascii="Calibri" w:eastAsia="Calibri" w:hAnsi="Calibri" w:cs="Times New Roman"/>
          <w:i/>
          <w:iCs/>
          <w:sz w:val="22"/>
        </w:rPr>
        <w:t>wszelki</w:t>
      </w:r>
      <w:r w:rsidR="00915947">
        <w:rPr>
          <w:rFonts w:ascii="Calibri" w:eastAsia="Calibri" w:hAnsi="Calibri" w:cs="Times New Roman"/>
          <w:i/>
          <w:iCs/>
          <w:sz w:val="22"/>
        </w:rPr>
        <w:t>e</w:t>
      </w:r>
      <w:r w:rsidR="008A439D">
        <w:rPr>
          <w:rFonts w:ascii="Calibri" w:eastAsia="Calibri" w:hAnsi="Calibri" w:cs="Times New Roman"/>
          <w:i/>
          <w:iCs/>
          <w:sz w:val="22"/>
        </w:rPr>
        <w:t xml:space="preserve"> </w:t>
      </w:r>
      <w:r w:rsidRPr="008F362C">
        <w:rPr>
          <w:rFonts w:ascii="Calibri" w:eastAsia="Calibri" w:hAnsi="Calibri" w:cs="Times New Roman"/>
          <w:i/>
          <w:iCs/>
          <w:sz w:val="22"/>
        </w:rPr>
        <w:t>ogranicze</w:t>
      </w:r>
      <w:r w:rsidR="00915947">
        <w:rPr>
          <w:rFonts w:ascii="Calibri" w:eastAsia="Calibri" w:hAnsi="Calibri" w:cs="Times New Roman"/>
          <w:i/>
          <w:iCs/>
          <w:sz w:val="22"/>
        </w:rPr>
        <w:t xml:space="preserve">nia </w:t>
      </w:r>
      <w:r w:rsidRPr="008F362C">
        <w:rPr>
          <w:rFonts w:ascii="Calibri" w:eastAsia="Calibri" w:hAnsi="Calibri" w:cs="Times New Roman"/>
          <w:i/>
          <w:iCs/>
          <w:sz w:val="22"/>
        </w:rPr>
        <w:t>wynikając</w:t>
      </w:r>
      <w:r w:rsidR="00915947">
        <w:rPr>
          <w:rFonts w:ascii="Calibri" w:eastAsia="Calibri" w:hAnsi="Calibri" w:cs="Times New Roman"/>
          <w:i/>
          <w:iCs/>
          <w:sz w:val="22"/>
        </w:rPr>
        <w:t>e</w:t>
      </w:r>
      <w:r w:rsidRPr="008F362C">
        <w:rPr>
          <w:rFonts w:ascii="Calibri" w:eastAsia="Calibri" w:hAnsi="Calibri" w:cs="Times New Roman"/>
          <w:i/>
          <w:iCs/>
          <w:sz w:val="22"/>
        </w:rPr>
        <w:t xml:space="preserve"> </w:t>
      </w:r>
      <w:r w:rsidR="006F4350" w:rsidRPr="008F362C">
        <w:rPr>
          <w:rFonts w:ascii="Calibri" w:eastAsia="Calibri" w:hAnsi="Calibri" w:cs="Times New Roman"/>
          <w:i/>
          <w:iCs/>
          <w:sz w:val="22"/>
        </w:rPr>
        <w:t>z</w:t>
      </w:r>
      <w:r w:rsidR="006F4350">
        <w:rPr>
          <w:rFonts w:ascii="Calibri" w:eastAsia="Calibri" w:hAnsi="Calibri" w:cs="Times New Roman"/>
          <w:i/>
          <w:iCs/>
          <w:sz w:val="22"/>
        </w:rPr>
        <w:t xml:space="preserve"> </w:t>
      </w:r>
      <w:r w:rsidRPr="008F362C">
        <w:rPr>
          <w:rFonts w:ascii="Calibri" w:eastAsia="Calibri" w:hAnsi="Calibri" w:cs="Times New Roman"/>
          <w:i/>
          <w:iCs/>
          <w:sz w:val="22"/>
        </w:rPr>
        <w:t>walki z koronawirusem</w:t>
      </w:r>
      <w:r w:rsidRPr="0041054F">
        <w:rPr>
          <w:rFonts w:ascii="Calibri" w:eastAsia="Calibri" w:hAnsi="Calibri" w:cs="Times New Roman"/>
          <w:sz w:val="22"/>
        </w:rPr>
        <w:t xml:space="preserve"> – mówi </w:t>
      </w:r>
      <w:r w:rsidRPr="0041054F">
        <w:rPr>
          <w:rFonts w:ascii="Calibri" w:eastAsia="Calibri" w:hAnsi="Calibri" w:cs="Times New Roman"/>
          <w:b/>
          <w:bCs/>
          <w:sz w:val="22"/>
        </w:rPr>
        <w:t>Sławomir Grzelczak</w:t>
      </w:r>
      <w:r w:rsidRPr="0041054F">
        <w:rPr>
          <w:rFonts w:ascii="Calibri" w:eastAsia="Calibri" w:hAnsi="Calibri" w:cs="Times New Roman"/>
          <w:sz w:val="22"/>
        </w:rPr>
        <w:t>.</w:t>
      </w:r>
    </w:p>
    <w:p w14:paraId="4061BFAC" w14:textId="4EA28338" w:rsidR="00FC21C0" w:rsidRPr="00FC21C0" w:rsidRDefault="002C1C21" w:rsidP="006F4350">
      <w:pPr>
        <w:spacing w:before="240" w:after="120" w:line="259" w:lineRule="auto"/>
        <w:jc w:val="both"/>
        <w:rPr>
          <w:rFonts w:ascii="Calibri" w:eastAsia="Calibri" w:hAnsi="Calibri" w:cs="Times New Roman"/>
          <w:bCs/>
          <w:i/>
          <w:iCs/>
          <w:color w:val="595959"/>
          <w:sz w:val="18"/>
          <w:szCs w:val="18"/>
        </w:rPr>
      </w:pPr>
      <w:r w:rsidRPr="002C1C21">
        <w:rPr>
          <w:rFonts w:ascii="Calibri" w:eastAsia="Calibri" w:hAnsi="Calibri" w:cs="Times New Roman"/>
          <w:bCs/>
          <w:i/>
          <w:iCs/>
          <w:color w:val="595959"/>
          <w:sz w:val="18"/>
          <w:szCs w:val="18"/>
        </w:rPr>
        <w:t>Badanie zrealizowane przez Instytut Keralla Research, prowadzone co kwartał wśród mikro, małych i średnich firm. Próba = 500, technika: wywiady telefoniczne, termin: lipiec 2021 r.</w:t>
      </w:r>
    </w:p>
    <w:p w14:paraId="27CF41E8" w14:textId="77777777" w:rsidR="00377930" w:rsidRPr="00CA6058" w:rsidRDefault="00377930" w:rsidP="002F733A">
      <w:pPr>
        <w:spacing w:before="240" w:after="120" w:line="259" w:lineRule="auto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t xml:space="preserve">Biuro Informacji Gospodarczej InfoMonitor </w:t>
      </w:r>
      <w:r w:rsidRPr="00CA6058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55201C2D" w14:textId="70AEFF75" w:rsidR="00377930" w:rsidRDefault="00377930" w:rsidP="002F733A">
      <w:pPr>
        <w:spacing w:before="240" w:after="120" w:line="259" w:lineRule="auto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 xml:space="preserve">Kontakt dla </w:t>
      </w:r>
      <w:r w:rsidR="00BE1AC0">
        <w:rPr>
          <w:rFonts w:cs="Arial"/>
          <w:b/>
          <w:color w:val="595959" w:themeColor="text1" w:themeTint="A6"/>
          <w:sz w:val="18"/>
          <w:szCs w:val="18"/>
        </w:rPr>
        <w:t>mediów</w:t>
      </w:r>
      <w:r w:rsidRPr="00F303A7">
        <w:rPr>
          <w:rFonts w:cs="Arial"/>
          <w:b/>
          <w:color w:val="595959" w:themeColor="text1" w:themeTint="A6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377930" w:rsidRPr="00F303A7" w14:paraId="51EF4BCC" w14:textId="77777777" w:rsidTr="005848B2">
        <w:tc>
          <w:tcPr>
            <w:tcW w:w="4533" w:type="dxa"/>
            <w:hideMark/>
          </w:tcPr>
          <w:p w14:paraId="4BE5BB58" w14:textId="77777777" w:rsidR="00377930" w:rsidRPr="00F303A7" w:rsidRDefault="00377930" w:rsidP="002F733A">
            <w:pPr>
              <w:spacing w:line="259" w:lineRule="auto"/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4751065F" w14:textId="77777777" w:rsidR="00377930" w:rsidRPr="00F303A7" w:rsidRDefault="00377930" w:rsidP="002F733A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0A6E3777" w14:textId="77777777" w:rsidR="00377930" w:rsidRPr="00F303A7" w:rsidRDefault="00377930" w:rsidP="002F733A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4EC4C65B" w14:textId="3B932357" w:rsidR="00BE1AC0" w:rsidRDefault="00377930" w:rsidP="002F733A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</w:t>
            </w:r>
            <w:r w:rsidR="00BE1AC0">
              <w:rPr>
                <w:rFonts w:cs="Arial"/>
                <w:color w:val="595959" w:themeColor="text1" w:themeTint="A6"/>
                <w:sz w:val="18"/>
                <w:szCs w:val="18"/>
              </w:rPr>
              <w:t> </w:t>
            </w: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010</w:t>
            </w:r>
          </w:p>
          <w:p w14:paraId="18B58459" w14:textId="4C114D06" w:rsidR="00377930" w:rsidRPr="00F303A7" w:rsidRDefault="00865016" w:rsidP="002F733A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3" w:history="1">
              <w:r w:rsidR="00BE1AC0" w:rsidRPr="00422ABB">
                <w:rPr>
                  <w:rStyle w:val="Hipercze"/>
                </w:rPr>
                <w:t>h</w:t>
              </w:r>
              <w:r w:rsidR="00BE1AC0" w:rsidRPr="00422ABB">
                <w:rPr>
                  <w:rStyle w:val="Hipercze"/>
                  <w:sz w:val="18"/>
                  <w:szCs w:val="18"/>
                </w:rPr>
                <w:t>alina.kochalska@big.pl</w:t>
              </w:r>
            </w:hyperlink>
          </w:p>
        </w:tc>
        <w:tc>
          <w:tcPr>
            <w:tcW w:w="4539" w:type="dxa"/>
            <w:hideMark/>
          </w:tcPr>
          <w:p w14:paraId="06A2FE7C" w14:textId="77777777" w:rsidR="00377930" w:rsidRPr="00F303A7" w:rsidRDefault="00377930" w:rsidP="002F733A">
            <w:pPr>
              <w:spacing w:line="259" w:lineRule="auto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36099EB5" w14:textId="77777777" w:rsidR="00377930" w:rsidRPr="00F303A7" w:rsidRDefault="00377930" w:rsidP="002F733A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2A1A606B" w14:textId="77777777" w:rsidR="00377930" w:rsidRPr="00F303A7" w:rsidRDefault="00377930" w:rsidP="002F733A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14:paraId="50F1BA78" w14:textId="77777777" w:rsidR="00377930" w:rsidRPr="00F303A7" w:rsidRDefault="00377930" w:rsidP="002F733A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14:paraId="648B6003" w14:textId="2710B009" w:rsidR="00377930" w:rsidRPr="00F303A7" w:rsidRDefault="00865016" w:rsidP="002F733A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4" w:history="1">
              <w:r w:rsidR="00BE1AC0" w:rsidRPr="00422ABB">
                <w:rPr>
                  <w:rStyle w:val="Hipercze"/>
                </w:rPr>
                <w:t>d</w:t>
              </w:r>
              <w:r w:rsidR="00BE1AC0" w:rsidRPr="00422ABB">
                <w:rPr>
                  <w:rStyle w:val="Hipercze"/>
                  <w:sz w:val="18"/>
                  <w:szCs w:val="18"/>
                </w:rPr>
                <w:t>iana.borowiecka@big.pl</w:t>
              </w:r>
            </w:hyperlink>
            <w:r w:rsidR="00377930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465CC8C4" w14:textId="77777777" w:rsidR="002B3FE4" w:rsidRDefault="002B3FE4" w:rsidP="00244392">
      <w:pPr>
        <w:spacing w:line="259" w:lineRule="auto"/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2B3FE4" w:rsidRDefault="00F85535" w:rsidP="00244392">
      <w:pPr>
        <w:spacing w:line="259" w:lineRule="auto"/>
      </w:pPr>
    </w:p>
    <w:sectPr w:rsidR="00F85535" w:rsidRPr="002B3FE4" w:rsidSect="00CD113F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34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13B7" w14:textId="77777777" w:rsidR="00865016" w:rsidRDefault="00865016" w:rsidP="00866834">
      <w:r>
        <w:separator/>
      </w:r>
    </w:p>
    <w:p w14:paraId="13341199" w14:textId="77777777" w:rsidR="00865016" w:rsidRDefault="00865016"/>
  </w:endnote>
  <w:endnote w:type="continuationSeparator" w:id="0">
    <w:p w14:paraId="77AAA0B5" w14:textId="77777777" w:rsidR="00865016" w:rsidRDefault="00865016" w:rsidP="00866834">
      <w:r>
        <w:continuationSeparator/>
      </w:r>
    </w:p>
    <w:p w14:paraId="67E4432D" w14:textId="77777777" w:rsidR="00865016" w:rsidRDefault="00865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49480E56" w:rsidR="00996627" w:rsidRPr="00725618" w:rsidRDefault="00714B02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6C5AE5E3" wp14:editId="347B295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7f74d6d862d9793b31f0eb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0045DA" w14:textId="70346E37" w:rsidR="00714B02" w:rsidRPr="00714B02" w:rsidRDefault="00714B02" w:rsidP="00714B02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714B02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5AE5E3" id="_x0000_t202" coordsize="21600,21600" o:spt="202" path="m,l,21600r21600,l21600,xe">
              <v:stroke joinstyle="miter"/>
              <v:path gradientshapeok="t" o:connecttype="rect"/>
            </v:shapetype>
            <v:shape id="MSIPCM67f74d6d862d9793b31f0eb8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" o:allowincell="f" filled="f" stroked="f" strokeweight=".5pt">
              <v:textbox inset=",0,20pt,0">
                <w:txbxContent>
                  <w:p w14:paraId="1B0045DA" w14:textId="70346E37" w:rsidR="00714B02" w:rsidRPr="00714B02" w:rsidRDefault="00714B02" w:rsidP="00714B02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714B02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6627">
      <w:rPr>
        <w:lang w:eastAsia="pl-PL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69881259" wp14:editId="0509EF30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A89B6" w14:textId="77777777" w:rsidR="00377930" w:rsidRPr="00456AF4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71AE43A3" w14:textId="4BAD6FE8" w:rsidR="00996627" w:rsidRPr="00720A75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  <w:lang w:val="en-GB"/>
                            </w:rPr>
                          </w:pPr>
                          <w:r w:rsidRPr="00720A75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  <w:lang w:val="en-GB"/>
                            </w:rPr>
                            <w:t xml:space="preserve">tel. +48 22 486 5656, e-mail: </w:t>
                          </w:r>
                          <w:hyperlink r:id="rId1" w:history="1">
                            <w:r w:rsidRPr="00720A75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  <w:lang w:val="en-GB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881259" id="Pole tekstowe 2" o:spid="_x0000_s1027" type="#_x0000_t202" style="position:absolute;margin-left:-6.75pt;margin-top:.15pt;width:361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" stroked="f">
              <v:textbox style="mso-fit-shape-to-text:t">
                <w:txbxContent>
                  <w:p w14:paraId="52BA89B6" w14:textId="77777777" w:rsidR="00377930" w:rsidRPr="00456AF4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71AE43A3" w14:textId="4BAD6FE8" w:rsidR="00996627" w:rsidRPr="00720A75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  <w:lang w:val="en-GB"/>
                      </w:rPr>
                    </w:pPr>
                    <w:r w:rsidRPr="00720A75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  <w:lang w:val="en-GB"/>
                      </w:rPr>
                      <w:t xml:space="preserve">tel. +48 22 486 5656, e-mail: </w:t>
                    </w:r>
                    <w:hyperlink r:id="rId2" w:history="1">
                      <w:r w:rsidRPr="00720A75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  <w:lang w:val="en-GB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996627"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BA4962">
      <w:rPr>
        <w:noProof/>
      </w:rPr>
      <w:t>2</w:t>
    </w:r>
    <w:r>
      <w:fldChar w:fldCharType="end"/>
    </w:r>
    <w:r>
      <w:t>/</w:t>
    </w:r>
    <w:fldSimple w:instr="NUMPAGES  \* Arabic  \* MERGEFORMAT">
      <w:r w:rsidR="00BA4962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014150D8" w:rsidR="00CC4824" w:rsidRPr="00725618" w:rsidRDefault="00714B02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41C722FE" wp14:editId="7156B9F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2c745678c160876d584a31c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F02461" w14:textId="368D2240" w:rsidR="00714B02" w:rsidRPr="00714B02" w:rsidRDefault="00714B02" w:rsidP="00714B02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714B02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722FE" id="_x0000_t202" coordsize="21600,21600" o:spt="202" path="m,l,21600r21600,l21600,xe">
              <v:stroke joinstyle="miter"/>
              <v:path gradientshapeok="t" o:connecttype="rect"/>
            </v:shapetype>
            <v:shape id="MSIPCMb2c745678c160876d584a31c" o:spid="_x0000_s1028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6GEqrbYC&#10;AABRBQAADgAAAAAAAAAAAAAAAAAuAgAAZHJzL2Uyb0RvYy54bWxQSwECLQAUAAYACAAAACEAnahH&#10;6OEAAAALAQAADwAAAAAAAAAAAAAAAAAQBQAAZHJzL2Rvd25yZXYueG1sUEsFBgAAAAAEAAQA8wAA&#10;AB4GAAAAAA==&#10;" o:allowincell="f" filled="f" stroked="f" strokeweight=".5pt">
              <v:textbox inset=",0,20pt,0">
                <w:txbxContent>
                  <w:p w14:paraId="33F02461" w14:textId="368D2240" w:rsidR="00714B02" w:rsidRPr="00714B02" w:rsidRDefault="00714B02" w:rsidP="00714B02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714B02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>
      <w:rPr>
        <w:lang w:eastAsia="pl-PL"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5BA84EB4" wp14:editId="4B077534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3B877" w14:textId="77777777" w:rsidR="00377930" w:rsidRPr="00456AF4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7CB01CED" w14:textId="0A904909" w:rsidR="00CC4824" w:rsidRPr="00720A75" w:rsidRDefault="00377930" w:rsidP="004C799A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  <w:lang w:val="en-GB"/>
                            </w:rPr>
                          </w:pPr>
                          <w:r w:rsidRPr="00720A75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  <w:lang w:val="en-GB"/>
                            </w:rPr>
                            <w:t xml:space="preserve">tel. +48 22 486 5656, e-mail: </w:t>
                          </w:r>
                          <w:hyperlink r:id="rId1" w:history="1">
                            <w:r w:rsidRPr="00720A75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  <w:lang w:val="en-GB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A84EB4" id="_x0000_s1029" type="#_x0000_t202" style="position:absolute;margin-left:-6.75pt;margin-top:.15pt;width:361.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" stroked="f">
              <v:textbox style="mso-fit-shape-to-text:t">
                <w:txbxContent>
                  <w:p w14:paraId="2443B877" w14:textId="77777777" w:rsidR="00377930" w:rsidRPr="00456AF4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7CB01CED" w14:textId="0A904909" w:rsidR="00CC4824" w:rsidRPr="00720A75" w:rsidRDefault="00377930" w:rsidP="004C799A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b/>
                        <w:bCs/>
                        <w:color w:val="BFBFBF" w:themeColor="background1" w:themeShade="BF"/>
                        <w:sz w:val="16"/>
                        <w:szCs w:val="16"/>
                        <w:lang w:val="en-GB"/>
                      </w:rPr>
                    </w:pPr>
                    <w:r w:rsidRPr="00720A75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  <w:lang w:val="en-GB"/>
                      </w:rPr>
                      <w:t xml:space="preserve">tel. +48 22 486 5656, e-mail: </w:t>
                    </w:r>
                    <w:hyperlink r:id="rId2" w:history="1">
                      <w:r w:rsidRPr="00720A75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  <w:lang w:val="en-GB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BA4962">
      <w:rPr>
        <w:noProof/>
      </w:rPr>
      <w:t>1</w:t>
    </w:r>
    <w:r>
      <w:fldChar w:fldCharType="end"/>
    </w:r>
    <w:r>
      <w:t>/</w:t>
    </w:r>
    <w:r w:rsidR="00AA5279">
      <w:rPr>
        <w:noProof/>
      </w:rPr>
      <w:fldChar w:fldCharType="begin"/>
    </w:r>
    <w:r w:rsidR="00AA5279">
      <w:rPr>
        <w:noProof/>
      </w:rPr>
      <w:instrText>NUMPAGES  \* Arabic  \* MERGEFORMAT</w:instrText>
    </w:r>
    <w:r w:rsidR="00AA5279">
      <w:rPr>
        <w:noProof/>
      </w:rPr>
      <w:fldChar w:fldCharType="separate"/>
    </w:r>
    <w:r w:rsidR="00BA4962">
      <w:rPr>
        <w:noProof/>
      </w:rPr>
      <w:t>5</w:t>
    </w:r>
    <w:r w:rsidR="00AA5279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B0E8" w14:textId="77777777" w:rsidR="00865016" w:rsidRDefault="00865016" w:rsidP="00866834">
      <w:r>
        <w:separator/>
      </w:r>
    </w:p>
    <w:p w14:paraId="72D17F0F" w14:textId="77777777" w:rsidR="00865016" w:rsidRDefault="00865016"/>
  </w:footnote>
  <w:footnote w:type="continuationSeparator" w:id="0">
    <w:p w14:paraId="4121E244" w14:textId="77777777" w:rsidR="00865016" w:rsidRDefault="00865016" w:rsidP="00866834">
      <w:r>
        <w:continuationSeparator/>
      </w:r>
    </w:p>
    <w:p w14:paraId="4BF22152" w14:textId="77777777" w:rsidR="00865016" w:rsidRDefault="00865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CF35" w14:textId="471F69A3" w:rsidR="006E3A99" w:rsidRDefault="006E3A99">
    <w:r>
      <w:rPr>
        <w:noProof/>
        <w:lang w:eastAsia="pl-PL"/>
      </w:rPr>
      <w:drawing>
        <wp:anchor distT="0" distB="0" distL="114300" distR="114300" simplePos="0" relativeHeight="251679232" behindDoc="1" locked="0" layoutInCell="1" allowOverlap="1" wp14:anchorId="4DAF2FA2" wp14:editId="1DC3691D">
          <wp:simplePos x="0" y="0"/>
          <wp:positionH relativeFrom="column">
            <wp:posOffset>-438150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7054A" w14:textId="12DA7591" w:rsidR="006E3A99" w:rsidRDefault="006E3A99"/>
  <w:p w14:paraId="16FECF24" w14:textId="2209A637" w:rsidR="006E3A99" w:rsidRDefault="006E3A99"/>
  <w:p w14:paraId="673A5389" w14:textId="77777777" w:rsidR="006E3A99" w:rsidRDefault="006E3A99"/>
  <w:p w14:paraId="40E728A3" w14:textId="08D40D89" w:rsidR="006E3A99" w:rsidRDefault="006E3A99" w:rsidP="00984334">
    <w:pPr>
      <w:ind w:firstLine="708"/>
    </w:pPr>
  </w:p>
  <w:p w14:paraId="7774AEE2" w14:textId="67F1D2D3" w:rsidR="006E3A99" w:rsidRDefault="006E3A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40D50"/>
    <w:multiLevelType w:val="hybridMultilevel"/>
    <w:tmpl w:val="D7A2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4D8"/>
    <w:rsid w:val="000026C1"/>
    <w:rsid w:val="0001284E"/>
    <w:rsid w:val="00016952"/>
    <w:rsid w:val="0002458C"/>
    <w:rsid w:val="00037D34"/>
    <w:rsid w:val="00041054"/>
    <w:rsid w:val="0004598E"/>
    <w:rsid w:val="00070438"/>
    <w:rsid w:val="00072781"/>
    <w:rsid w:val="000769A1"/>
    <w:rsid w:val="00077647"/>
    <w:rsid w:val="000812F4"/>
    <w:rsid w:val="000B0755"/>
    <w:rsid w:val="000B5559"/>
    <w:rsid w:val="000B68AE"/>
    <w:rsid w:val="000C5C7F"/>
    <w:rsid w:val="000E3C74"/>
    <w:rsid w:val="001008B4"/>
    <w:rsid w:val="0010407D"/>
    <w:rsid w:val="00113758"/>
    <w:rsid w:val="0013027F"/>
    <w:rsid w:val="00137CFD"/>
    <w:rsid w:val="0014528E"/>
    <w:rsid w:val="00147D9E"/>
    <w:rsid w:val="00150F98"/>
    <w:rsid w:val="00152667"/>
    <w:rsid w:val="001610C2"/>
    <w:rsid w:val="00162D9C"/>
    <w:rsid w:val="001661AF"/>
    <w:rsid w:val="001718BB"/>
    <w:rsid w:val="00171AC4"/>
    <w:rsid w:val="0017730C"/>
    <w:rsid w:val="00184906"/>
    <w:rsid w:val="001857EE"/>
    <w:rsid w:val="001872A7"/>
    <w:rsid w:val="001A01EF"/>
    <w:rsid w:val="001A1682"/>
    <w:rsid w:val="001B043C"/>
    <w:rsid w:val="001C38A7"/>
    <w:rsid w:val="001C7DDC"/>
    <w:rsid w:val="001E13F0"/>
    <w:rsid w:val="001E4E47"/>
    <w:rsid w:val="001E73DA"/>
    <w:rsid w:val="001F5460"/>
    <w:rsid w:val="001F6BED"/>
    <w:rsid w:val="0022264D"/>
    <w:rsid w:val="00231524"/>
    <w:rsid w:val="0023511B"/>
    <w:rsid w:val="002365D0"/>
    <w:rsid w:val="00242A8F"/>
    <w:rsid w:val="002436C3"/>
    <w:rsid w:val="00244392"/>
    <w:rsid w:val="00253E98"/>
    <w:rsid w:val="00264274"/>
    <w:rsid w:val="00276993"/>
    <w:rsid w:val="002971C2"/>
    <w:rsid w:val="002B320F"/>
    <w:rsid w:val="002B3EAC"/>
    <w:rsid w:val="002B3FE4"/>
    <w:rsid w:val="002C1C21"/>
    <w:rsid w:val="002C21D2"/>
    <w:rsid w:val="002D190A"/>
    <w:rsid w:val="002D1CE5"/>
    <w:rsid w:val="002D48BE"/>
    <w:rsid w:val="002D745D"/>
    <w:rsid w:val="002E5936"/>
    <w:rsid w:val="002F39DD"/>
    <w:rsid w:val="002F4540"/>
    <w:rsid w:val="002F4E08"/>
    <w:rsid w:val="002F60E7"/>
    <w:rsid w:val="002F7017"/>
    <w:rsid w:val="002F733A"/>
    <w:rsid w:val="00300DB3"/>
    <w:rsid w:val="00301E1C"/>
    <w:rsid w:val="00310836"/>
    <w:rsid w:val="0031648A"/>
    <w:rsid w:val="003211B1"/>
    <w:rsid w:val="00331D33"/>
    <w:rsid w:val="00334AB6"/>
    <w:rsid w:val="00335F9F"/>
    <w:rsid w:val="00337835"/>
    <w:rsid w:val="003405B8"/>
    <w:rsid w:val="003438A7"/>
    <w:rsid w:val="003446F2"/>
    <w:rsid w:val="00345D12"/>
    <w:rsid w:val="003468D9"/>
    <w:rsid w:val="00346C00"/>
    <w:rsid w:val="003520C8"/>
    <w:rsid w:val="00355774"/>
    <w:rsid w:val="0035787B"/>
    <w:rsid w:val="00364977"/>
    <w:rsid w:val="00372135"/>
    <w:rsid w:val="00377930"/>
    <w:rsid w:val="00387C34"/>
    <w:rsid w:val="003B0DCE"/>
    <w:rsid w:val="003B475A"/>
    <w:rsid w:val="003D6A0E"/>
    <w:rsid w:val="003E3FCD"/>
    <w:rsid w:val="003E586F"/>
    <w:rsid w:val="003F4BA3"/>
    <w:rsid w:val="0041054F"/>
    <w:rsid w:val="00414487"/>
    <w:rsid w:val="004216FB"/>
    <w:rsid w:val="004335ED"/>
    <w:rsid w:val="00437E8F"/>
    <w:rsid w:val="004475CD"/>
    <w:rsid w:val="00451F91"/>
    <w:rsid w:val="00464740"/>
    <w:rsid w:val="00466E12"/>
    <w:rsid w:val="00475F80"/>
    <w:rsid w:val="00490399"/>
    <w:rsid w:val="004C05A9"/>
    <w:rsid w:val="004C799A"/>
    <w:rsid w:val="004E3D54"/>
    <w:rsid w:val="004E7AB3"/>
    <w:rsid w:val="004F5805"/>
    <w:rsid w:val="004F5815"/>
    <w:rsid w:val="0050297C"/>
    <w:rsid w:val="0051126F"/>
    <w:rsid w:val="005231F0"/>
    <w:rsid w:val="00526CDD"/>
    <w:rsid w:val="0052709D"/>
    <w:rsid w:val="005377DC"/>
    <w:rsid w:val="00541CDA"/>
    <w:rsid w:val="005468AD"/>
    <w:rsid w:val="005537F6"/>
    <w:rsid w:val="005571AB"/>
    <w:rsid w:val="00574353"/>
    <w:rsid w:val="00590159"/>
    <w:rsid w:val="005A1F0F"/>
    <w:rsid w:val="005A5780"/>
    <w:rsid w:val="005C0301"/>
    <w:rsid w:val="005C2D70"/>
    <w:rsid w:val="005D030A"/>
    <w:rsid w:val="005D1495"/>
    <w:rsid w:val="005E244B"/>
    <w:rsid w:val="005E7FE8"/>
    <w:rsid w:val="006168F7"/>
    <w:rsid w:val="006222FD"/>
    <w:rsid w:val="00637C84"/>
    <w:rsid w:val="00637CA1"/>
    <w:rsid w:val="00644CEA"/>
    <w:rsid w:val="00657B6A"/>
    <w:rsid w:val="006709B7"/>
    <w:rsid w:val="00673B10"/>
    <w:rsid w:val="006747BD"/>
    <w:rsid w:val="00685450"/>
    <w:rsid w:val="006A65EC"/>
    <w:rsid w:val="006A6B2C"/>
    <w:rsid w:val="006B528A"/>
    <w:rsid w:val="006B7D8F"/>
    <w:rsid w:val="006C4F1D"/>
    <w:rsid w:val="006D2EFB"/>
    <w:rsid w:val="006D6DE5"/>
    <w:rsid w:val="006E0325"/>
    <w:rsid w:val="006E30FE"/>
    <w:rsid w:val="006E34DC"/>
    <w:rsid w:val="006E3A99"/>
    <w:rsid w:val="006E5990"/>
    <w:rsid w:val="006F09D5"/>
    <w:rsid w:val="006F39E0"/>
    <w:rsid w:val="006F3BFD"/>
    <w:rsid w:val="006F4350"/>
    <w:rsid w:val="006F6056"/>
    <w:rsid w:val="006F72EF"/>
    <w:rsid w:val="0070349D"/>
    <w:rsid w:val="007042E5"/>
    <w:rsid w:val="007051F8"/>
    <w:rsid w:val="00710A5E"/>
    <w:rsid w:val="00714B02"/>
    <w:rsid w:val="00720A75"/>
    <w:rsid w:val="0072379F"/>
    <w:rsid w:val="00725618"/>
    <w:rsid w:val="007452C1"/>
    <w:rsid w:val="00756A01"/>
    <w:rsid w:val="00767319"/>
    <w:rsid w:val="007704A4"/>
    <w:rsid w:val="0077585D"/>
    <w:rsid w:val="00794B24"/>
    <w:rsid w:val="007A002C"/>
    <w:rsid w:val="007B58FC"/>
    <w:rsid w:val="007D0B3B"/>
    <w:rsid w:val="007E40F3"/>
    <w:rsid w:val="00805DF6"/>
    <w:rsid w:val="00806733"/>
    <w:rsid w:val="00821F16"/>
    <w:rsid w:val="008301AA"/>
    <w:rsid w:val="00841A2A"/>
    <w:rsid w:val="0084396A"/>
    <w:rsid w:val="00843DE4"/>
    <w:rsid w:val="00850F2C"/>
    <w:rsid w:val="008517F9"/>
    <w:rsid w:val="00851887"/>
    <w:rsid w:val="00854B7B"/>
    <w:rsid w:val="00865016"/>
    <w:rsid w:val="00866834"/>
    <w:rsid w:val="00867CB5"/>
    <w:rsid w:val="00873CF9"/>
    <w:rsid w:val="00875566"/>
    <w:rsid w:val="008A2AF3"/>
    <w:rsid w:val="008A439D"/>
    <w:rsid w:val="008B2062"/>
    <w:rsid w:val="008B4DBE"/>
    <w:rsid w:val="008C1729"/>
    <w:rsid w:val="008C4A84"/>
    <w:rsid w:val="008C75DD"/>
    <w:rsid w:val="008D1CDD"/>
    <w:rsid w:val="008D3173"/>
    <w:rsid w:val="008D6576"/>
    <w:rsid w:val="008E04B2"/>
    <w:rsid w:val="008E058F"/>
    <w:rsid w:val="008E5144"/>
    <w:rsid w:val="008F209D"/>
    <w:rsid w:val="008F362C"/>
    <w:rsid w:val="009154F2"/>
    <w:rsid w:val="00915947"/>
    <w:rsid w:val="00915C18"/>
    <w:rsid w:val="0092387C"/>
    <w:rsid w:val="00943829"/>
    <w:rsid w:val="00946B5F"/>
    <w:rsid w:val="00950A57"/>
    <w:rsid w:val="00954066"/>
    <w:rsid w:val="00954F60"/>
    <w:rsid w:val="00970D51"/>
    <w:rsid w:val="00984334"/>
    <w:rsid w:val="00996627"/>
    <w:rsid w:val="009A1C6C"/>
    <w:rsid w:val="009C0766"/>
    <w:rsid w:val="009C1715"/>
    <w:rsid w:val="009C56EE"/>
    <w:rsid w:val="009C62D6"/>
    <w:rsid w:val="009D3E46"/>
    <w:rsid w:val="009D4C4D"/>
    <w:rsid w:val="009D75D3"/>
    <w:rsid w:val="009E4A7E"/>
    <w:rsid w:val="009F0C72"/>
    <w:rsid w:val="009F347B"/>
    <w:rsid w:val="009F5B2B"/>
    <w:rsid w:val="00A11066"/>
    <w:rsid w:val="00A302D6"/>
    <w:rsid w:val="00A31B54"/>
    <w:rsid w:val="00A350A7"/>
    <w:rsid w:val="00A36DD2"/>
    <w:rsid w:val="00A36F46"/>
    <w:rsid w:val="00A4363C"/>
    <w:rsid w:val="00A51245"/>
    <w:rsid w:val="00A72BE7"/>
    <w:rsid w:val="00A7543E"/>
    <w:rsid w:val="00A767F6"/>
    <w:rsid w:val="00A8192B"/>
    <w:rsid w:val="00A85D65"/>
    <w:rsid w:val="00A87FFE"/>
    <w:rsid w:val="00A94C25"/>
    <w:rsid w:val="00AA1576"/>
    <w:rsid w:val="00AA4FB6"/>
    <w:rsid w:val="00AA5279"/>
    <w:rsid w:val="00AC2258"/>
    <w:rsid w:val="00AC4808"/>
    <w:rsid w:val="00AC60F3"/>
    <w:rsid w:val="00AC7ACC"/>
    <w:rsid w:val="00AD112C"/>
    <w:rsid w:val="00AD3E35"/>
    <w:rsid w:val="00AE025A"/>
    <w:rsid w:val="00AE67A6"/>
    <w:rsid w:val="00AE6E1C"/>
    <w:rsid w:val="00AE7D12"/>
    <w:rsid w:val="00AF3176"/>
    <w:rsid w:val="00B106EC"/>
    <w:rsid w:val="00B31D3F"/>
    <w:rsid w:val="00B321B6"/>
    <w:rsid w:val="00B3418A"/>
    <w:rsid w:val="00B35B63"/>
    <w:rsid w:val="00B47477"/>
    <w:rsid w:val="00B47FF0"/>
    <w:rsid w:val="00B60E67"/>
    <w:rsid w:val="00B61F8A"/>
    <w:rsid w:val="00B629E5"/>
    <w:rsid w:val="00B73EA4"/>
    <w:rsid w:val="00B773F1"/>
    <w:rsid w:val="00B976FD"/>
    <w:rsid w:val="00BA4962"/>
    <w:rsid w:val="00BB3391"/>
    <w:rsid w:val="00BD191D"/>
    <w:rsid w:val="00BD6260"/>
    <w:rsid w:val="00BE1AC0"/>
    <w:rsid w:val="00BE47DD"/>
    <w:rsid w:val="00BF191F"/>
    <w:rsid w:val="00BF70D1"/>
    <w:rsid w:val="00BF7242"/>
    <w:rsid w:val="00C030CB"/>
    <w:rsid w:val="00C13DD4"/>
    <w:rsid w:val="00C15FB1"/>
    <w:rsid w:val="00C22D2A"/>
    <w:rsid w:val="00C25E6E"/>
    <w:rsid w:val="00C277A7"/>
    <w:rsid w:val="00C359D8"/>
    <w:rsid w:val="00C445F7"/>
    <w:rsid w:val="00C5064F"/>
    <w:rsid w:val="00C5111A"/>
    <w:rsid w:val="00C67FB8"/>
    <w:rsid w:val="00C822F4"/>
    <w:rsid w:val="00CA3C10"/>
    <w:rsid w:val="00CA65C8"/>
    <w:rsid w:val="00CC4824"/>
    <w:rsid w:val="00CC687C"/>
    <w:rsid w:val="00CD113F"/>
    <w:rsid w:val="00CD3939"/>
    <w:rsid w:val="00CE03AC"/>
    <w:rsid w:val="00CE1BB7"/>
    <w:rsid w:val="00CF3E86"/>
    <w:rsid w:val="00CF51E1"/>
    <w:rsid w:val="00D005B3"/>
    <w:rsid w:val="00D02B02"/>
    <w:rsid w:val="00D06D36"/>
    <w:rsid w:val="00D13039"/>
    <w:rsid w:val="00D141CD"/>
    <w:rsid w:val="00D311E9"/>
    <w:rsid w:val="00D37160"/>
    <w:rsid w:val="00D40690"/>
    <w:rsid w:val="00D42905"/>
    <w:rsid w:val="00D45641"/>
    <w:rsid w:val="00D6359F"/>
    <w:rsid w:val="00D67487"/>
    <w:rsid w:val="00D67F29"/>
    <w:rsid w:val="00D70D1B"/>
    <w:rsid w:val="00D85799"/>
    <w:rsid w:val="00D92A09"/>
    <w:rsid w:val="00DA57D6"/>
    <w:rsid w:val="00DC698D"/>
    <w:rsid w:val="00DD05AD"/>
    <w:rsid w:val="00DD60D6"/>
    <w:rsid w:val="00DD77D2"/>
    <w:rsid w:val="00DE42E7"/>
    <w:rsid w:val="00E07D82"/>
    <w:rsid w:val="00E12E34"/>
    <w:rsid w:val="00E14065"/>
    <w:rsid w:val="00E14964"/>
    <w:rsid w:val="00E20CD9"/>
    <w:rsid w:val="00E23BC8"/>
    <w:rsid w:val="00E32509"/>
    <w:rsid w:val="00E332FF"/>
    <w:rsid w:val="00E339B5"/>
    <w:rsid w:val="00E37D10"/>
    <w:rsid w:val="00E421A9"/>
    <w:rsid w:val="00E641EB"/>
    <w:rsid w:val="00E767E7"/>
    <w:rsid w:val="00E81E48"/>
    <w:rsid w:val="00E86BFC"/>
    <w:rsid w:val="00E86ED1"/>
    <w:rsid w:val="00E87518"/>
    <w:rsid w:val="00E8789D"/>
    <w:rsid w:val="00E94717"/>
    <w:rsid w:val="00E96D53"/>
    <w:rsid w:val="00EA2637"/>
    <w:rsid w:val="00EA7482"/>
    <w:rsid w:val="00EC6D8C"/>
    <w:rsid w:val="00ED299B"/>
    <w:rsid w:val="00EE07BE"/>
    <w:rsid w:val="00EE493C"/>
    <w:rsid w:val="00EF3CDE"/>
    <w:rsid w:val="00F13DDF"/>
    <w:rsid w:val="00F156F4"/>
    <w:rsid w:val="00F21E8C"/>
    <w:rsid w:val="00F26ECD"/>
    <w:rsid w:val="00F33D93"/>
    <w:rsid w:val="00F456E2"/>
    <w:rsid w:val="00F63136"/>
    <w:rsid w:val="00F7060A"/>
    <w:rsid w:val="00F8074A"/>
    <w:rsid w:val="00F85535"/>
    <w:rsid w:val="00F903C3"/>
    <w:rsid w:val="00FB1A13"/>
    <w:rsid w:val="00FB233D"/>
    <w:rsid w:val="00FB31CA"/>
    <w:rsid w:val="00FC21C0"/>
    <w:rsid w:val="00FC5942"/>
    <w:rsid w:val="00FD52BA"/>
    <w:rsid w:val="00FF6EC4"/>
    <w:rsid w:val="00FF741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1A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3A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A99"/>
    <w:rPr>
      <w:color w:val="161616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DD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DD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8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8F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8F"/>
    <w:rPr>
      <w:b/>
      <w:bCs/>
      <w:color w:val="1616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lina.kochalska@big.p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yperlink" Target="mailto:diana.borowiecka@big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handel_wykres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handel_wykres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handel_wykres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handel_wykres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Zadłużenie branży handlowej</a:t>
            </a:r>
          </a:p>
        </c:rich>
      </c:tx>
      <c:layout>
        <c:manualLayout>
          <c:xMode val="edge"/>
          <c:yMode val="edge"/>
          <c:x val="0.36329181717697728"/>
          <c:y val="3.38983050847457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1.1132138483802739E-2"/>
          <c:y val="2.9017749899906579E-2"/>
          <c:w val="0.97773572303239453"/>
          <c:h val="0.80574936607500336"/>
        </c:manualLayout>
      </c:layout>
      <c:barChart>
        <c:barDir val="col"/>
        <c:grouping val="clustered"/>
        <c:varyColors val="0"/>
        <c:ser>
          <c:idx val="4"/>
          <c:order val="1"/>
          <c:tx>
            <c:strRef>
              <c:f>Arkusz1!$B$25</c:f>
              <c:strCache>
                <c:ptCount val="1"/>
                <c:pt idx="0">
                  <c:v>III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1AEC261-201A-41DE-9200-3FD0B4E050F3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9F78-4E23-8361-810C99CDFA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CD9BEAA-9A42-483F-84FE-A6948D155248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9F78-4E23-8361-810C99CDFA1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17E7BED-FDB0-42AF-85D1-3722D8E8265D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9F78-4E23-8361-810C99CDF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Arkusz1!$A$26:$A$28</c:f>
              <c:strCache>
                <c:ptCount val="3"/>
                <c:pt idx="0">
                  <c:v>Handel hurtowy</c:v>
                </c:pt>
                <c:pt idx="1">
                  <c:v>Handel detaliczny</c:v>
                </c:pt>
                <c:pt idx="2">
                  <c:v>Handel hurtowy i detaliczny pojazdami samochodowymi, naprawa</c:v>
                </c:pt>
              </c:strCache>
            </c:strRef>
          </c:cat>
          <c:val>
            <c:numRef>
              <c:f>Arkusz1!$B$26:$B$28</c:f>
              <c:numCache>
                <c:formatCode>#\ ##0.00\ \ \ " mld zł"</c:formatCode>
                <c:ptCount val="3"/>
                <c:pt idx="0">
                  <c:v>4226342121</c:v>
                </c:pt>
                <c:pt idx="1">
                  <c:v>2423931665</c:v>
                </c:pt>
                <c:pt idx="2">
                  <c:v>1104472402.7020738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Arkusz1!$B$26:$B$28</c15:f>
                <c15:dlblRangeCache>
                  <c:ptCount val="3"/>
                  <c:pt idx="0">
                    <c:v>4,23 mld zł</c:v>
                  </c:pt>
                  <c:pt idx="1">
                    <c:v>2,42 mld zł</c:v>
                  </c:pt>
                  <c:pt idx="2">
                    <c:v>1,10 mld zł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3-9F78-4E23-8361-810C99CDFA18}"/>
            </c:ext>
          </c:extLst>
        </c:ser>
        <c:ser>
          <c:idx val="2"/>
          <c:order val="2"/>
          <c:tx>
            <c:strRef>
              <c:f>Arkusz1!$C$25</c:f>
              <c:strCache>
                <c:ptCount val="1"/>
                <c:pt idx="0">
                  <c:v>VII 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E2AD112-68A5-4BD6-A047-CA7AA17BC31B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9F78-4E23-8361-810C99CDFA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55A6289-138D-4D4E-8D81-CF824F9F2CFD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9F78-4E23-8361-810C99CDFA1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297F6D9-983D-4E7E-835C-D3E13B3775CA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9F78-4E23-8361-810C99CDF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Arkusz1!$A$26:$A$28</c:f>
              <c:strCache>
                <c:ptCount val="3"/>
                <c:pt idx="0">
                  <c:v>Handel hurtowy</c:v>
                </c:pt>
                <c:pt idx="1">
                  <c:v>Handel detaliczny</c:v>
                </c:pt>
                <c:pt idx="2">
                  <c:v>Handel hurtowy i detaliczny pojazdami samochodowymi, naprawa</c:v>
                </c:pt>
              </c:strCache>
            </c:strRef>
          </c:cat>
          <c:val>
            <c:numRef>
              <c:f>Arkusz1!$C$26:$C$28</c:f>
              <c:numCache>
                <c:formatCode>#\ ##0.00\ \ \ " mld zł"</c:formatCode>
                <c:ptCount val="3"/>
                <c:pt idx="0">
                  <c:v>4325532239.181119</c:v>
                </c:pt>
                <c:pt idx="1">
                  <c:v>2503595872.2669148</c:v>
                </c:pt>
                <c:pt idx="2">
                  <c:v>1158842207.4244039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Arkusz1!$C$26:$C$28</c15:f>
                <c15:dlblRangeCache>
                  <c:ptCount val="3"/>
                  <c:pt idx="0">
                    <c:v>4,33 mld zł</c:v>
                  </c:pt>
                  <c:pt idx="1">
                    <c:v>2,50 mld zł</c:v>
                  </c:pt>
                  <c:pt idx="2">
                    <c:v>1,16 mld zł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9F78-4E23-8361-810C99CDFA18}"/>
            </c:ext>
          </c:extLst>
        </c:ser>
        <c:ser>
          <c:idx val="0"/>
          <c:order val="3"/>
          <c:tx>
            <c:strRef>
              <c:f>Arkusz1!$D$25</c:f>
              <c:strCache>
                <c:ptCount val="1"/>
                <c:pt idx="0">
                  <c:v>VII 2021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2EEAAD1-BECE-4C95-9A24-74EC29775A83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9F78-4E23-8361-810C99CDFA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F6EF723-3583-4CEA-9E0E-ACADD6CDDC21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9F78-4E23-8361-810C99CDFA1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0D27CC7-578E-4143-95D8-92FB82AAA05E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9F78-4E23-8361-810C99CDF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Arkusz1!$A$26:$A$28</c:f>
              <c:strCache>
                <c:ptCount val="3"/>
                <c:pt idx="0">
                  <c:v>Handel hurtowy</c:v>
                </c:pt>
                <c:pt idx="1">
                  <c:v>Handel detaliczny</c:v>
                </c:pt>
                <c:pt idx="2">
                  <c:v>Handel hurtowy i detaliczny pojazdami samochodowymi, naprawa</c:v>
                </c:pt>
              </c:strCache>
            </c:strRef>
          </c:cat>
          <c:val>
            <c:numRef>
              <c:f>Arkusz1!$D$26:$D$28</c:f>
              <c:numCache>
                <c:formatCode>#\ ##0.00\ \ \ " mld zł"</c:formatCode>
                <c:ptCount val="3"/>
                <c:pt idx="0">
                  <c:v>4590138098.8390598</c:v>
                </c:pt>
                <c:pt idx="1">
                  <c:v>2618216122.344058</c:v>
                </c:pt>
                <c:pt idx="2">
                  <c:v>1186153693.6661401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Arkusz1!$D$26:$D$28</c15:f>
                <c15:dlblRangeCache>
                  <c:ptCount val="3"/>
                  <c:pt idx="0">
                    <c:v>4,59 mld zł</c:v>
                  </c:pt>
                  <c:pt idx="1">
                    <c:v>2,62 mld zł</c:v>
                  </c:pt>
                  <c:pt idx="2">
                    <c:v>1,19 mld zł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B-9F78-4E23-8361-810C99CDFA1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"/>
        <c:overlap val="-10"/>
        <c:axId val="450568264"/>
        <c:axId val="450571216"/>
        <c:extLst>
          <c:ext xmlns:c15="http://schemas.microsoft.com/office/drawing/2012/chart" uri="{02D57815-91ED-43cb-92C2-25804820EDAC}">
            <c15:filteredBar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Arkusz1!$A$26:$A$28</c15:sqref>
                        </c15:formulaRef>
                      </c:ext>
                    </c:extLst>
                    <c:strCache>
                      <c:ptCount val="3"/>
                      <c:pt idx="0">
                        <c:v>Handel hurtowy</c:v>
                      </c:pt>
                      <c:pt idx="1">
                        <c:v>Handel detaliczny</c:v>
                      </c:pt>
                      <c:pt idx="2">
                        <c:v>Handel hurtowy i detaliczny pojazdami samochodowymi, naprawa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9F78-4E23-8361-810C99CDFA18}"/>
                  </c:ext>
                </c:extLst>
              </c15:ser>
            </c15:filteredBarSeries>
            <c15:filteredBarSeries>
              <c15:ser>
                <c:idx val="3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Arkusz1!$A$26:$A$28</c15:sqref>
                        </c15:formulaRef>
                      </c:ext>
                    </c:extLst>
                    <c:strCache>
                      <c:ptCount val="3"/>
                      <c:pt idx="0">
                        <c:v>Handel hurtowy</c:v>
                      </c:pt>
                      <c:pt idx="1">
                        <c:v>Handel detaliczny</c:v>
                      </c:pt>
                      <c:pt idx="2">
                        <c:v>Handel hurtowy i detaliczny pojazdami samochodowymi, naprawa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9F78-4E23-8361-810C99CDFA18}"/>
                  </c:ext>
                </c:extLst>
              </c15:ser>
            </c15:filteredBarSeries>
          </c:ext>
        </c:extLst>
      </c:barChart>
      <c:catAx>
        <c:axId val="45056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0571216"/>
        <c:crosses val="autoZero"/>
        <c:auto val="1"/>
        <c:lblAlgn val="ctr"/>
        <c:lblOffset val="100"/>
        <c:noMultiLvlLbl val="0"/>
      </c:catAx>
      <c:valAx>
        <c:axId val="450571216"/>
        <c:scaling>
          <c:orientation val="minMax"/>
        </c:scaling>
        <c:delete val="1"/>
        <c:axPos val="l"/>
        <c:numFmt formatCode="#\ ##0.00\ \ \ &quot; mld zł&quot;" sourceLinked="1"/>
        <c:majorTickMark val="out"/>
        <c:minorTickMark val="none"/>
        <c:tickLblPos val="nextTo"/>
        <c:crossAx val="450568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041209949502155"/>
          <c:y val="0.1579855643044619"/>
          <c:w val="0.31148109158068477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u="none" strike="noStrike" cap="small" baseline="0">
                <a:effectLst/>
              </a:rPr>
              <a:t>Czy klienci płacą faktury po terminie?</a:t>
            </a:r>
            <a:r>
              <a:rPr lang="pl-PL" sz="1000" b="1" i="0" u="none" strike="noStrike" cap="small" baseline="0"/>
              <a:t> </a:t>
            </a:r>
            <a:endParaRPr lang="pl-PL" sz="1000" b="1" i="0" cap="small" baseline="0"/>
          </a:p>
        </c:rich>
      </c:tx>
      <c:layout>
        <c:manualLayout>
          <c:xMode val="edge"/>
          <c:yMode val="edge"/>
          <c:x val="0.32418482411920729"/>
          <c:y val="1.50007012482218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1323876884071354"/>
          <c:y val="0.11406944360962513"/>
          <c:w val="0.86253482437589257"/>
          <c:h val="0.799534371180701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Arkusz1!$B$52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Arkusz1!$C$51:$H$51</c:f>
              <c:strCache>
                <c:ptCount val="6"/>
                <c:pt idx="0">
                  <c:v>Budowlana</c:v>
                </c:pt>
                <c:pt idx="1">
                  <c:v>Przemysł</c:v>
                </c:pt>
                <c:pt idx="2">
                  <c:v>Transport</c:v>
                </c:pt>
                <c:pt idx="3">
                  <c:v>Usługi</c:v>
                </c:pt>
                <c:pt idx="4">
                  <c:v>Handel</c:v>
                </c:pt>
                <c:pt idx="5">
                  <c:v>Ogółem</c:v>
                </c:pt>
              </c:strCache>
            </c:strRef>
          </c:cat>
          <c:val>
            <c:numRef>
              <c:f>Arkusz1!$C$52:$H$52</c:f>
              <c:numCache>
                <c:formatCode>0.00%</c:formatCode>
                <c:ptCount val="6"/>
                <c:pt idx="0">
                  <c:v>0.42299999999999999</c:v>
                </c:pt>
                <c:pt idx="1">
                  <c:v>0.14499999999999999</c:v>
                </c:pt>
                <c:pt idx="2">
                  <c:v>0.20300000000000001</c:v>
                </c:pt>
                <c:pt idx="3">
                  <c:v>0.252</c:v>
                </c:pt>
                <c:pt idx="4">
                  <c:v>8.1000000000000003E-2</c:v>
                </c:pt>
                <c:pt idx="5">
                  <c:v>0.193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FB-46B7-B88D-37AA81DC06E3}"/>
            </c:ext>
          </c:extLst>
        </c:ser>
        <c:ser>
          <c:idx val="1"/>
          <c:order val="1"/>
          <c:tx>
            <c:strRef>
              <c:f>Arkusz1!$B$53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Arkusz1!$C$51:$H$51</c:f>
              <c:strCache>
                <c:ptCount val="6"/>
                <c:pt idx="0">
                  <c:v>Budowlana</c:v>
                </c:pt>
                <c:pt idx="1">
                  <c:v>Przemysł</c:v>
                </c:pt>
                <c:pt idx="2">
                  <c:v>Transport</c:v>
                </c:pt>
                <c:pt idx="3">
                  <c:v>Usługi</c:v>
                </c:pt>
                <c:pt idx="4">
                  <c:v>Handel</c:v>
                </c:pt>
                <c:pt idx="5">
                  <c:v>Ogółem</c:v>
                </c:pt>
              </c:strCache>
            </c:strRef>
          </c:cat>
          <c:val>
            <c:numRef>
              <c:f>Arkusz1!$C$53:$H$53</c:f>
              <c:numCache>
                <c:formatCode>0.00%</c:formatCode>
                <c:ptCount val="6"/>
                <c:pt idx="0">
                  <c:v>0.57699999999999996</c:v>
                </c:pt>
                <c:pt idx="1">
                  <c:v>0.85499999999999998</c:v>
                </c:pt>
                <c:pt idx="2">
                  <c:v>0.79700000000000004</c:v>
                </c:pt>
                <c:pt idx="3">
                  <c:v>0.748</c:v>
                </c:pt>
                <c:pt idx="4">
                  <c:v>0.91900000000000004</c:v>
                </c:pt>
                <c:pt idx="5">
                  <c:v>0.80700000000000005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FB-46B7-B88D-37AA81DC06E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0"/>
        <c:overlap val="100"/>
        <c:axId val="452616336"/>
        <c:axId val="452619288"/>
      </c:barChart>
      <c:catAx>
        <c:axId val="452616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2619288"/>
        <c:crosses val="autoZero"/>
        <c:auto val="1"/>
        <c:lblAlgn val="ctr"/>
        <c:lblOffset val="100"/>
        <c:noMultiLvlLbl val="0"/>
      </c:catAx>
      <c:valAx>
        <c:axId val="452619288"/>
        <c:scaling>
          <c:orientation val="minMax"/>
          <c:max val="1"/>
        </c:scaling>
        <c:delete val="1"/>
        <c:axPos val="b"/>
        <c:numFmt formatCode="0.0%" sourceLinked="0"/>
        <c:majorTickMark val="none"/>
        <c:minorTickMark val="none"/>
        <c:tickLblPos val="nextTo"/>
        <c:crossAx val="45261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06498989410268"/>
          <c:y val="0.92187445319335082"/>
          <c:w val="0.11870002870057497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Należności przeterminowane o ponad 60 dni </a:t>
            </a:r>
            <a:r>
              <a:rPr lang="pl-PL" sz="1000" b="1" i="0" u="none" strike="noStrike" cap="small" baseline="0">
                <a:effectLst/>
              </a:rPr>
              <a:t>w ostatnich 6 miesiącach</a:t>
            </a:r>
            <a:endParaRPr lang="pl-PL" sz="1000" b="1" i="0" cap="small" baseline="0"/>
          </a:p>
        </c:rich>
      </c:tx>
      <c:layout>
        <c:manualLayout>
          <c:xMode val="edge"/>
          <c:yMode val="edge"/>
          <c:x val="0.12409896746541985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8903006791012608"/>
          <c:y val="0.17171296296296298"/>
          <c:w val="0.75480870268189026"/>
          <c:h val="0.7399843248760572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Arkusz1!$B$58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Arkusz1!$C$57:$H$57</c:f>
              <c:strCache>
                <c:ptCount val="6"/>
                <c:pt idx="0">
                  <c:v>Budowlana</c:v>
                </c:pt>
                <c:pt idx="1">
                  <c:v>Usługi</c:v>
                </c:pt>
                <c:pt idx="2">
                  <c:v>Przemysł</c:v>
                </c:pt>
                <c:pt idx="3">
                  <c:v>Transport</c:v>
                </c:pt>
                <c:pt idx="4">
                  <c:v>Handel</c:v>
                </c:pt>
                <c:pt idx="5">
                  <c:v>Ogółem</c:v>
                </c:pt>
              </c:strCache>
            </c:strRef>
          </c:cat>
          <c:val>
            <c:numRef>
              <c:f>Arkusz1!$C$58:$H$58</c:f>
              <c:numCache>
                <c:formatCode>0.00%</c:formatCode>
                <c:ptCount val="6"/>
                <c:pt idx="0">
                  <c:v>0.80800000000000005</c:v>
                </c:pt>
                <c:pt idx="1">
                  <c:v>0.69399999999999995</c:v>
                </c:pt>
                <c:pt idx="2">
                  <c:v>0.69099999999999995</c:v>
                </c:pt>
                <c:pt idx="3">
                  <c:v>0.57799999999999996</c:v>
                </c:pt>
                <c:pt idx="4">
                  <c:v>0.48</c:v>
                </c:pt>
                <c:pt idx="5">
                  <c:v>0.63300000000000001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23-49E2-B044-7DA4044999F1}"/>
            </c:ext>
          </c:extLst>
        </c:ser>
        <c:ser>
          <c:idx val="1"/>
          <c:order val="1"/>
          <c:tx>
            <c:strRef>
              <c:f>Arkusz1!$B$59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23-49E2-B044-7DA4044999F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23-49E2-B044-7DA4044999F1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Arkusz1!$C$57:$H$57</c:f>
              <c:strCache>
                <c:ptCount val="6"/>
                <c:pt idx="0">
                  <c:v>Budowlana</c:v>
                </c:pt>
                <c:pt idx="1">
                  <c:v>Usługi</c:v>
                </c:pt>
                <c:pt idx="2">
                  <c:v>Przemysł</c:v>
                </c:pt>
                <c:pt idx="3">
                  <c:v>Transport</c:v>
                </c:pt>
                <c:pt idx="4">
                  <c:v>Handel</c:v>
                </c:pt>
                <c:pt idx="5">
                  <c:v>Ogółem</c:v>
                </c:pt>
              </c:strCache>
            </c:strRef>
          </c:cat>
          <c:val>
            <c:numRef>
              <c:f>Arkusz1!$C$59:$H$59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1.7999999999999999E-2</c:v>
                </c:pt>
                <c:pt idx="3">
                  <c:v>6.2E-2</c:v>
                </c:pt>
                <c:pt idx="4">
                  <c:v>3.3000000000000002E-2</c:v>
                </c:pt>
                <c:pt idx="5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23-49E2-B044-7DA4044999F1}"/>
            </c:ext>
          </c:extLst>
        </c:ser>
        <c:ser>
          <c:idx val="2"/>
          <c:order val="2"/>
          <c:tx>
            <c:strRef>
              <c:f>Arkusz1!$B$60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Arkusz1!$C$57:$H$57</c:f>
              <c:strCache>
                <c:ptCount val="6"/>
                <c:pt idx="0">
                  <c:v>Budowlana</c:v>
                </c:pt>
                <c:pt idx="1">
                  <c:v>Usługi</c:v>
                </c:pt>
                <c:pt idx="2">
                  <c:v>Przemysł</c:v>
                </c:pt>
                <c:pt idx="3">
                  <c:v>Transport</c:v>
                </c:pt>
                <c:pt idx="4">
                  <c:v>Handel</c:v>
                </c:pt>
                <c:pt idx="5">
                  <c:v>Ogółem</c:v>
                </c:pt>
              </c:strCache>
            </c:strRef>
          </c:cat>
          <c:val>
            <c:numRef>
              <c:f>Arkusz1!$C$60:$H$60</c:f>
              <c:numCache>
                <c:formatCode>0.00%</c:formatCode>
                <c:ptCount val="6"/>
                <c:pt idx="0">
                  <c:v>0.192</c:v>
                </c:pt>
                <c:pt idx="1">
                  <c:v>0.30599999999999999</c:v>
                </c:pt>
                <c:pt idx="2">
                  <c:v>0.29099999999999998</c:v>
                </c:pt>
                <c:pt idx="3">
                  <c:v>0.35899999999999999</c:v>
                </c:pt>
                <c:pt idx="4">
                  <c:v>0.48799999999999999</c:v>
                </c:pt>
                <c:pt idx="5">
                  <c:v>0.34599999999999997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23-49E2-B044-7DA4044999F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0"/>
        <c:overlap val="100"/>
        <c:axId val="440661344"/>
        <c:axId val="440662000"/>
      </c:barChart>
      <c:catAx>
        <c:axId val="440661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0662000"/>
        <c:crosses val="autoZero"/>
        <c:auto val="1"/>
        <c:lblAlgn val="ctr"/>
        <c:lblOffset val="100"/>
        <c:noMultiLvlLbl val="0"/>
      </c:catAx>
      <c:valAx>
        <c:axId val="440662000"/>
        <c:scaling>
          <c:orientation val="minMax"/>
          <c:max val="1"/>
        </c:scaling>
        <c:delete val="1"/>
        <c:axPos val="b"/>
        <c:numFmt formatCode="0.00%" sourceLinked="1"/>
        <c:majorTickMark val="none"/>
        <c:minorTickMark val="none"/>
        <c:tickLblPos val="nextTo"/>
        <c:crossAx val="44066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942355393769807"/>
          <c:y val="0.92187445319335082"/>
          <c:w val="0.41781340745615447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Należności płacone w terminie lub z drobnymi opóźnieniami (do 30 dni)</a:t>
            </a:r>
          </a:p>
        </c:rich>
      </c:tx>
      <c:layout>
        <c:manualLayout>
          <c:xMode val="edge"/>
          <c:yMode val="edge"/>
          <c:x val="0.11680390684000705"/>
          <c:y val="1.65929203539823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7171296296296296"/>
          <c:w val="1"/>
          <c:h val="0.7409022309711286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Arkusz1!$B$61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Arkusz1!$C$61:$H$61</c:f>
              <c:numCache>
                <c:formatCode>0.00%</c:formatCode>
                <c:ptCount val="6"/>
                <c:pt idx="0">
                  <c:v>0.26900000000000002</c:v>
                </c:pt>
                <c:pt idx="1">
                  <c:v>0.45900000000000002</c:v>
                </c:pt>
                <c:pt idx="2">
                  <c:v>0.6</c:v>
                </c:pt>
                <c:pt idx="3">
                  <c:v>0.54700000000000004</c:v>
                </c:pt>
                <c:pt idx="4">
                  <c:v>0.70699999999999996</c:v>
                </c:pt>
                <c:pt idx="5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B7-4369-9F48-13FE788D1B77}"/>
            </c:ext>
          </c:extLst>
        </c:ser>
        <c:ser>
          <c:idx val="1"/>
          <c:order val="1"/>
          <c:tx>
            <c:strRef>
              <c:f>Arkusz1!$B$62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B7-4369-9F48-13FE788D1B7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B7-4369-9F48-13FE788D1B7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B7-4369-9F48-13FE788D1B7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Arkusz1!$C$62:$H$62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6.2E-2</c:v>
                </c:pt>
                <c:pt idx="4">
                  <c:v>1.6E-2</c:v>
                </c:pt>
                <c:pt idx="5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B7-4369-9F48-13FE788D1B77}"/>
            </c:ext>
          </c:extLst>
        </c:ser>
        <c:ser>
          <c:idx val="2"/>
          <c:order val="2"/>
          <c:tx>
            <c:strRef>
              <c:f>Arkusz1!$B$63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Arkusz1!$C$63:$H$63</c:f>
              <c:numCache>
                <c:formatCode>0.00%</c:formatCode>
                <c:ptCount val="6"/>
                <c:pt idx="0">
                  <c:v>0.73099999999999998</c:v>
                </c:pt>
                <c:pt idx="1">
                  <c:v>0.54100000000000004</c:v>
                </c:pt>
                <c:pt idx="2">
                  <c:v>0.4</c:v>
                </c:pt>
                <c:pt idx="3">
                  <c:v>0.39100000000000001</c:v>
                </c:pt>
                <c:pt idx="4">
                  <c:v>0.27600000000000002</c:v>
                </c:pt>
                <c:pt idx="5">
                  <c:v>0.437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B7-4369-9F48-13FE788D1B7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0"/>
        <c:overlap val="100"/>
        <c:axId val="510019104"/>
        <c:axId val="510019432"/>
      </c:barChart>
      <c:catAx>
        <c:axId val="510019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0019432"/>
        <c:crosses val="autoZero"/>
        <c:auto val="1"/>
        <c:lblAlgn val="ctr"/>
        <c:lblOffset val="100"/>
        <c:noMultiLvlLbl val="0"/>
      </c:catAx>
      <c:valAx>
        <c:axId val="510019432"/>
        <c:scaling>
          <c:orientation val="minMax"/>
          <c:max val="1"/>
        </c:scaling>
        <c:delete val="1"/>
        <c:axPos val="b"/>
        <c:numFmt formatCode="0.00%" sourceLinked="1"/>
        <c:majorTickMark val="none"/>
        <c:minorTickMark val="none"/>
        <c:tickLblPos val="nextTo"/>
        <c:crossAx val="51001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0BF5-69A6-4D5E-B01C-2EC7C4A3604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F93F74-6B74-43B6-8F37-6CEA7F2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Borowiecka Diana</cp:lastModifiedBy>
  <cp:revision>10</cp:revision>
  <cp:lastPrinted>2021-09-17T13:55:00Z</cp:lastPrinted>
  <dcterms:created xsi:type="dcterms:W3CDTF">2021-09-30T12:18:00Z</dcterms:created>
  <dcterms:modified xsi:type="dcterms:W3CDTF">2021-10-01T14:57:00Z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889d2ae7-c478-4ecb-8c27-7d97d9cbbc2a</vt:lpwstr>
  </property>
  <property fmtid="{D5CDD505-2E9C-101B-9397-08002B2CF9AE}" pid="3" name="bjSaver">
    <vt:lpwstr>Uyg5cqlL/oeCZ3k668DLYQWGQzJQEVcG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2021-10-01T14:57:10Z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38c331f0-ec41-4ce7-986a-9f7b0d005696</vt:lpwstr>
  </property>
  <property fmtid="{D5CDD505-2E9C-101B-9397-08002B2CF9AE}" pid="13" name="MSIP_Label_1391a466-f120-4668-a5e5-7af4d8a99d82_ContentBits">
    <vt:lpwstr>2</vt:lpwstr>
  </property>
</Properties>
</file>