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2A7A" w14:textId="00B4ACA6" w:rsidR="003E0350" w:rsidRDefault="003E0350" w:rsidP="003E0350">
      <w:pPr>
        <w:spacing w:before="240" w:after="240" w:line="259" w:lineRule="auto"/>
        <w:ind w:left="6373"/>
        <w:jc w:val="right"/>
        <w:rPr>
          <w:sz w:val="22"/>
        </w:rPr>
      </w:pPr>
      <w:r>
        <w:rPr>
          <w:sz w:val="22"/>
        </w:rPr>
        <w:t xml:space="preserve">Warszawa, 5.10.2021 r. </w:t>
      </w:r>
    </w:p>
    <w:p w14:paraId="4AE43627" w14:textId="6BA83F77" w:rsidR="003E0350" w:rsidRDefault="003E0350" w:rsidP="003E0350">
      <w:pPr>
        <w:spacing w:before="480" w:after="480" w:line="259" w:lineRule="auto"/>
        <w:rPr>
          <w:sz w:val="34"/>
          <w:szCs w:val="34"/>
        </w:rPr>
      </w:pPr>
      <w:r w:rsidRPr="002D190A">
        <w:rPr>
          <w:sz w:val="34"/>
          <w:szCs w:val="34"/>
        </w:rPr>
        <w:t>INFORMACJA PRASOWA</w:t>
      </w:r>
    </w:p>
    <w:p w14:paraId="057B314C" w14:textId="56E94DDA" w:rsidR="003E0350" w:rsidRPr="006B6121" w:rsidRDefault="003E0350" w:rsidP="00AD00AB">
      <w:pPr>
        <w:spacing w:after="240" w:line="259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Było m</w:t>
      </w:r>
      <w:r w:rsidRPr="006B6121">
        <w:rPr>
          <w:rFonts w:ascii="Calibri" w:eastAsia="Calibri" w:hAnsi="Calibri" w:cs="Times New Roman"/>
          <w:b/>
          <w:bCs/>
          <w:sz w:val="28"/>
          <w:szCs w:val="28"/>
        </w:rPr>
        <w:t>niej pokus</w:t>
      </w:r>
      <w:r w:rsidR="00D77FBC">
        <w:rPr>
          <w:rFonts w:ascii="Calibri" w:eastAsia="Calibri" w:hAnsi="Calibri" w:cs="Times New Roman"/>
          <w:b/>
          <w:bCs/>
          <w:sz w:val="28"/>
          <w:szCs w:val="28"/>
        </w:rPr>
        <w:t xml:space="preserve"> i zaległości stopniały do</w:t>
      </w:r>
      <w:r w:rsidRPr="006B6121">
        <w:rPr>
          <w:rFonts w:ascii="Calibri" w:eastAsia="Calibri" w:hAnsi="Calibri" w:cs="Times New Roman"/>
          <w:b/>
          <w:bCs/>
          <w:sz w:val="28"/>
          <w:szCs w:val="28"/>
        </w:rPr>
        <w:t xml:space="preserve"> 1 mld zł</w:t>
      </w:r>
      <w:r>
        <w:rPr>
          <w:rFonts w:ascii="Calibri" w:eastAsia="Calibri" w:hAnsi="Calibri" w:cs="Times New Roman"/>
          <w:b/>
          <w:bCs/>
          <w:sz w:val="28"/>
          <w:szCs w:val="28"/>
        </w:rPr>
        <w:t>. Ale życie wraca do normy, a młodzi na uczelnie</w:t>
      </w:r>
    </w:p>
    <w:p w14:paraId="5568F9F1" w14:textId="2D24D0DF" w:rsidR="003E0350" w:rsidRPr="008F24DC" w:rsidRDefault="003E0350" w:rsidP="00AD00AB">
      <w:pPr>
        <w:spacing w:after="240" w:line="259" w:lineRule="auto"/>
        <w:jc w:val="both"/>
        <w:rPr>
          <w:rFonts w:ascii="Calibri" w:eastAsia="Calibri" w:hAnsi="Calibri" w:cs="Times New Roman"/>
          <w:b/>
          <w:bCs/>
          <w:sz w:val="22"/>
        </w:rPr>
      </w:pPr>
      <w:r>
        <w:rPr>
          <w:rFonts w:ascii="Calibri" w:eastAsia="Calibri" w:hAnsi="Calibri" w:cs="Times New Roman"/>
          <w:b/>
          <w:bCs/>
          <w:sz w:val="22"/>
        </w:rPr>
        <w:t>Koronawirus, lockdowny i zdalna nauka podleczyły finanse 18-24 latków. Jak wynika z danych</w:t>
      </w:r>
      <w:r w:rsidRPr="00F245D6">
        <w:rPr>
          <w:rFonts w:ascii="Calibri" w:eastAsia="Calibri" w:hAnsi="Calibri" w:cs="Times New Roman"/>
          <w:b/>
          <w:bCs/>
          <w:sz w:val="22"/>
        </w:rPr>
        <w:t xml:space="preserve"> </w:t>
      </w:r>
      <w:r>
        <w:rPr>
          <w:rFonts w:ascii="Calibri" w:eastAsia="Calibri" w:hAnsi="Calibri" w:cs="Times New Roman"/>
          <w:b/>
          <w:bCs/>
          <w:sz w:val="22"/>
        </w:rPr>
        <w:t>Rejestru Dłużników BIG InfoMonitor i bazy informacji kredytowych BIK</w:t>
      </w:r>
      <w:r w:rsidR="00CF6CBD">
        <w:rPr>
          <w:rFonts w:ascii="Calibri" w:eastAsia="Calibri" w:hAnsi="Calibri" w:cs="Times New Roman"/>
          <w:b/>
          <w:bCs/>
          <w:sz w:val="22"/>
        </w:rPr>
        <w:t>,</w:t>
      </w:r>
      <w:r>
        <w:rPr>
          <w:rFonts w:ascii="Calibri" w:eastAsia="Calibri" w:hAnsi="Calibri" w:cs="Times New Roman"/>
          <w:b/>
          <w:bCs/>
          <w:sz w:val="22"/>
        </w:rPr>
        <w:t xml:space="preserve"> w czasie pandemii to właśnie zaległości młodych ubyło w największym stopniu na tle wszystkich grup wiekowych. Spadły o </w:t>
      </w:r>
      <w:r w:rsidR="00CF6CBD">
        <w:rPr>
          <w:rFonts w:ascii="Calibri" w:eastAsia="Calibri" w:hAnsi="Calibri" w:cs="Times New Roman"/>
          <w:b/>
          <w:bCs/>
          <w:sz w:val="22"/>
        </w:rPr>
        <w:t>n</w:t>
      </w:r>
      <w:r>
        <w:rPr>
          <w:rFonts w:ascii="Calibri" w:eastAsia="Calibri" w:hAnsi="Calibri" w:cs="Times New Roman"/>
          <w:b/>
          <w:bCs/>
          <w:sz w:val="22"/>
        </w:rPr>
        <w:t xml:space="preserve">iemal 200 mln zł do 1 mld zł. Liczba niesolidnych dłużników zmniejszyła się o ponad 26 tys. osób. Pytanie, co dalej, czy uda się utrzymać ten trend biorąc pod uwagę, że </w:t>
      </w:r>
      <w:r w:rsidRPr="008F24DC">
        <w:rPr>
          <w:rFonts w:ascii="Calibri" w:eastAsia="Calibri" w:hAnsi="Calibri" w:cs="Times New Roman"/>
          <w:b/>
          <w:bCs/>
          <w:sz w:val="22"/>
        </w:rPr>
        <w:t>życie wr</w:t>
      </w:r>
      <w:r>
        <w:rPr>
          <w:rFonts w:ascii="Calibri" w:eastAsia="Calibri" w:hAnsi="Calibri" w:cs="Times New Roman"/>
          <w:b/>
          <w:bCs/>
          <w:sz w:val="22"/>
        </w:rPr>
        <w:t xml:space="preserve">aca </w:t>
      </w:r>
      <w:r w:rsidRPr="008F24DC">
        <w:rPr>
          <w:rFonts w:ascii="Calibri" w:eastAsia="Calibri" w:hAnsi="Calibri" w:cs="Times New Roman"/>
          <w:b/>
          <w:bCs/>
          <w:sz w:val="22"/>
        </w:rPr>
        <w:t>do względnej normy</w:t>
      </w:r>
      <w:r>
        <w:rPr>
          <w:rFonts w:ascii="Calibri" w:eastAsia="Calibri" w:hAnsi="Calibri" w:cs="Times New Roman"/>
          <w:b/>
          <w:bCs/>
          <w:sz w:val="22"/>
        </w:rPr>
        <w:t>, a</w:t>
      </w:r>
      <w:r w:rsidR="0075606D">
        <w:rPr>
          <w:rFonts w:ascii="Calibri" w:eastAsia="Calibri" w:hAnsi="Calibri" w:cs="Times New Roman"/>
          <w:b/>
          <w:bCs/>
          <w:sz w:val="22"/>
        </w:rPr>
        <w:t> </w:t>
      </w:r>
      <w:r>
        <w:rPr>
          <w:rFonts w:ascii="Calibri" w:eastAsia="Calibri" w:hAnsi="Calibri" w:cs="Times New Roman"/>
          <w:b/>
          <w:bCs/>
          <w:sz w:val="22"/>
        </w:rPr>
        <w:t xml:space="preserve">studia nie będą tak jak wcześniej niemal w pełni zdalne?  </w:t>
      </w:r>
    </w:p>
    <w:p w14:paraId="1606D30E" w14:textId="608F9D36" w:rsidR="003E0350" w:rsidRDefault="003E0350" w:rsidP="003E0350">
      <w:pPr>
        <w:spacing w:after="120" w:line="259" w:lineRule="auto"/>
        <w:jc w:val="both"/>
        <w:rPr>
          <w:rFonts w:ascii="Calibri" w:eastAsia="Calibri" w:hAnsi="Calibri" w:cs="Times New Roman"/>
          <w:sz w:val="22"/>
        </w:rPr>
      </w:pPr>
      <w:r w:rsidRPr="00A54302">
        <w:rPr>
          <w:rFonts w:ascii="Calibri" w:eastAsia="Calibri" w:hAnsi="Calibri" w:cs="Times New Roman"/>
          <w:sz w:val="22"/>
        </w:rPr>
        <w:t xml:space="preserve">Wymuszone przez pandemię ograniczenia, okazały się mieć zbawienny wpływ na finanse wielu osób, szczególnie najmłodszych. </w:t>
      </w:r>
      <w:r>
        <w:rPr>
          <w:rFonts w:ascii="Calibri" w:eastAsia="Calibri" w:hAnsi="Calibri" w:cs="Times New Roman"/>
          <w:sz w:val="22"/>
        </w:rPr>
        <w:t>Ich</w:t>
      </w:r>
      <w:r w:rsidRPr="00A54302">
        <w:rPr>
          <w:rFonts w:ascii="Calibri" w:eastAsia="Calibri" w:hAnsi="Calibri" w:cs="Times New Roman"/>
          <w:sz w:val="22"/>
        </w:rPr>
        <w:t xml:space="preserve"> zaległości </w:t>
      </w:r>
      <w:r>
        <w:rPr>
          <w:rFonts w:ascii="Calibri" w:eastAsia="Calibri" w:hAnsi="Calibri" w:cs="Times New Roman"/>
          <w:sz w:val="22"/>
        </w:rPr>
        <w:t>stopniały o 16 proc., gdy wszystkich dłużników o 2 proc. Podobnie relacje wyglądają w zmianie liczby niesolidnych dłużników</w:t>
      </w:r>
      <w:r w:rsidR="0075606D">
        <w:rPr>
          <w:rFonts w:ascii="Calibri" w:eastAsia="Calibri" w:hAnsi="Calibri" w:cs="Times New Roman"/>
          <w:sz w:val="22"/>
        </w:rPr>
        <w:t xml:space="preserve"> –</w:t>
      </w:r>
      <w:r>
        <w:rPr>
          <w:rFonts w:ascii="Calibri" w:eastAsia="Calibri" w:hAnsi="Calibri" w:cs="Times New Roman"/>
          <w:sz w:val="22"/>
        </w:rPr>
        <w:t xml:space="preserve"> jest to spadek o 18 </w:t>
      </w:r>
      <w:r w:rsidR="0049503F">
        <w:rPr>
          <w:rFonts w:ascii="Calibri" w:eastAsia="Calibri" w:hAnsi="Calibri" w:cs="Times New Roman"/>
          <w:sz w:val="22"/>
        </w:rPr>
        <w:t xml:space="preserve">proc. </w:t>
      </w:r>
      <w:r>
        <w:rPr>
          <w:rFonts w:ascii="Calibri" w:eastAsia="Calibri" w:hAnsi="Calibri" w:cs="Times New Roman"/>
          <w:sz w:val="22"/>
        </w:rPr>
        <w:t>wobec 3</w:t>
      </w:r>
      <w:r w:rsidR="0049503F">
        <w:rPr>
          <w:rFonts w:ascii="Calibri" w:eastAsia="Calibri" w:hAnsi="Calibri" w:cs="Times New Roman"/>
          <w:sz w:val="22"/>
        </w:rPr>
        <w:t> </w:t>
      </w:r>
      <w:r>
        <w:rPr>
          <w:rFonts w:ascii="Calibri" w:eastAsia="Calibri" w:hAnsi="Calibri" w:cs="Times New Roman"/>
          <w:sz w:val="22"/>
        </w:rPr>
        <w:t>proc. dla wszystkich Polaków.</w:t>
      </w:r>
    </w:p>
    <w:p w14:paraId="6AEA2151" w14:textId="77777777" w:rsidR="005802C3" w:rsidRDefault="003E0350" w:rsidP="003E0350">
      <w:pPr>
        <w:spacing w:after="120" w:line="259" w:lineRule="auto"/>
        <w:jc w:val="both"/>
        <w:rPr>
          <w:rFonts w:ascii="Calibri" w:eastAsia="Times New Roman" w:hAnsi="Calibri" w:cs="Times New Roman"/>
          <w:color w:val="auto"/>
          <w:sz w:val="22"/>
          <w:lang w:eastAsia="pl-PL"/>
        </w:rPr>
      </w:pPr>
      <w:r>
        <w:rPr>
          <w:rFonts w:ascii="Calibri" w:eastAsia="Times New Roman" w:hAnsi="Calibri" w:cs="Times New Roman"/>
          <w:color w:val="auto"/>
          <w:sz w:val="22"/>
          <w:lang w:eastAsia="pl-PL"/>
        </w:rPr>
        <w:t>Ł</w:t>
      </w:r>
      <w:r w:rsidRPr="00652D7D">
        <w:rPr>
          <w:rFonts w:ascii="Calibri" w:eastAsia="Times New Roman" w:hAnsi="Calibri" w:cs="Times New Roman"/>
          <w:color w:val="auto"/>
          <w:sz w:val="22"/>
          <w:lang w:eastAsia="pl-PL"/>
        </w:rPr>
        <w:t>ączna kwota zaległych zobowiązań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osób z grupy wiekowej 18-24 lata, widoczna w Rejestrze Dłużników BIG InfoMonitor oraz w bazie BIK</w:t>
      </w:r>
      <w:r w:rsidR="005802C3">
        <w:rPr>
          <w:rFonts w:ascii="Calibri" w:eastAsia="Times New Roman" w:hAnsi="Calibri" w:cs="Times New Roman"/>
          <w:color w:val="auto"/>
          <w:sz w:val="22"/>
          <w:lang w:eastAsia="pl-PL"/>
        </w:rPr>
        <w:t>,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od początku pandemii systematycznie spada. W marcu 2020 r. przeterminowane zadłużenie wynosiło 1,2 mld zł, po czterech miesiącach koronakryzysu, w lipcu zmniejszyło się do 1,13 mld zł, a po roku, w lipcu 2021 r. doszło do 1,01 mld zł. </w:t>
      </w:r>
    </w:p>
    <w:p w14:paraId="1EDB870C" w14:textId="53A7EC9E" w:rsidR="003E0350" w:rsidRDefault="003E0350" w:rsidP="003E0350">
      <w:pPr>
        <w:spacing w:after="120" w:line="259" w:lineRule="auto"/>
        <w:jc w:val="both"/>
        <w:rPr>
          <w:rFonts w:ascii="Calibri" w:eastAsia="Calibri" w:hAnsi="Calibri" w:cs="Times New Roman"/>
          <w:sz w:val="22"/>
        </w:rPr>
      </w:pPr>
      <w:r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– </w:t>
      </w:r>
      <w:r w:rsidRPr="006B6121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Tym samym</w:t>
      </w:r>
      <w:r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 skala problemów</w:t>
      </w:r>
      <w:r w:rsidRPr="006B6121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 wróciła do stanu sprzed niemal trzech lat</w:t>
      </w:r>
      <w:r w:rsidR="005802C3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.</w:t>
      </w:r>
      <w:r w:rsidRPr="006B6121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 </w:t>
      </w:r>
      <w:r w:rsidRPr="00B934CC">
        <w:rPr>
          <w:rFonts w:ascii="Calibri" w:eastAsia="Calibri" w:hAnsi="Calibri" w:cs="Times New Roman"/>
          <w:i/>
          <w:iCs/>
          <w:sz w:val="22"/>
        </w:rPr>
        <w:t>Cała sytuacja ujawniła to</w:t>
      </w:r>
      <w:r w:rsidR="005802C3">
        <w:rPr>
          <w:rFonts w:ascii="Calibri" w:eastAsia="Calibri" w:hAnsi="Calibri" w:cs="Times New Roman"/>
          <w:i/>
          <w:iCs/>
          <w:sz w:val="22"/>
        </w:rPr>
        <w:t>,</w:t>
      </w:r>
      <w:r w:rsidRPr="00B934CC">
        <w:rPr>
          <w:rFonts w:ascii="Calibri" w:eastAsia="Calibri" w:hAnsi="Calibri" w:cs="Times New Roman"/>
          <w:i/>
          <w:iCs/>
          <w:sz w:val="22"/>
        </w:rPr>
        <w:t xml:space="preserve"> co zresztą wcześniej można było podejrzewać</w:t>
      </w:r>
      <w:r w:rsidR="005802C3">
        <w:rPr>
          <w:rFonts w:ascii="Calibri" w:eastAsia="Calibri" w:hAnsi="Calibri" w:cs="Times New Roman"/>
          <w:i/>
          <w:iCs/>
          <w:sz w:val="22"/>
        </w:rPr>
        <w:t>:</w:t>
      </w:r>
      <w:r w:rsidRPr="00B934CC">
        <w:rPr>
          <w:rFonts w:ascii="Calibri" w:eastAsia="Calibri" w:hAnsi="Calibri" w:cs="Times New Roman"/>
          <w:i/>
          <w:iCs/>
          <w:sz w:val="22"/>
        </w:rPr>
        <w:t xml:space="preserve"> młodzi mają spory problem z umiejętnością odmawiania sobie wydatków, szczególnie gdy wyzwań i pokus sporo</w:t>
      </w:r>
      <w:r w:rsidR="005802C3">
        <w:rPr>
          <w:rFonts w:ascii="Calibri" w:eastAsia="Calibri" w:hAnsi="Calibri" w:cs="Times New Roman"/>
          <w:i/>
          <w:iCs/>
          <w:sz w:val="22"/>
        </w:rPr>
        <w:t xml:space="preserve"> </w:t>
      </w:r>
      <w:r w:rsidR="005802C3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– zwraca uwagę </w:t>
      </w:r>
      <w:r w:rsidR="005802C3" w:rsidRPr="006B6121">
        <w:rPr>
          <w:rFonts w:ascii="Calibri" w:eastAsia="Times New Roman" w:hAnsi="Calibri" w:cs="Times New Roman"/>
          <w:b/>
          <w:bCs/>
          <w:color w:val="auto"/>
          <w:sz w:val="22"/>
          <w:lang w:eastAsia="pl-PL"/>
        </w:rPr>
        <w:t>Sławomir Grzelczak</w:t>
      </w:r>
      <w:r w:rsidR="005802C3" w:rsidRPr="00E37942">
        <w:rPr>
          <w:rFonts w:ascii="Calibri" w:eastAsia="Times New Roman" w:hAnsi="Calibri" w:cs="Times New Roman"/>
          <w:color w:val="auto"/>
          <w:sz w:val="22"/>
          <w:lang w:eastAsia="pl-PL"/>
        </w:rPr>
        <w:t>,</w:t>
      </w:r>
      <w:r w:rsidR="005802C3" w:rsidRPr="00E37942">
        <w:rPr>
          <w:rFonts w:ascii="Calibri" w:eastAsia="Calibri" w:hAnsi="Calibri" w:cs="Times New Roman"/>
          <w:sz w:val="22"/>
        </w:rPr>
        <w:t xml:space="preserve"> prezes BIG InfoMonitor</w:t>
      </w:r>
      <w:r w:rsidR="005802C3">
        <w:rPr>
          <w:rFonts w:ascii="Calibri" w:eastAsia="Calibri" w:hAnsi="Calibri" w:cs="Times New Roman"/>
          <w:sz w:val="22"/>
        </w:rPr>
        <w:t>.</w:t>
      </w:r>
      <w:r w:rsidR="005802C3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–</w:t>
      </w:r>
      <w:r w:rsidRPr="00B934CC">
        <w:rPr>
          <w:rFonts w:ascii="Calibri" w:eastAsia="Calibri" w:hAnsi="Calibri" w:cs="Times New Roman"/>
          <w:i/>
          <w:iCs/>
          <w:sz w:val="22"/>
        </w:rPr>
        <w:t xml:space="preserve"> W latach 2018-2020 ich zaległości podwyższały się dwa razy szybciej niż ogółu społeczeństwa, a w czasie pandemii, gdy zostali w domach</w:t>
      </w:r>
      <w:r w:rsidR="00685AA6">
        <w:rPr>
          <w:rFonts w:ascii="Calibri" w:eastAsia="Calibri" w:hAnsi="Calibri" w:cs="Times New Roman"/>
          <w:i/>
          <w:iCs/>
          <w:sz w:val="22"/>
        </w:rPr>
        <w:t>,</w:t>
      </w:r>
      <w:r w:rsidRPr="00B934CC">
        <w:rPr>
          <w:rFonts w:ascii="Calibri" w:eastAsia="Calibri" w:hAnsi="Calibri" w:cs="Times New Roman"/>
          <w:i/>
          <w:iCs/>
          <w:sz w:val="22"/>
        </w:rPr>
        <w:t xml:space="preserve"> kilkakrotnie szybciej spadały</w:t>
      </w:r>
      <w:r>
        <w:rPr>
          <w:rFonts w:ascii="Calibri" w:eastAsia="Calibri" w:hAnsi="Calibri" w:cs="Times New Roman"/>
          <w:sz w:val="22"/>
        </w:rPr>
        <w:t xml:space="preserve"> – dodaje. </w:t>
      </w:r>
    </w:p>
    <w:p w14:paraId="66D88B5C" w14:textId="1E1B67A9" w:rsidR="003E0350" w:rsidRDefault="003E0350" w:rsidP="003E0350">
      <w:pPr>
        <w:spacing w:after="120" w:line="259" w:lineRule="auto"/>
        <w:jc w:val="both"/>
        <w:rPr>
          <w:rFonts w:ascii="Calibri" w:eastAsia="Calibri" w:hAnsi="Calibri" w:cs="Times New Roman"/>
          <w:sz w:val="22"/>
        </w:rPr>
      </w:pPr>
      <w:r w:rsidRPr="00A54302">
        <w:rPr>
          <w:rFonts w:ascii="Calibri" w:eastAsia="Calibri" w:hAnsi="Calibri" w:cs="Times New Roman"/>
          <w:sz w:val="22"/>
        </w:rPr>
        <w:t>Z list wydatków na długie miesiące wypadły wyjścia do restauracji</w:t>
      </w:r>
      <w:r>
        <w:rPr>
          <w:rFonts w:ascii="Calibri" w:eastAsia="Calibri" w:hAnsi="Calibri" w:cs="Times New Roman"/>
          <w:sz w:val="22"/>
        </w:rPr>
        <w:t xml:space="preserve"> i</w:t>
      </w:r>
      <w:r w:rsidRPr="00A54302">
        <w:rPr>
          <w:rFonts w:ascii="Calibri" w:eastAsia="Calibri" w:hAnsi="Calibri" w:cs="Times New Roman"/>
          <w:sz w:val="22"/>
        </w:rPr>
        <w:t xml:space="preserve"> klubów, </w:t>
      </w:r>
      <w:r>
        <w:rPr>
          <w:rFonts w:ascii="Calibri" w:eastAsia="Calibri" w:hAnsi="Calibri" w:cs="Times New Roman"/>
          <w:sz w:val="22"/>
        </w:rPr>
        <w:t>a wraz z tym troska o</w:t>
      </w:r>
      <w:r w:rsidR="001D4D9A">
        <w:rPr>
          <w:rFonts w:ascii="Calibri" w:eastAsia="Calibri" w:hAnsi="Calibri" w:cs="Times New Roman"/>
          <w:sz w:val="22"/>
        </w:rPr>
        <w:t> </w:t>
      </w:r>
      <w:r>
        <w:rPr>
          <w:rFonts w:ascii="Calibri" w:eastAsia="Calibri" w:hAnsi="Calibri" w:cs="Times New Roman"/>
          <w:sz w:val="22"/>
        </w:rPr>
        <w:t xml:space="preserve">modny wygląd czy warte pokazania gadżety. Ograniczony był też dostęp do </w:t>
      </w:r>
      <w:r w:rsidRPr="00A54302">
        <w:rPr>
          <w:rFonts w:ascii="Calibri" w:eastAsia="Calibri" w:hAnsi="Calibri" w:cs="Times New Roman"/>
          <w:sz w:val="22"/>
        </w:rPr>
        <w:t xml:space="preserve">kin czy </w:t>
      </w:r>
      <w:r>
        <w:rPr>
          <w:rFonts w:ascii="Calibri" w:eastAsia="Calibri" w:hAnsi="Calibri" w:cs="Times New Roman"/>
          <w:sz w:val="22"/>
        </w:rPr>
        <w:t>s</w:t>
      </w:r>
      <w:r w:rsidRPr="00A54302">
        <w:rPr>
          <w:rFonts w:ascii="Calibri" w:eastAsia="Calibri" w:hAnsi="Calibri" w:cs="Times New Roman"/>
          <w:sz w:val="22"/>
        </w:rPr>
        <w:t>iłowni</w:t>
      </w:r>
      <w:r>
        <w:rPr>
          <w:rFonts w:ascii="Calibri" w:eastAsia="Calibri" w:hAnsi="Calibri" w:cs="Times New Roman"/>
          <w:sz w:val="22"/>
        </w:rPr>
        <w:t xml:space="preserve">. Zniknęły </w:t>
      </w:r>
      <w:r w:rsidRPr="00A54302">
        <w:rPr>
          <w:rFonts w:ascii="Calibri" w:eastAsia="Calibri" w:hAnsi="Calibri" w:cs="Times New Roman"/>
          <w:sz w:val="22"/>
        </w:rPr>
        <w:t xml:space="preserve">podróże czy nawet dojazdy </w:t>
      </w:r>
      <w:r>
        <w:rPr>
          <w:rFonts w:ascii="Calibri" w:eastAsia="Calibri" w:hAnsi="Calibri" w:cs="Times New Roman"/>
          <w:sz w:val="22"/>
        </w:rPr>
        <w:t>do szkoły lub firmy, bo uczyć się czy pracować można, a nawet trzeba było zdalnie.</w:t>
      </w:r>
      <w:r w:rsidRPr="00A54302">
        <w:rPr>
          <w:rFonts w:ascii="Calibri" w:eastAsia="Calibri" w:hAnsi="Calibri" w:cs="Times New Roman"/>
          <w:sz w:val="22"/>
        </w:rPr>
        <w:t xml:space="preserve"> </w:t>
      </w:r>
      <w:r>
        <w:rPr>
          <w:rFonts w:ascii="Calibri" w:eastAsia="Calibri" w:hAnsi="Calibri" w:cs="Times New Roman"/>
          <w:sz w:val="22"/>
        </w:rPr>
        <w:t>W niejednym przypadku był to argument za wyprowadzką z wynajmowanego mieszkania i</w:t>
      </w:r>
      <w:r w:rsidR="00FF5ADE">
        <w:rPr>
          <w:rFonts w:ascii="Calibri" w:eastAsia="Calibri" w:hAnsi="Calibri" w:cs="Times New Roman"/>
          <w:sz w:val="22"/>
        </w:rPr>
        <w:t> </w:t>
      </w:r>
      <w:r>
        <w:rPr>
          <w:rFonts w:ascii="Calibri" w:eastAsia="Calibri" w:hAnsi="Calibri" w:cs="Times New Roman"/>
          <w:sz w:val="22"/>
        </w:rPr>
        <w:t>powrotem do rodzinnego domu. Wywołane przejściem na domową naukę inwestycje, w sprzęt czy łącza, okazały się mniejszym wyzwaniem niż zwykłe bieżące wydatki w normalnych czasach.</w:t>
      </w:r>
    </w:p>
    <w:p w14:paraId="3BF07222" w14:textId="77777777" w:rsidR="003E0350" w:rsidRPr="00BA6137" w:rsidRDefault="003E0350" w:rsidP="00AD00AB">
      <w:pPr>
        <w:spacing w:before="240" w:after="120" w:line="259" w:lineRule="auto"/>
        <w:jc w:val="both"/>
        <w:rPr>
          <w:rFonts w:ascii="Calibri" w:eastAsia="Calibri" w:hAnsi="Calibri" w:cs="Times New Roman"/>
          <w:b/>
          <w:bCs/>
          <w:sz w:val="22"/>
        </w:rPr>
      </w:pPr>
      <w:r w:rsidRPr="00BA6137">
        <w:rPr>
          <w:rFonts w:ascii="Calibri" w:eastAsia="Calibri" w:hAnsi="Calibri" w:cs="Times New Roman"/>
          <w:b/>
          <w:bCs/>
          <w:sz w:val="22"/>
        </w:rPr>
        <w:t xml:space="preserve">Niecałe 125 tys. niesolidnych młodych dłużników  </w:t>
      </w:r>
    </w:p>
    <w:p w14:paraId="12575334" w14:textId="53B377DA" w:rsidR="003E0350" w:rsidRDefault="003E0350" w:rsidP="003E0350">
      <w:pPr>
        <w:spacing w:after="120" w:line="259" w:lineRule="auto"/>
        <w:jc w:val="both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 xml:space="preserve">Czy doświadczenia z czasu koronawirusa zmienią podejście 18-24 latków do finansów i czy docenią oni stan, w którym udaje się żyć bez zaległych zobowiązań kredytowych i nieopłaconych rachunków, trudno dziś stwierdzić. Faktem jest, że obciążenia pozbyło się wielu. W marcu zeszłego roku zaległości miało ponad 151 tys. 18-24 latków, teraz jest ich niecałe 125 tys. W efekcie spadł też z 5,3 do 4,4 proc. odsetek młodych niespłacanymi zobowiązaniami i jest teraz dwa razy niższy niż w całej populacji, dla której wynosi 8,7 proc. (przed pandemią sięgał 9 proc.). </w:t>
      </w:r>
    </w:p>
    <w:p w14:paraId="48097977" w14:textId="77777777" w:rsidR="003E0350" w:rsidRPr="00287A26" w:rsidRDefault="003E0350" w:rsidP="00AD00AB">
      <w:pPr>
        <w:spacing w:after="240" w:line="259" w:lineRule="auto"/>
        <w:jc w:val="both"/>
        <w:rPr>
          <w:rFonts w:ascii="Calibri" w:eastAsia="Times New Roman" w:hAnsi="Calibri" w:cs="Times New Roman"/>
          <w:i/>
          <w:iCs/>
          <w:color w:val="auto"/>
          <w:sz w:val="16"/>
          <w:szCs w:val="16"/>
          <w:lang w:eastAsia="pl-PL"/>
        </w:rPr>
      </w:pPr>
      <w:r>
        <w:rPr>
          <w:noProof/>
        </w:rPr>
        <w:lastRenderedPageBreak/>
        <w:drawing>
          <wp:inline distT="0" distB="0" distL="0" distR="0" wp14:anchorId="649D30AC" wp14:editId="7CBFD8EE">
            <wp:extent cx="5725160" cy="2801721"/>
            <wp:effectExtent l="0" t="0" r="8890" b="0"/>
            <wp:docPr id="6" name="Wykres 6">
              <a:extLst xmlns:a="http://schemas.openxmlformats.org/drawingml/2006/main">
                <a:ext uri="{FF2B5EF4-FFF2-40B4-BE49-F238E27FC236}">
                  <a16:creationId xmlns:a16="http://schemas.microsoft.com/office/drawing/2014/main" id="{C52E4AD4-74BF-450C-92F8-BE40A5CE60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287A26">
        <w:rPr>
          <w:rFonts w:ascii="Calibri" w:eastAsia="Times New Roman" w:hAnsi="Calibri" w:cs="Times New Roman"/>
          <w:i/>
          <w:iCs/>
          <w:color w:val="auto"/>
          <w:sz w:val="16"/>
          <w:szCs w:val="16"/>
          <w:lang w:eastAsia="pl-PL"/>
        </w:rPr>
        <w:t>Źródło: Rejestr Dłużników BIG InfoMonitor i baza Biura Informacji Kredytowej</w:t>
      </w:r>
    </w:p>
    <w:p w14:paraId="5AF9556C" w14:textId="41376691" w:rsidR="003E0350" w:rsidRDefault="003E0350" w:rsidP="003E0350">
      <w:pPr>
        <w:spacing w:after="120" w:line="259" w:lineRule="auto"/>
        <w:jc w:val="both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 xml:space="preserve">Młodzi m.in. w pogoni za odpowiednim w swoim odczuciu standardem życia i gadżetami, nie tylko się zadłużają w nieprzemyślany sposób w bankach czy firmach pożyczkowych, ale też po prostu nie spłacają bieżących rachunków. W zestawieniu zaległości widocznych w bazie informacji kredytowych BIK i w Rejestrze Dłużników BIG InfoMonitor tych drugich jest nawet znacznie więcej. </w:t>
      </w:r>
    </w:p>
    <w:p w14:paraId="2A4EED99" w14:textId="77777777" w:rsidR="003E0350" w:rsidRDefault="003E0350" w:rsidP="00AD00AB">
      <w:pPr>
        <w:spacing w:after="240" w:line="259" w:lineRule="auto"/>
        <w:jc w:val="both"/>
        <w:rPr>
          <w:rFonts w:ascii="Calibri" w:eastAsia="Times New Roman" w:hAnsi="Calibri" w:cs="Times New Roman"/>
          <w:i/>
          <w:iCs/>
          <w:color w:val="auto"/>
          <w:sz w:val="16"/>
          <w:szCs w:val="16"/>
          <w:lang w:eastAsia="pl-PL"/>
        </w:rPr>
      </w:pPr>
      <w:r w:rsidRPr="00881199">
        <w:rPr>
          <w:noProof/>
          <w:color w:val="FFFFFF" w:themeColor="background1"/>
        </w:rPr>
        <w:drawing>
          <wp:inline distT="0" distB="0" distL="0" distR="0" wp14:anchorId="14A15971" wp14:editId="5EB5DBED">
            <wp:extent cx="5765800" cy="2794406"/>
            <wp:effectExtent l="0" t="0" r="6350" b="6350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id="{B160BB49-C9C2-413F-9274-350C053E7B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287A26">
        <w:rPr>
          <w:rFonts w:ascii="Calibri" w:eastAsia="Times New Roman" w:hAnsi="Calibri" w:cs="Times New Roman"/>
          <w:i/>
          <w:iCs/>
          <w:color w:val="auto"/>
          <w:sz w:val="16"/>
          <w:szCs w:val="16"/>
          <w:lang w:eastAsia="pl-PL"/>
        </w:rPr>
        <w:t>Źródło: Rejestr Dłużników BIG InfoMonitor i baza Biura Informacji Kredytowej</w:t>
      </w:r>
    </w:p>
    <w:p w14:paraId="12B4CDA8" w14:textId="77777777" w:rsidR="003E0350" w:rsidRPr="00C42582" w:rsidRDefault="003E0350" w:rsidP="00AD00AB">
      <w:pPr>
        <w:spacing w:after="120"/>
        <w:rPr>
          <w:rFonts w:ascii="Calibri" w:eastAsia="Calibri" w:hAnsi="Calibri" w:cs="Times New Roman"/>
          <w:b/>
          <w:bCs/>
          <w:sz w:val="22"/>
        </w:rPr>
      </w:pPr>
      <w:r w:rsidRPr="00C42582">
        <w:rPr>
          <w:rFonts w:ascii="Calibri" w:eastAsia="Calibri" w:hAnsi="Calibri" w:cs="Times New Roman"/>
          <w:b/>
          <w:bCs/>
          <w:sz w:val="22"/>
        </w:rPr>
        <w:t>Niespłacany kredyt pozostawia ślad</w:t>
      </w:r>
    </w:p>
    <w:p w14:paraId="3656978E" w14:textId="41211E19" w:rsidR="003E0350" w:rsidRDefault="00E37942" w:rsidP="00E215C6">
      <w:pPr>
        <w:jc w:val="both"/>
        <w:rPr>
          <w:rFonts w:ascii="Calibri" w:eastAsia="Calibri" w:hAnsi="Calibri" w:cs="Times New Roman"/>
          <w:sz w:val="22"/>
        </w:rPr>
      </w:pPr>
      <w:r>
        <w:rPr>
          <w:rFonts w:ascii="Calibri" w:eastAsia="Times New Roman" w:hAnsi="Calibri" w:cs="Times New Roman"/>
          <w:color w:val="auto"/>
          <w:sz w:val="22"/>
          <w:lang w:eastAsia="pl-PL"/>
        </w:rPr>
        <w:t>–</w:t>
      </w:r>
      <w:r w:rsidR="003E0350">
        <w:rPr>
          <w:rFonts w:ascii="Calibri" w:eastAsia="Calibri" w:hAnsi="Calibri" w:cs="Times New Roman"/>
          <w:sz w:val="22"/>
        </w:rPr>
        <w:t xml:space="preserve"> </w:t>
      </w:r>
      <w:r w:rsidR="003E0350" w:rsidRPr="00BA6137">
        <w:rPr>
          <w:rFonts w:ascii="Calibri" w:eastAsia="Calibri" w:hAnsi="Calibri" w:cs="Times New Roman"/>
          <w:i/>
          <w:iCs/>
          <w:sz w:val="22"/>
        </w:rPr>
        <w:t>Bankowe zadłużenie młodych to głównie kredyty konsumpcyjne</w:t>
      </w:r>
      <w:r w:rsidR="00E215C6">
        <w:rPr>
          <w:rFonts w:ascii="Calibri" w:eastAsia="Calibri" w:hAnsi="Calibri" w:cs="Times New Roman"/>
          <w:i/>
          <w:iCs/>
          <w:sz w:val="22"/>
        </w:rPr>
        <w:t>. N</w:t>
      </w:r>
      <w:r w:rsidR="003E0350" w:rsidRPr="00BA6137">
        <w:rPr>
          <w:rFonts w:ascii="Calibri" w:eastAsia="Calibri" w:hAnsi="Calibri" w:cs="Times New Roman"/>
          <w:i/>
          <w:iCs/>
          <w:sz w:val="22"/>
        </w:rPr>
        <w:t>a kredyt mieszkaniowy czy finansowanie własnego biznesu porywa się jeszcze niewielu</w:t>
      </w:r>
      <w:r w:rsidR="003E0350" w:rsidRPr="007A2BB2">
        <w:rPr>
          <w:rFonts w:ascii="Calibri" w:eastAsia="Calibri" w:hAnsi="Calibri" w:cs="Times New Roman"/>
          <w:i/>
          <w:iCs/>
          <w:sz w:val="22"/>
        </w:rPr>
        <w:t xml:space="preserve">. </w:t>
      </w:r>
      <w:r w:rsidR="007A2BB2" w:rsidRPr="007A2BB2">
        <w:rPr>
          <w:rFonts w:ascii="Tahoma" w:hAnsi="Tahoma" w:cs="Tahoma"/>
          <w:i/>
          <w:iCs/>
          <w:szCs w:val="20"/>
        </w:rPr>
        <w:t xml:space="preserve">Wśród zaciągających kredyty hipoteczne, w okresie od stycznia do sierpnia br. stanowili </w:t>
      </w:r>
      <w:r w:rsidR="007A2BB2">
        <w:rPr>
          <w:rFonts w:ascii="Tahoma" w:hAnsi="Tahoma" w:cs="Tahoma"/>
          <w:i/>
          <w:iCs/>
          <w:szCs w:val="20"/>
        </w:rPr>
        <w:t xml:space="preserve">jedynie </w:t>
      </w:r>
      <w:r w:rsidR="007A2BB2" w:rsidRPr="007A2BB2">
        <w:rPr>
          <w:rFonts w:ascii="Tahoma" w:hAnsi="Tahoma" w:cs="Tahoma"/>
          <w:i/>
          <w:iCs/>
          <w:szCs w:val="20"/>
        </w:rPr>
        <w:t>3,5 proc. kredytobiorców.</w:t>
      </w:r>
      <w:r w:rsidR="007A2BB2" w:rsidRPr="007A2BB2">
        <w:rPr>
          <w:rFonts w:ascii="Tahoma" w:hAnsi="Tahoma" w:cs="Tahoma"/>
          <w:color w:val="000000"/>
          <w:szCs w:val="20"/>
        </w:rPr>
        <w:t xml:space="preserve"> </w:t>
      </w:r>
      <w:r w:rsidR="003E0350" w:rsidRPr="007A2BB2">
        <w:rPr>
          <w:rFonts w:ascii="Calibri" w:eastAsia="Calibri" w:hAnsi="Calibri" w:cs="Times New Roman"/>
          <w:i/>
          <w:iCs/>
          <w:sz w:val="22"/>
        </w:rPr>
        <w:t xml:space="preserve">Tym bardziej przykre są pojawiające się problemy ze spłatą. </w:t>
      </w:r>
      <w:bookmarkStart w:id="0" w:name="_Hlk83977448"/>
      <w:r w:rsidR="003E0350" w:rsidRPr="007A2BB2">
        <w:rPr>
          <w:rFonts w:ascii="Calibri" w:eastAsia="Calibri" w:hAnsi="Calibri" w:cs="Times New Roman"/>
          <w:i/>
          <w:iCs/>
          <w:sz w:val="22"/>
        </w:rPr>
        <w:t>Należy bowiem pamiętać</w:t>
      </w:r>
      <w:r w:rsidR="003E0350" w:rsidRPr="00D51CE6">
        <w:rPr>
          <w:rFonts w:ascii="Calibri" w:eastAsia="Calibri" w:hAnsi="Calibri" w:cs="Times New Roman"/>
          <w:i/>
          <w:iCs/>
          <w:sz w:val="22"/>
        </w:rPr>
        <w:t>, że negatywna historia kredytowa pozostaje z klientem przez 5 lat od za</w:t>
      </w:r>
      <w:r w:rsidR="003E0350">
        <w:rPr>
          <w:rFonts w:ascii="Calibri" w:eastAsia="Calibri" w:hAnsi="Calibri" w:cs="Times New Roman"/>
          <w:i/>
          <w:iCs/>
          <w:sz w:val="22"/>
        </w:rPr>
        <w:t xml:space="preserve">mknięcia </w:t>
      </w:r>
      <w:r w:rsidR="003E0350" w:rsidRPr="00D51CE6">
        <w:rPr>
          <w:rFonts w:ascii="Calibri" w:eastAsia="Calibri" w:hAnsi="Calibri" w:cs="Times New Roman"/>
          <w:i/>
          <w:iCs/>
          <w:sz w:val="22"/>
        </w:rPr>
        <w:t>kredytu, którego obsługa była opóźniana o ponad 60 dni. W</w:t>
      </w:r>
      <w:bookmarkEnd w:id="0"/>
      <w:r w:rsidR="003E0350" w:rsidRPr="00D51CE6">
        <w:rPr>
          <w:rFonts w:ascii="Calibri" w:eastAsia="Calibri" w:hAnsi="Calibri" w:cs="Times New Roman"/>
          <w:i/>
          <w:iCs/>
          <w:sz w:val="22"/>
        </w:rPr>
        <w:t xml:space="preserve"> rezultacie za rok, dwa, z powodu niespłaconej pożyczki na telefon czy komputer, </w:t>
      </w:r>
      <w:r w:rsidR="003E0350">
        <w:rPr>
          <w:rFonts w:ascii="Calibri" w:eastAsia="Calibri" w:hAnsi="Calibri" w:cs="Times New Roman"/>
          <w:i/>
          <w:iCs/>
          <w:sz w:val="22"/>
        </w:rPr>
        <w:t xml:space="preserve">można </w:t>
      </w:r>
      <w:r w:rsidR="003E0350" w:rsidRPr="00D51CE6">
        <w:rPr>
          <w:rFonts w:ascii="Calibri" w:eastAsia="Calibri" w:hAnsi="Calibri" w:cs="Times New Roman"/>
          <w:i/>
          <w:iCs/>
          <w:sz w:val="22"/>
        </w:rPr>
        <w:t xml:space="preserve">mieć problem z realizacją dużo poważniejszych planów. Niestety naturalny </w:t>
      </w:r>
      <w:r w:rsidR="003E0350">
        <w:rPr>
          <w:rFonts w:ascii="Calibri" w:eastAsia="Calibri" w:hAnsi="Calibri" w:cs="Times New Roman"/>
          <w:i/>
          <w:iCs/>
          <w:sz w:val="22"/>
        </w:rPr>
        <w:t>na</w:t>
      </w:r>
      <w:r w:rsidR="003E0350" w:rsidRPr="00D51CE6">
        <w:rPr>
          <w:rFonts w:ascii="Calibri" w:eastAsia="Calibri" w:hAnsi="Calibri" w:cs="Times New Roman"/>
          <w:i/>
          <w:iCs/>
          <w:sz w:val="22"/>
        </w:rPr>
        <w:t xml:space="preserve"> star</w:t>
      </w:r>
      <w:r w:rsidR="003E0350">
        <w:rPr>
          <w:rFonts w:ascii="Calibri" w:eastAsia="Calibri" w:hAnsi="Calibri" w:cs="Times New Roman"/>
          <w:i/>
          <w:iCs/>
          <w:sz w:val="22"/>
        </w:rPr>
        <w:t xml:space="preserve">cie </w:t>
      </w:r>
      <w:r w:rsidR="003E0350" w:rsidRPr="00D51CE6">
        <w:rPr>
          <w:rFonts w:ascii="Calibri" w:eastAsia="Calibri" w:hAnsi="Calibri" w:cs="Times New Roman"/>
          <w:i/>
          <w:iCs/>
          <w:sz w:val="22"/>
        </w:rPr>
        <w:t xml:space="preserve">w dorosłość brak oszczędności może popychać do zadłużania się na rzeczy, które z perspektywy lat wydają się </w:t>
      </w:r>
      <w:r w:rsidR="003E0350" w:rsidRPr="00D51CE6">
        <w:rPr>
          <w:rFonts w:ascii="Calibri" w:eastAsia="Calibri" w:hAnsi="Calibri" w:cs="Times New Roman"/>
          <w:i/>
          <w:iCs/>
          <w:sz w:val="22"/>
        </w:rPr>
        <w:lastRenderedPageBreak/>
        <w:t>drobnostkami</w:t>
      </w:r>
      <w:r w:rsidR="008B340E">
        <w:rPr>
          <w:rFonts w:ascii="Calibri" w:eastAsia="Calibri" w:hAnsi="Calibri" w:cs="Times New Roman"/>
          <w:i/>
          <w:iCs/>
          <w:sz w:val="22"/>
        </w:rPr>
        <w:t>. O</w:t>
      </w:r>
      <w:r w:rsidR="003E0350">
        <w:rPr>
          <w:rFonts w:ascii="Calibri" w:eastAsia="Calibri" w:hAnsi="Calibri" w:cs="Times New Roman"/>
          <w:i/>
          <w:iCs/>
          <w:sz w:val="22"/>
        </w:rPr>
        <w:t>bsługę zadłużenia</w:t>
      </w:r>
      <w:r w:rsidR="003E0350" w:rsidRPr="00D51CE6">
        <w:rPr>
          <w:rFonts w:ascii="Calibri" w:eastAsia="Calibri" w:hAnsi="Calibri" w:cs="Times New Roman"/>
          <w:i/>
          <w:iCs/>
          <w:sz w:val="22"/>
        </w:rPr>
        <w:t xml:space="preserve"> </w:t>
      </w:r>
      <w:r w:rsidR="003E0350">
        <w:rPr>
          <w:rFonts w:ascii="Calibri" w:eastAsia="Calibri" w:hAnsi="Calibri" w:cs="Times New Roman"/>
          <w:i/>
          <w:iCs/>
          <w:sz w:val="22"/>
        </w:rPr>
        <w:t xml:space="preserve">zawsze warto </w:t>
      </w:r>
      <w:r w:rsidR="003E0350" w:rsidRPr="00D51CE6">
        <w:rPr>
          <w:rFonts w:ascii="Calibri" w:eastAsia="Calibri" w:hAnsi="Calibri" w:cs="Times New Roman"/>
          <w:i/>
          <w:iCs/>
          <w:sz w:val="22"/>
        </w:rPr>
        <w:t>traktować śmiertelnie poważnie</w:t>
      </w:r>
      <w:r w:rsidR="008B340E">
        <w:rPr>
          <w:rFonts w:ascii="Calibri" w:eastAsia="Calibri" w:hAnsi="Calibri" w:cs="Times New Roman"/>
          <w:i/>
          <w:iCs/>
          <w:sz w:val="22"/>
        </w:rPr>
        <w:t>, b</w:t>
      </w:r>
      <w:r w:rsidR="003E0350">
        <w:rPr>
          <w:rFonts w:ascii="Calibri" w:eastAsia="Calibri" w:hAnsi="Calibri" w:cs="Times New Roman"/>
          <w:i/>
          <w:iCs/>
          <w:sz w:val="22"/>
        </w:rPr>
        <w:t>o j</w:t>
      </w:r>
      <w:r w:rsidR="003E0350" w:rsidRPr="00D51CE6">
        <w:rPr>
          <w:rFonts w:ascii="Calibri" w:eastAsia="Calibri" w:hAnsi="Calibri" w:cs="Times New Roman"/>
          <w:i/>
          <w:iCs/>
          <w:sz w:val="22"/>
        </w:rPr>
        <w:t>eśli kredyt będzie terminowo obsługiwany</w:t>
      </w:r>
      <w:r w:rsidR="003E0350">
        <w:rPr>
          <w:rFonts w:ascii="Calibri" w:eastAsia="Calibri" w:hAnsi="Calibri" w:cs="Times New Roman"/>
          <w:i/>
          <w:iCs/>
          <w:sz w:val="22"/>
        </w:rPr>
        <w:t>, to nie tylko nie zaszkodzi, ale też</w:t>
      </w:r>
      <w:r w:rsidR="003E0350" w:rsidRPr="00D51CE6">
        <w:rPr>
          <w:rFonts w:ascii="Calibri" w:eastAsia="Calibri" w:hAnsi="Calibri" w:cs="Times New Roman"/>
          <w:i/>
          <w:iCs/>
          <w:sz w:val="22"/>
        </w:rPr>
        <w:t xml:space="preserve"> pomoże zbudować przydatną w przyszłości dobrą historię kredytową. Niestety</w:t>
      </w:r>
      <w:r w:rsidR="008B340E">
        <w:rPr>
          <w:rFonts w:ascii="Calibri" w:eastAsia="Calibri" w:hAnsi="Calibri" w:cs="Times New Roman"/>
          <w:i/>
          <w:iCs/>
          <w:sz w:val="22"/>
        </w:rPr>
        <w:t>,</w:t>
      </w:r>
      <w:r w:rsidR="003E0350" w:rsidRPr="00D51CE6">
        <w:rPr>
          <w:rFonts w:ascii="Calibri" w:eastAsia="Calibri" w:hAnsi="Calibri" w:cs="Times New Roman"/>
          <w:i/>
          <w:iCs/>
          <w:sz w:val="22"/>
        </w:rPr>
        <w:t xml:space="preserve"> widać jednak</w:t>
      </w:r>
      <w:r w:rsidR="008B340E">
        <w:rPr>
          <w:rFonts w:ascii="Calibri" w:eastAsia="Calibri" w:hAnsi="Calibri" w:cs="Times New Roman"/>
          <w:i/>
          <w:iCs/>
          <w:sz w:val="22"/>
        </w:rPr>
        <w:t>,</w:t>
      </w:r>
      <w:r w:rsidR="003E0350" w:rsidRPr="00D51CE6">
        <w:rPr>
          <w:rFonts w:ascii="Calibri" w:eastAsia="Calibri" w:hAnsi="Calibri" w:cs="Times New Roman"/>
          <w:i/>
          <w:iCs/>
          <w:sz w:val="22"/>
        </w:rPr>
        <w:t xml:space="preserve"> że co trzeci z młodych niesolidnych dłużników wpada w kłopoty po uszy i</w:t>
      </w:r>
      <w:r w:rsidR="00C53460">
        <w:rPr>
          <w:rFonts w:ascii="Calibri" w:eastAsia="Calibri" w:hAnsi="Calibri" w:cs="Times New Roman"/>
          <w:i/>
          <w:iCs/>
          <w:sz w:val="22"/>
        </w:rPr>
        <w:t> </w:t>
      </w:r>
      <w:r w:rsidR="003E0350" w:rsidRPr="00D51CE6">
        <w:rPr>
          <w:rFonts w:ascii="Calibri" w:eastAsia="Calibri" w:hAnsi="Calibri" w:cs="Times New Roman"/>
          <w:i/>
          <w:iCs/>
          <w:sz w:val="22"/>
        </w:rPr>
        <w:t>przestaje jednocześnie spłacać zarówno kredyty</w:t>
      </w:r>
      <w:r w:rsidR="00C53460">
        <w:rPr>
          <w:rFonts w:ascii="Calibri" w:eastAsia="Calibri" w:hAnsi="Calibri" w:cs="Times New Roman"/>
          <w:i/>
          <w:iCs/>
          <w:sz w:val="22"/>
        </w:rPr>
        <w:t>,</w:t>
      </w:r>
      <w:r w:rsidR="003E0350" w:rsidRPr="00D51CE6">
        <w:rPr>
          <w:rFonts w:ascii="Calibri" w:eastAsia="Calibri" w:hAnsi="Calibri" w:cs="Times New Roman"/>
          <w:i/>
          <w:iCs/>
          <w:sz w:val="22"/>
        </w:rPr>
        <w:t xml:space="preserve"> jak i bieżące rachunki. W całym społeczeństwie w</w:t>
      </w:r>
      <w:r w:rsidR="00C53460">
        <w:rPr>
          <w:rFonts w:ascii="Calibri" w:eastAsia="Calibri" w:hAnsi="Calibri" w:cs="Times New Roman"/>
          <w:i/>
          <w:iCs/>
          <w:sz w:val="22"/>
        </w:rPr>
        <w:t> </w:t>
      </w:r>
      <w:r w:rsidR="003E0350" w:rsidRPr="00D51CE6">
        <w:rPr>
          <w:rFonts w:ascii="Calibri" w:eastAsia="Calibri" w:hAnsi="Calibri" w:cs="Times New Roman"/>
          <w:i/>
          <w:iCs/>
          <w:sz w:val="22"/>
        </w:rPr>
        <w:t>podobnym położeniu znajduje się mniej niż co czwarty dłużnik</w:t>
      </w:r>
      <w:r w:rsidR="003E0350">
        <w:rPr>
          <w:rFonts w:ascii="Calibri" w:eastAsia="Calibri" w:hAnsi="Calibri" w:cs="Times New Roman"/>
          <w:sz w:val="22"/>
        </w:rPr>
        <w:t xml:space="preserve"> – mówi </w:t>
      </w:r>
      <w:r w:rsidR="003E0350" w:rsidRPr="00C53460">
        <w:rPr>
          <w:rFonts w:ascii="Calibri" w:eastAsia="Calibri" w:hAnsi="Calibri" w:cs="Times New Roman"/>
          <w:b/>
          <w:bCs/>
          <w:sz w:val="22"/>
        </w:rPr>
        <w:t>Sławomir Grzelczak</w:t>
      </w:r>
      <w:r w:rsidR="003E0350">
        <w:rPr>
          <w:rFonts w:ascii="Calibri" w:eastAsia="Calibri" w:hAnsi="Calibri" w:cs="Times New Roman"/>
          <w:sz w:val="22"/>
        </w:rPr>
        <w:t xml:space="preserve">.  </w:t>
      </w:r>
    </w:p>
    <w:p w14:paraId="44659B5C" w14:textId="77777777" w:rsidR="003E0350" w:rsidRPr="001925CE" w:rsidRDefault="003E0350" w:rsidP="00AD00AB">
      <w:pPr>
        <w:spacing w:before="240" w:after="120" w:line="259" w:lineRule="auto"/>
        <w:jc w:val="both"/>
        <w:rPr>
          <w:rFonts w:ascii="Calibri" w:eastAsia="Calibri" w:hAnsi="Calibri" w:cs="Times New Roman"/>
          <w:b/>
          <w:bCs/>
          <w:sz w:val="22"/>
        </w:rPr>
      </w:pPr>
      <w:r w:rsidRPr="001925CE">
        <w:rPr>
          <w:rFonts w:ascii="Calibri" w:eastAsia="Calibri" w:hAnsi="Calibri" w:cs="Times New Roman"/>
          <w:b/>
          <w:bCs/>
          <w:sz w:val="22"/>
        </w:rPr>
        <w:t xml:space="preserve">Kobiety mają większy udział w zaległościach </w:t>
      </w:r>
    </w:p>
    <w:p w14:paraId="0905FD5B" w14:textId="7E94D99F" w:rsidR="003E0350" w:rsidRPr="00B934CC" w:rsidRDefault="003E0350" w:rsidP="003E0350">
      <w:pPr>
        <w:spacing w:after="120" w:line="259" w:lineRule="auto"/>
        <w:jc w:val="both"/>
        <w:rPr>
          <w:rFonts w:ascii="Calibri" w:eastAsia="Calibri" w:hAnsi="Calibri" w:cs="Times New Roman"/>
          <w:sz w:val="22"/>
        </w:rPr>
      </w:pPr>
      <w:r w:rsidRPr="00B934CC">
        <w:rPr>
          <w:rFonts w:ascii="Calibri" w:eastAsia="Calibri" w:hAnsi="Calibri" w:cs="Times New Roman"/>
          <w:sz w:val="22"/>
        </w:rPr>
        <w:t>Średnia zaległość osoby wchodzącej w dorosłość to obecnie 8069 zł, niestety o 154 zł więcej niż przed pandemią. Powód? Co zrozumiałe, przeterminowanych zobowiązań częściej udawało się pozbyć osobom z niższymi kwotami zaległości. Choć przeciętne ponad 8000 zł to niemało, dla rekordzisty młodocianych dłużników byłoby jednak marzeniem. Dwudziestolatek ze Śląska zebrał ponad 0,75</w:t>
      </w:r>
      <w:r w:rsidR="0082433A">
        <w:rPr>
          <w:rFonts w:ascii="Calibri" w:eastAsia="Calibri" w:hAnsi="Calibri" w:cs="Times New Roman"/>
          <w:sz w:val="22"/>
        </w:rPr>
        <w:t> </w:t>
      </w:r>
      <w:r w:rsidRPr="00B934CC">
        <w:rPr>
          <w:rFonts w:ascii="Calibri" w:eastAsia="Calibri" w:hAnsi="Calibri" w:cs="Times New Roman"/>
          <w:sz w:val="22"/>
        </w:rPr>
        <w:t>mln</w:t>
      </w:r>
      <w:r w:rsidR="0082433A">
        <w:rPr>
          <w:rFonts w:ascii="Calibri" w:eastAsia="Calibri" w:hAnsi="Calibri" w:cs="Times New Roman"/>
          <w:sz w:val="22"/>
        </w:rPr>
        <w:t> </w:t>
      </w:r>
      <w:r w:rsidRPr="00B934CC">
        <w:rPr>
          <w:rFonts w:ascii="Calibri" w:eastAsia="Calibri" w:hAnsi="Calibri" w:cs="Times New Roman"/>
          <w:sz w:val="22"/>
        </w:rPr>
        <w:t xml:space="preserve">zł nieuregulowanego na czas zadłużenia. Bardzo dużo, ale i tak 100 razy mniej niż rekordzista Polski 48-letni mieszkaniec Pomorza, który ma do zwrotu 75,7 mln zł. </w:t>
      </w:r>
    </w:p>
    <w:p w14:paraId="45D532DF" w14:textId="0E8B1CD3" w:rsidR="003E0350" w:rsidRDefault="003E0350" w:rsidP="00AD00AB">
      <w:pPr>
        <w:spacing w:after="240" w:line="259" w:lineRule="auto"/>
        <w:jc w:val="both"/>
        <w:rPr>
          <w:rFonts w:ascii="Calibri" w:eastAsia="Calibri" w:hAnsi="Calibri" w:cs="Times New Roman"/>
          <w:sz w:val="22"/>
        </w:rPr>
      </w:pPr>
      <w:r w:rsidRPr="00B934CC">
        <w:rPr>
          <w:rFonts w:ascii="Calibri" w:eastAsia="Calibri" w:hAnsi="Calibri" w:cs="Times New Roman"/>
          <w:sz w:val="22"/>
        </w:rPr>
        <w:t>Fakt, że 20 najwyżej notowanych młodych osób ma</w:t>
      </w:r>
      <w:r>
        <w:rPr>
          <w:rFonts w:ascii="Calibri" w:eastAsia="Calibri" w:hAnsi="Calibri" w:cs="Times New Roman"/>
          <w:sz w:val="22"/>
        </w:rPr>
        <w:t xml:space="preserve"> razem</w:t>
      </w:r>
      <w:r w:rsidRPr="00B934CC">
        <w:rPr>
          <w:rFonts w:ascii="Calibri" w:eastAsia="Calibri" w:hAnsi="Calibri" w:cs="Times New Roman"/>
          <w:sz w:val="22"/>
        </w:rPr>
        <w:t xml:space="preserve"> ponad 7,7 mln nieuregulowanych zobowiązań pokazuje jednak, że problemu niewłaściwego gospodarowania finansami nie można nie dostrzegać. </w:t>
      </w:r>
    </w:p>
    <w:tbl>
      <w:tblPr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3020"/>
        <w:gridCol w:w="960"/>
        <w:gridCol w:w="960"/>
      </w:tblGrid>
      <w:tr w:rsidR="00A03CE1" w:rsidRPr="00A03CE1" w14:paraId="599A7DD2" w14:textId="77777777" w:rsidTr="00A03CE1">
        <w:trPr>
          <w:trHeight w:val="740"/>
        </w:trPr>
        <w:tc>
          <w:tcPr>
            <w:tcW w:w="6960" w:type="dxa"/>
            <w:gridSpan w:val="4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5B9BD5"/>
            <w:vAlign w:val="center"/>
            <w:hideMark/>
          </w:tcPr>
          <w:p w14:paraId="3F63254B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  <w:t>Rekordziści zadłużenia w grupie wiekowej 18-24 lata</w:t>
            </w:r>
          </w:p>
        </w:tc>
      </w:tr>
      <w:tr w:rsidR="00A03CE1" w:rsidRPr="00A03CE1" w14:paraId="23964B31" w14:textId="77777777" w:rsidTr="00A03CE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16D9B762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Kwota zaległości w zł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395CF921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Województwo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3ECE2840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Płeć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05EB011C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Wiek</w:t>
            </w:r>
          </w:p>
        </w:tc>
      </w:tr>
      <w:tr w:rsidR="00A03CE1" w:rsidRPr="00A03CE1" w14:paraId="58C75C04" w14:textId="77777777" w:rsidTr="00A03CE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57CF5D3B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b/>
                <w:bCs/>
                <w:color w:val="auto"/>
                <w:szCs w:val="20"/>
                <w:lang w:eastAsia="pl-PL"/>
              </w:rPr>
              <w:t>754 308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493896BF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  <w:t>ŚLĄSKIE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1AFBEFF6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4E316A49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  <w:t>20</w:t>
            </w:r>
          </w:p>
        </w:tc>
      </w:tr>
      <w:tr w:rsidR="00A03CE1" w:rsidRPr="00A03CE1" w14:paraId="24858947" w14:textId="77777777" w:rsidTr="00A03CE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7321FC10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632 966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79CFE041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POMORSKIE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36DB13ED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0D983DBF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23</w:t>
            </w:r>
          </w:p>
        </w:tc>
      </w:tr>
      <w:tr w:rsidR="00A03CE1" w:rsidRPr="00A03CE1" w14:paraId="209CB4DC" w14:textId="77777777" w:rsidTr="00A03CE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31F027CF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b/>
                <w:bCs/>
                <w:color w:val="auto"/>
                <w:szCs w:val="20"/>
                <w:lang w:eastAsia="pl-PL"/>
              </w:rPr>
              <w:t>602 758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653400D2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  <w:t>LUBUSKIE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17106337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6ABAF02C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  <w:t>23</w:t>
            </w:r>
          </w:p>
        </w:tc>
      </w:tr>
      <w:tr w:rsidR="00A03CE1" w:rsidRPr="00A03CE1" w14:paraId="7B151B94" w14:textId="77777777" w:rsidTr="00A03CE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36D30C7A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589 836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599272C5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WARMIŃSKO-MAZURSKIE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6249D039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44C600AF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23</w:t>
            </w:r>
          </w:p>
        </w:tc>
      </w:tr>
      <w:tr w:rsidR="00A03CE1" w:rsidRPr="00A03CE1" w14:paraId="2B49FD09" w14:textId="77777777" w:rsidTr="00A03CE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73CFED15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b/>
                <w:bCs/>
                <w:color w:val="auto"/>
                <w:szCs w:val="20"/>
                <w:lang w:eastAsia="pl-PL"/>
              </w:rPr>
              <w:t>510 592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0AC72343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  <w:t>WIELKOPOLSKIE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14A072B8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6A5DCB37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  <w:t>24</w:t>
            </w:r>
          </w:p>
        </w:tc>
      </w:tr>
      <w:tr w:rsidR="00A03CE1" w:rsidRPr="00A03CE1" w14:paraId="3AEF57B4" w14:textId="77777777" w:rsidTr="00A03CE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507D0601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435 364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675C35FE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ŁÓDZKIE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5790451D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54B83C54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24</w:t>
            </w:r>
          </w:p>
        </w:tc>
      </w:tr>
      <w:tr w:rsidR="00A03CE1" w:rsidRPr="00A03CE1" w14:paraId="77D10E19" w14:textId="77777777" w:rsidTr="00A03CE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0B047188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b/>
                <w:bCs/>
                <w:color w:val="auto"/>
                <w:szCs w:val="20"/>
                <w:lang w:eastAsia="pl-PL"/>
              </w:rPr>
              <w:t>402 283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4484196A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  <w:t>MAZOWIECKIE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1ACFDB64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332043AD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  <w:t>24</w:t>
            </w:r>
          </w:p>
        </w:tc>
      </w:tr>
      <w:tr w:rsidR="00A03CE1" w:rsidRPr="00A03CE1" w14:paraId="6CE3F4CE" w14:textId="77777777" w:rsidTr="00A03CE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2A16D583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341 460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4909C2F4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ŁÓDZKIE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1688E59B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1CDD326B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24</w:t>
            </w:r>
          </w:p>
        </w:tc>
      </w:tr>
      <w:tr w:rsidR="00A03CE1" w:rsidRPr="00A03CE1" w14:paraId="4D8C39B7" w14:textId="77777777" w:rsidTr="00A03CE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00337D0C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b/>
                <w:bCs/>
                <w:color w:val="auto"/>
                <w:szCs w:val="20"/>
                <w:lang w:eastAsia="pl-PL"/>
              </w:rPr>
              <w:t>319 669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5250F2BA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  <w:t>ZACHODNIOPOMORSKIE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067C9A59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753A02D9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  <w:t>23</w:t>
            </w:r>
          </w:p>
        </w:tc>
      </w:tr>
      <w:tr w:rsidR="00A03CE1" w:rsidRPr="00A03CE1" w14:paraId="333E5DFB" w14:textId="77777777" w:rsidTr="00A03CE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178EF720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317 305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62AB51B4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POMORSKIE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616A4061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4434A8D9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21</w:t>
            </w:r>
          </w:p>
        </w:tc>
      </w:tr>
      <w:tr w:rsidR="00A03CE1" w:rsidRPr="00A03CE1" w14:paraId="365F6AFC" w14:textId="77777777" w:rsidTr="00A03CE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7AA83528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b/>
                <w:bCs/>
                <w:color w:val="auto"/>
                <w:szCs w:val="20"/>
                <w:lang w:eastAsia="pl-PL"/>
              </w:rPr>
              <w:t>295 849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220C2A9B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  <w:t>DOLNOŚLĄSKIE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47CB4583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5C369E2F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  <w:t>24</w:t>
            </w:r>
          </w:p>
        </w:tc>
      </w:tr>
      <w:tr w:rsidR="00A03CE1" w:rsidRPr="00A03CE1" w14:paraId="0E9C0399" w14:textId="77777777" w:rsidTr="00A03CE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05980D55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294 707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354429CE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PODKARPACKIE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130498F5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326CAFAB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22</w:t>
            </w:r>
          </w:p>
        </w:tc>
      </w:tr>
      <w:tr w:rsidR="00A03CE1" w:rsidRPr="00A03CE1" w14:paraId="689DF171" w14:textId="77777777" w:rsidTr="00A03CE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1242BB35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b/>
                <w:bCs/>
                <w:color w:val="auto"/>
                <w:szCs w:val="20"/>
                <w:lang w:eastAsia="pl-PL"/>
              </w:rPr>
              <w:t>293 436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2514A3B1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  <w:t>WARMIŃSKO-MAZURSKIE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23D88310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4428B469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  <w:t>22</w:t>
            </w:r>
          </w:p>
        </w:tc>
      </w:tr>
      <w:tr w:rsidR="00A03CE1" w:rsidRPr="00A03CE1" w14:paraId="62F567B5" w14:textId="77777777" w:rsidTr="00A03CE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0E4458F7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285 067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6F15B832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MAZOWIECKIE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2F484668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02C1E185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24</w:t>
            </w:r>
          </w:p>
        </w:tc>
      </w:tr>
      <w:tr w:rsidR="00A03CE1" w:rsidRPr="00A03CE1" w14:paraId="2F6F7CF2" w14:textId="77777777" w:rsidTr="00A03CE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7B987407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b/>
                <w:bCs/>
                <w:color w:val="auto"/>
                <w:szCs w:val="20"/>
                <w:lang w:eastAsia="pl-PL"/>
              </w:rPr>
              <w:t>282 130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22A82941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  <w:t>ŁÓDZKIE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28436E11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3DE258A5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  <w:t>21</w:t>
            </w:r>
          </w:p>
        </w:tc>
      </w:tr>
      <w:tr w:rsidR="00A03CE1" w:rsidRPr="00A03CE1" w14:paraId="7D1F7DC2" w14:textId="77777777" w:rsidTr="00A03CE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631922EF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280 583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565E0E8E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WIELKOPOLSKIE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71612E5B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383C51EB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24</w:t>
            </w:r>
          </w:p>
        </w:tc>
      </w:tr>
      <w:tr w:rsidR="00A03CE1" w:rsidRPr="00A03CE1" w14:paraId="2087A34D" w14:textId="77777777" w:rsidTr="00A03CE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3C287011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b/>
                <w:bCs/>
                <w:color w:val="auto"/>
                <w:szCs w:val="20"/>
                <w:lang w:eastAsia="pl-PL"/>
              </w:rPr>
              <w:t>275 271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766007ED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  <w:t>DOLNOŚLĄSKIE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5D1D0170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3CCD06B8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  <w:t>24</w:t>
            </w:r>
          </w:p>
        </w:tc>
      </w:tr>
      <w:tr w:rsidR="00A03CE1" w:rsidRPr="00A03CE1" w14:paraId="2860BB42" w14:textId="77777777" w:rsidTr="00A03CE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0E908E60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271 283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5AB2C4B3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ZACHODNIOPOMORSKIE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17310057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4DE6C001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23</w:t>
            </w:r>
          </w:p>
        </w:tc>
      </w:tr>
      <w:tr w:rsidR="00A03CE1" w:rsidRPr="00A03CE1" w14:paraId="7914950F" w14:textId="77777777" w:rsidTr="00A03CE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21FCA51A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b/>
                <w:bCs/>
                <w:color w:val="auto"/>
                <w:szCs w:val="20"/>
                <w:lang w:eastAsia="pl-PL"/>
              </w:rPr>
              <w:t>270 708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74568CEA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  <w:t>MAZOWIECKIE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3768EF3C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4FAE9EF2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auto"/>
                <w:szCs w:val="20"/>
                <w:lang w:eastAsia="pl-PL"/>
              </w:rPr>
              <w:t>23</w:t>
            </w:r>
          </w:p>
        </w:tc>
      </w:tr>
      <w:tr w:rsidR="00A03CE1" w:rsidRPr="00A03CE1" w14:paraId="6BDC5A45" w14:textId="77777777" w:rsidTr="00A03CE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25A756EA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262 296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1FBE093B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MŁOPOLSKIE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5874D514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151F4665" w14:textId="77777777" w:rsidR="00A03CE1" w:rsidRPr="00A03CE1" w:rsidRDefault="00A03CE1" w:rsidP="00A03C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A03CE1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24</w:t>
            </w:r>
          </w:p>
        </w:tc>
      </w:tr>
    </w:tbl>
    <w:p w14:paraId="1B178C52" w14:textId="77777777" w:rsidR="003E0350" w:rsidRDefault="003E0350" w:rsidP="00380DA2">
      <w:pPr>
        <w:spacing w:before="120" w:after="240" w:line="257" w:lineRule="auto"/>
        <w:rPr>
          <w:rFonts w:ascii="Calibri" w:eastAsia="Times New Roman" w:hAnsi="Calibri" w:cs="Times New Roman"/>
          <w:color w:val="auto"/>
          <w:sz w:val="22"/>
          <w:lang w:eastAsia="pl-PL"/>
        </w:rPr>
      </w:pPr>
      <w:r>
        <w:rPr>
          <w:rFonts w:ascii="Calibri" w:eastAsia="Times New Roman" w:hAnsi="Calibri" w:cs="Times New Roman"/>
          <w:i/>
          <w:iCs/>
          <w:color w:val="auto"/>
          <w:sz w:val="16"/>
          <w:szCs w:val="16"/>
          <w:lang w:eastAsia="pl-PL"/>
        </w:rPr>
        <w:t>Źródło: Rejestr Dłużników BIG InfoMonitor i baza Biura Informacji Kredytowej</w:t>
      </w:r>
    </w:p>
    <w:p w14:paraId="716EED7E" w14:textId="1E8A4B60" w:rsidR="003E0350" w:rsidRDefault="003E0350" w:rsidP="003E0350">
      <w:pPr>
        <w:spacing w:after="120" w:line="256" w:lineRule="auto"/>
        <w:jc w:val="both"/>
        <w:rPr>
          <w:rFonts w:ascii="Calibri" w:eastAsia="Times New Roman" w:hAnsi="Calibri" w:cs="Times New Roman"/>
          <w:color w:val="auto"/>
          <w:sz w:val="22"/>
          <w:lang w:eastAsia="pl-PL"/>
        </w:rPr>
      </w:pPr>
      <w:r>
        <w:rPr>
          <w:rFonts w:ascii="Calibri" w:eastAsia="Times New Roman" w:hAnsi="Calibri" w:cs="Times New Roman"/>
          <w:color w:val="auto"/>
          <w:sz w:val="22"/>
          <w:lang w:eastAsia="pl-PL"/>
        </w:rPr>
        <w:lastRenderedPageBreak/>
        <w:t>Na drugim miejscu zestawienia rekordzistów znajduje się 23-letnia kobieta z Pomorza, która ma do spłacenia ponad 630 tys. zł. W pierwszej 20. rekordzistów w sumie jest sześć kobiet, o jedną więcej niż w TOP 20 w całej Polsce. Nieznacznie większy niż w całej populacji jest też udział kobiet w łącznych zaległościach młodych. Na dłużniczki między 18</w:t>
      </w:r>
      <w:r w:rsidR="00CF6CBD">
        <w:rPr>
          <w:rFonts w:ascii="Calibri" w:eastAsia="Times New Roman" w:hAnsi="Calibri" w:cs="Times New Roman"/>
          <w:color w:val="auto"/>
          <w:sz w:val="22"/>
          <w:lang w:eastAsia="pl-PL"/>
        </w:rPr>
        <w:t>.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a 24</w:t>
      </w:r>
      <w:r w:rsidR="00CF6CBD">
        <w:rPr>
          <w:rFonts w:ascii="Calibri" w:eastAsia="Times New Roman" w:hAnsi="Calibri" w:cs="Times New Roman"/>
          <w:color w:val="auto"/>
          <w:sz w:val="22"/>
          <w:lang w:eastAsia="pl-PL"/>
        </w:rPr>
        <w:t>.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rokiem przypada 40 proc. całej sumy zaległości pokolenia, </w:t>
      </w:r>
      <w:r w:rsidR="0082433A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a 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wśród ogółu dłużników jest to 34 proc. </w:t>
      </w:r>
    </w:p>
    <w:p w14:paraId="4799F475" w14:textId="77777777" w:rsidR="003E0350" w:rsidRPr="00C42582" w:rsidRDefault="003E0350" w:rsidP="00AD00AB">
      <w:pPr>
        <w:spacing w:before="240" w:after="120" w:line="257" w:lineRule="auto"/>
        <w:jc w:val="both"/>
        <w:rPr>
          <w:rFonts w:ascii="Calibri" w:eastAsia="Times New Roman" w:hAnsi="Calibri" w:cs="Times New Roman"/>
          <w:b/>
          <w:bCs/>
          <w:color w:val="auto"/>
          <w:sz w:val="22"/>
          <w:lang w:eastAsia="pl-PL"/>
        </w:rPr>
      </w:pPr>
      <w:r w:rsidRPr="00C42582">
        <w:rPr>
          <w:rFonts w:ascii="Calibri" w:eastAsia="Times New Roman" w:hAnsi="Calibri" w:cs="Times New Roman"/>
          <w:b/>
          <w:bCs/>
          <w:color w:val="auto"/>
          <w:sz w:val="22"/>
          <w:lang w:eastAsia="pl-PL"/>
        </w:rPr>
        <w:t xml:space="preserve">W pandemii lepiej być młodym </w:t>
      </w:r>
    </w:p>
    <w:p w14:paraId="78264A68" w14:textId="7C415547" w:rsidR="00AD00AB" w:rsidRDefault="003E0350" w:rsidP="0082433A">
      <w:pPr>
        <w:spacing w:after="120" w:line="259" w:lineRule="auto"/>
        <w:jc w:val="both"/>
        <w:rPr>
          <w:rFonts w:ascii="Calibri" w:eastAsia="Times New Roman" w:hAnsi="Calibri" w:cs="Times New Roman"/>
          <w:color w:val="auto"/>
          <w:sz w:val="22"/>
          <w:lang w:eastAsia="pl-PL"/>
        </w:rPr>
      </w:pPr>
      <w:r>
        <w:rPr>
          <w:rFonts w:ascii="Calibri" w:eastAsia="Times New Roman" w:hAnsi="Calibri" w:cs="Times New Roman"/>
          <w:color w:val="auto"/>
          <w:sz w:val="22"/>
          <w:lang w:eastAsia="pl-PL"/>
        </w:rPr>
        <w:t>Sytuacja młodych poprawiła się w twardych statystykach, ale lepiej przedstawia się też w</w:t>
      </w:r>
      <w:r w:rsidR="00B5320B">
        <w:rPr>
          <w:rFonts w:ascii="Calibri" w:eastAsia="Times New Roman" w:hAnsi="Calibri" w:cs="Times New Roman"/>
          <w:color w:val="auto"/>
          <w:sz w:val="22"/>
          <w:lang w:eastAsia="pl-PL"/>
        </w:rPr>
        <w:t> 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>deklarowanych odczuciach, przynajmniej na tle innych grup wiekowych. W badaniu „Finanse Polaków w czasie pandemii” zrealizowanym przez Quality Watch dla BIG InfoMonitor osoby od 18</w:t>
      </w:r>
      <w:r w:rsidR="00B5320B">
        <w:rPr>
          <w:rFonts w:ascii="Calibri" w:eastAsia="Times New Roman" w:hAnsi="Calibri" w:cs="Times New Roman"/>
          <w:color w:val="auto"/>
          <w:sz w:val="22"/>
          <w:lang w:eastAsia="pl-PL"/>
        </w:rPr>
        <w:t>.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do </w:t>
      </w:r>
      <w:r w:rsidR="00CF6CBD">
        <w:rPr>
          <w:rFonts w:ascii="Calibri" w:eastAsia="Times New Roman" w:hAnsi="Calibri" w:cs="Times New Roman"/>
          <w:color w:val="auto"/>
          <w:sz w:val="22"/>
          <w:lang w:eastAsia="pl-PL"/>
        </w:rPr>
        <w:t>2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>4</w:t>
      </w:r>
      <w:r w:rsidR="00B5320B">
        <w:rPr>
          <w:rFonts w:ascii="Calibri" w:eastAsia="Times New Roman" w:hAnsi="Calibri" w:cs="Times New Roman"/>
          <w:color w:val="auto"/>
          <w:sz w:val="22"/>
          <w:lang w:eastAsia="pl-PL"/>
        </w:rPr>
        <w:t>.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roku życia, dwa razy częściej (20 proc.) niż starsi mówią, że dziś stać ich na więcej niż przed pojawieniem się COVID-19. Jednocześnie</w:t>
      </w:r>
      <w:r w:rsidR="00B5320B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, 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co trzeci młody mówi, że teraz może kupić mniej, ale po </w:t>
      </w:r>
      <w:r w:rsidR="00CF6CBD">
        <w:rPr>
          <w:rFonts w:ascii="Calibri" w:eastAsia="Times New Roman" w:hAnsi="Calibri" w:cs="Times New Roman"/>
          <w:color w:val="auto"/>
          <w:sz w:val="22"/>
          <w:lang w:eastAsia="pl-PL"/>
        </w:rPr>
        <w:t>2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>4</w:t>
      </w:r>
      <w:r w:rsidR="00B5320B">
        <w:rPr>
          <w:rFonts w:ascii="Calibri" w:eastAsia="Times New Roman" w:hAnsi="Calibri" w:cs="Times New Roman"/>
          <w:color w:val="auto"/>
          <w:sz w:val="22"/>
          <w:lang w:eastAsia="pl-PL"/>
        </w:rPr>
        <w:t>. 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roku życia odpowiada tak prawie połowa badanych. </w:t>
      </w:r>
    </w:p>
    <w:p w14:paraId="3ECAFD11" w14:textId="77777777" w:rsidR="00CE3ABD" w:rsidRPr="00CE3ABD" w:rsidRDefault="00B977ED" w:rsidP="00CE3ABD">
      <w:pPr>
        <w:spacing w:before="120" w:after="240" w:line="276" w:lineRule="auto"/>
        <w:jc w:val="both"/>
        <w:rPr>
          <w:rFonts w:ascii="Calibri" w:eastAsia="Times New Roman" w:hAnsi="Calibri" w:cs="Times New Roman"/>
          <w:bCs/>
          <w:i/>
          <w:color w:val="595959"/>
          <w:sz w:val="18"/>
          <w:szCs w:val="18"/>
          <w:lang w:eastAsia="pl-PL"/>
        </w:rPr>
      </w:pPr>
      <w:r>
        <w:rPr>
          <w:noProof/>
        </w:rPr>
        <w:drawing>
          <wp:inline distT="0" distB="0" distL="0" distR="0" wp14:anchorId="6C12A7FC" wp14:editId="12371255">
            <wp:extent cx="2769870" cy="2506718"/>
            <wp:effectExtent l="0" t="0" r="0" b="8255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EC455302-72FC-4078-AE71-5D474C36BD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0DC71F" wp14:editId="32856077">
            <wp:extent cx="2811145" cy="2511594"/>
            <wp:effectExtent l="0" t="0" r="8255" b="3175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id="{6E3FA435-E374-40E4-91DA-CBBCB544C6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CE3ABD" w:rsidRPr="00CE3ABD">
        <w:rPr>
          <w:rFonts w:ascii="Calibri" w:eastAsia="Times New Roman" w:hAnsi="Calibri" w:cs="Times New Roman"/>
          <w:bCs/>
          <w:i/>
          <w:color w:val="595959"/>
          <w:sz w:val="18"/>
          <w:szCs w:val="18"/>
          <w:lang w:eastAsia="pl-PL"/>
        </w:rPr>
        <w:t xml:space="preserve">Źródło: </w:t>
      </w:r>
      <w:r w:rsidR="00CE3ABD" w:rsidRPr="00CE3ABD">
        <w:rPr>
          <w:rFonts w:ascii="Calibri" w:eastAsia="Times New Roman" w:hAnsi="Calibri" w:cs="Times New Roman"/>
          <w:bCs/>
          <w:i/>
          <w:color w:val="595959"/>
          <w:sz w:val="16"/>
          <w:szCs w:val="16"/>
          <w:lang w:eastAsia="pl-PL"/>
        </w:rPr>
        <w:t>badanie</w:t>
      </w:r>
      <w:r w:rsidR="00CE3ABD" w:rsidRPr="00CE3ABD">
        <w:rPr>
          <w:rFonts w:ascii="Calibri" w:eastAsia="Times New Roman" w:hAnsi="Calibri" w:cs="Times New Roman"/>
          <w:bCs/>
          <w:i/>
          <w:color w:val="595959"/>
          <w:sz w:val="18"/>
          <w:szCs w:val="18"/>
          <w:lang w:eastAsia="pl-PL"/>
        </w:rPr>
        <w:t xml:space="preserve"> Quality Watch dla BIG InfoMonitor</w:t>
      </w:r>
    </w:p>
    <w:p w14:paraId="24C5F944" w14:textId="6D1F5807" w:rsidR="00B977ED" w:rsidRDefault="00B977ED" w:rsidP="00B5320B">
      <w:pPr>
        <w:spacing w:after="120" w:line="259" w:lineRule="auto"/>
        <w:jc w:val="both"/>
        <w:rPr>
          <w:rFonts w:ascii="Calibri" w:eastAsia="Times New Roman" w:hAnsi="Calibri" w:cs="Times New Roman"/>
          <w:color w:val="auto"/>
          <w:sz w:val="22"/>
          <w:lang w:eastAsia="pl-PL"/>
        </w:rPr>
      </w:pPr>
      <w:r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– </w:t>
      </w:r>
      <w:r w:rsidRPr="000A4873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Wytłumaczeniem tej sytuacji może być fakt, że młodzi ludzie przeważnie nie partycypują w</w:t>
      </w:r>
      <w:r w:rsidR="00B5320B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 </w:t>
      </w:r>
      <w:r w:rsidRPr="000A4873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utrzymaniu mieszkań, </w:t>
      </w:r>
      <w:r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a </w:t>
      </w:r>
      <w:r w:rsidRPr="000A4873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koszty </w:t>
      </w:r>
      <w:r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te </w:t>
      </w:r>
      <w:r w:rsidRPr="000A4873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znacząco wzrosły. Poprawili natomiast swoje możliwości zarobkowe. Przyspieszenie cyfryzacji jakie spowodowała pandemia sprawiło, że lepiej wyceniane są kompetencje technologiczne, </w:t>
      </w:r>
      <w:r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będące</w:t>
      </w:r>
      <w:r w:rsidRPr="000A4873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 częściej atrybutem młodych. Poza tym</w:t>
      </w:r>
      <w:r w:rsidR="00B5320B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,</w:t>
      </w:r>
      <w:r w:rsidRPr="000A4873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 lockdowny mocno namieszały na rynku pracy</w:t>
      </w:r>
      <w:r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.</w:t>
      </w:r>
      <w:r w:rsidRPr="000A4873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 </w:t>
      </w:r>
      <w:r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Po tym jak z</w:t>
      </w:r>
      <w:r w:rsidRPr="000A4873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amkn</w:t>
      </w:r>
      <w:r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ięte zostały</w:t>
      </w:r>
      <w:r w:rsidRPr="000A4873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 restauracj</w:t>
      </w:r>
      <w:r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e</w:t>
      </w:r>
      <w:r w:rsidRPr="000A4873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 i hotel</w:t>
      </w:r>
      <w:r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e, </w:t>
      </w:r>
      <w:r w:rsidRPr="000A4873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wiel</w:t>
      </w:r>
      <w:r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u</w:t>
      </w:r>
      <w:r w:rsidRPr="000A4873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 zatrudnionych w</w:t>
      </w:r>
      <w:r w:rsidR="00B5320B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 sektorze</w:t>
      </w:r>
      <w:r w:rsidRPr="000A4873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 Ho</w:t>
      </w:r>
      <w:r w:rsidR="00B5320B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R</w:t>
      </w:r>
      <w:r w:rsidRPr="000A4873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eCa przebranżowiło się</w:t>
      </w:r>
      <w:r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, </w:t>
      </w:r>
      <w:r w:rsidRPr="000A4873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zmieniło pracę </w:t>
      </w:r>
      <w:r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i to </w:t>
      </w:r>
      <w:r w:rsidRPr="000A4873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na lepiej płatną. </w:t>
      </w:r>
      <w:r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Młodym w</w:t>
      </w:r>
      <w:r w:rsidRPr="000A4873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 xml:space="preserve"> podejmowaniu odważnych decyzji sprzyja większa mobilność i elastyczność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– mówi </w:t>
      </w:r>
      <w:r w:rsidRPr="00B5320B">
        <w:rPr>
          <w:rFonts w:ascii="Calibri" w:eastAsia="Times New Roman" w:hAnsi="Calibri" w:cs="Times New Roman"/>
          <w:b/>
          <w:bCs/>
          <w:color w:val="auto"/>
          <w:sz w:val="22"/>
          <w:lang w:eastAsia="pl-PL"/>
        </w:rPr>
        <w:t>Sławomir Grzelczak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.  </w:t>
      </w:r>
    </w:p>
    <w:p w14:paraId="27958403" w14:textId="78DB5F8D" w:rsidR="00B5320B" w:rsidRDefault="00B977ED" w:rsidP="00B5320B">
      <w:pPr>
        <w:spacing w:after="120" w:line="259" w:lineRule="auto"/>
        <w:jc w:val="both"/>
        <w:rPr>
          <w:rFonts w:ascii="Calibri" w:eastAsia="Times New Roman" w:hAnsi="Calibri" w:cs="Times New Roman"/>
          <w:color w:val="auto"/>
          <w:sz w:val="22"/>
          <w:lang w:eastAsia="pl-PL"/>
        </w:rPr>
      </w:pPr>
      <w:r>
        <w:rPr>
          <w:rFonts w:ascii="Calibri" w:eastAsia="Times New Roman" w:hAnsi="Calibri" w:cs="Times New Roman"/>
          <w:color w:val="auto"/>
          <w:sz w:val="22"/>
          <w:lang w:eastAsia="pl-PL"/>
        </w:rPr>
        <w:t>Z jednej</w:t>
      </w:r>
      <w:r w:rsidR="00B5320B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>więc strony</w:t>
      </w:r>
      <w:r w:rsidR="00B5320B">
        <w:rPr>
          <w:rFonts w:ascii="Calibri" w:eastAsia="Times New Roman" w:hAnsi="Calibri" w:cs="Times New Roman"/>
          <w:color w:val="auto"/>
          <w:sz w:val="22"/>
          <w:lang w:eastAsia="pl-PL"/>
        </w:rPr>
        <w:t>,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mają lepsze możliwości zarobkowe, ale z drugiej rosnące koszty życia, szczególnie</w:t>
      </w:r>
      <w:r w:rsidR="00B5320B">
        <w:rPr>
          <w:rFonts w:ascii="Calibri" w:eastAsia="Times New Roman" w:hAnsi="Calibri" w:cs="Times New Roman"/>
          <w:color w:val="auto"/>
          <w:sz w:val="22"/>
          <w:lang w:eastAsia="pl-PL"/>
        </w:rPr>
        <w:t>,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gdy ktoś mieszka sam i dodatkowo musi wynajmować mieszkanie. W przeciwieństwie do zeszłego roku szkolnego, który na wielu uczelniach i kierunkach upłynął w pełnym trybie online, w tym roku tak już nie będzie. Uczelnie zapowiedziały s</w:t>
      </w:r>
      <w:r w:rsidRPr="00BA6137">
        <w:rPr>
          <w:rFonts w:ascii="Calibri" w:eastAsia="Times New Roman" w:hAnsi="Calibri" w:cs="Times New Roman"/>
          <w:color w:val="auto"/>
          <w:sz w:val="22"/>
          <w:lang w:eastAsia="pl-PL"/>
        </w:rPr>
        <w:t>tudia w formie hybrydowej, wykłady online, a zajęcia z języków obcych, laboratoria i ćwiczenia w murach uczelni.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</w:t>
      </w:r>
    </w:p>
    <w:p w14:paraId="59F8683D" w14:textId="71716DFD" w:rsidR="00B977ED" w:rsidRDefault="00B977ED" w:rsidP="00B5320B">
      <w:pPr>
        <w:spacing w:after="120" w:line="259" w:lineRule="auto"/>
        <w:jc w:val="both"/>
        <w:rPr>
          <w:rFonts w:ascii="Calibri" w:eastAsia="Times New Roman" w:hAnsi="Calibri" w:cs="Times New Roman"/>
          <w:color w:val="auto"/>
          <w:sz w:val="22"/>
          <w:lang w:eastAsia="pl-PL"/>
        </w:rPr>
      </w:pPr>
      <w:r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– </w:t>
      </w:r>
      <w:r w:rsidRPr="00E83581">
        <w:rPr>
          <w:rFonts w:ascii="Calibri" w:eastAsia="Times New Roman" w:hAnsi="Calibri" w:cs="Times New Roman"/>
          <w:i/>
          <w:iCs/>
          <w:color w:val="auto"/>
          <w:sz w:val="22"/>
          <w:lang w:eastAsia="pl-PL"/>
        </w:rPr>
        <w:t>Wiele wskazuje na to, że życie towarzyskie się odnowi, a wraz z nim liczne wydatki. Czy pokusom przekraczającym możliwości finansowe, młodzi będą umieli się oprzeć, zobaczymy w statystykach za kilka miesięcy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 – mówi </w:t>
      </w:r>
      <w:r w:rsidRPr="00D927CB">
        <w:rPr>
          <w:rFonts w:ascii="Calibri" w:eastAsia="Times New Roman" w:hAnsi="Calibri" w:cs="Times New Roman"/>
          <w:b/>
          <w:bCs/>
          <w:color w:val="auto"/>
          <w:sz w:val="22"/>
          <w:lang w:eastAsia="pl-PL"/>
        </w:rPr>
        <w:t>Sławomir Grzelczak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>.</w:t>
      </w:r>
    </w:p>
    <w:p w14:paraId="5A067152" w14:textId="77777777" w:rsidR="00E472DF" w:rsidRDefault="00E472DF" w:rsidP="00E472DF">
      <w:pPr>
        <w:spacing w:before="240" w:after="120" w:line="256" w:lineRule="auto"/>
        <w:jc w:val="both"/>
        <w:rPr>
          <w:rFonts w:ascii="Calibri" w:eastAsia="Calibri" w:hAnsi="Calibri" w:cs="Times New Roman"/>
          <w:bCs/>
          <w:i/>
          <w:iCs/>
          <w:color w:val="595959"/>
          <w:sz w:val="18"/>
          <w:szCs w:val="18"/>
        </w:rPr>
      </w:pPr>
      <w:r>
        <w:rPr>
          <w:rFonts w:ascii="Calibri" w:eastAsia="Calibri" w:hAnsi="Calibri" w:cs="Times New Roman"/>
          <w:bCs/>
          <w:i/>
          <w:iCs/>
          <w:color w:val="595959"/>
          <w:sz w:val="18"/>
          <w:szCs w:val="18"/>
        </w:rPr>
        <w:t>Badanie Quality Watch zrealizowane w dniach 23 – 26 lipca, metodą CAWI (komputerowo wspomagany wywiad internetowy) wśród Polaków w wieku 18+. Reprezentatywność ze względu na: wiek, płeć, wielkość miejsca zamieszkania. Próba n=1063.</w:t>
      </w:r>
    </w:p>
    <w:p w14:paraId="51D06B59" w14:textId="77777777" w:rsidR="003E0350" w:rsidRPr="00CA6058" w:rsidRDefault="003E0350" w:rsidP="003E0350">
      <w:pPr>
        <w:spacing w:before="240" w:after="120" w:line="259" w:lineRule="auto"/>
        <w:jc w:val="both"/>
        <w:rPr>
          <w:bCs/>
          <w:color w:val="595959" w:themeColor="text1" w:themeTint="A6"/>
          <w:sz w:val="18"/>
          <w:szCs w:val="18"/>
        </w:rPr>
      </w:pPr>
      <w:r w:rsidRPr="00CA6058">
        <w:rPr>
          <w:b/>
          <w:bCs/>
          <w:color w:val="595959" w:themeColor="text1" w:themeTint="A6"/>
          <w:sz w:val="18"/>
          <w:szCs w:val="18"/>
        </w:rPr>
        <w:lastRenderedPageBreak/>
        <w:t xml:space="preserve">Biuro Informacji Gospodarczej InfoMonitor </w:t>
      </w:r>
      <w:r w:rsidRPr="00CA6058">
        <w:rPr>
          <w:bCs/>
          <w:color w:val="595959" w:themeColor="text1" w:themeTint="A6"/>
          <w:sz w:val="18"/>
          <w:szCs w:val="18"/>
        </w:rPr>
        <w:t>(BIG InfoMonitor) prowadzi Rejestr Dłużników BIG. Działając w oparciu o Ustawę o udostępnianiu informacji gospodarczych i wymianie danych gospodarczych przyjmuje, przechowuje i udostępnia informacje gospodarcze o przeterminowanym zadłużeniu osób i firm. BIG InfoMonitor umożliwia dostęp do baz: Biura Informacji Kredytowej i Związku Banków Polskich, dzięki czemu stanowi platformę wymiany informacji pomiędzy sektorem bankowym i pozostałymi sektorami gospodarki. Oferuje również sektorowi bankowemu i przedsiębiorcom narzędzia do weryfikowania wiarygodności płatniczej klientów i kontrahentów oraz wspiera ich w odzyskiwaniu zaległych należności. BIG InfoMonitor jest spółką zależną sektora bankowego - poprzez Biuro Informacji Kredytowej – swojego głównego akcjonariusza.</w:t>
      </w:r>
    </w:p>
    <w:p w14:paraId="43B31DDB" w14:textId="77777777" w:rsidR="003E0350" w:rsidRDefault="003E0350" w:rsidP="003E0350">
      <w:pPr>
        <w:spacing w:before="240" w:after="120" w:line="259" w:lineRule="auto"/>
        <w:jc w:val="both"/>
        <w:rPr>
          <w:rFonts w:cs="Arial"/>
          <w:b/>
          <w:color w:val="595959" w:themeColor="text1" w:themeTint="A6"/>
          <w:sz w:val="18"/>
          <w:szCs w:val="18"/>
        </w:rPr>
      </w:pPr>
      <w:r w:rsidRPr="00F303A7">
        <w:rPr>
          <w:rFonts w:cs="Arial"/>
          <w:b/>
          <w:color w:val="595959" w:themeColor="text1" w:themeTint="A6"/>
          <w:sz w:val="18"/>
          <w:szCs w:val="18"/>
        </w:rPr>
        <w:t xml:space="preserve">Kontakt dla </w:t>
      </w:r>
      <w:r>
        <w:rPr>
          <w:rFonts w:cs="Arial"/>
          <w:b/>
          <w:color w:val="595959" w:themeColor="text1" w:themeTint="A6"/>
          <w:sz w:val="18"/>
          <w:szCs w:val="18"/>
        </w:rPr>
        <w:t>mediów</w:t>
      </w:r>
      <w:r w:rsidRPr="00F303A7">
        <w:rPr>
          <w:rFonts w:cs="Arial"/>
          <w:b/>
          <w:color w:val="595959" w:themeColor="text1" w:themeTint="A6"/>
          <w:sz w:val="18"/>
          <w:szCs w:val="1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539"/>
      </w:tblGrid>
      <w:tr w:rsidR="003E0350" w:rsidRPr="00F303A7" w14:paraId="19B1F278" w14:textId="77777777" w:rsidTr="00C426C5">
        <w:tc>
          <w:tcPr>
            <w:tcW w:w="4533" w:type="dxa"/>
            <w:hideMark/>
          </w:tcPr>
          <w:p w14:paraId="498D434F" w14:textId="77777777" w:rsidR="003E0350" w:rsidRPr="00F303A7" w:rsidRDefault="003E0350" w:rsidP="00C426C5">
            <w:pPr>
              <w:spacing w:line="259" w:lineRule="auto"/>
              <w:ind w:left="-108"/>
              <w:jc w:val="both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Halina Kochalska</w:t>
            </w:r>
          </w:p>
          <w:p w14:paraId="4B5C04FE" w14:textId="77777777" w:rsidR="003E0350" w:rsidRPr="00F303A7" w:rsidRDefault="003E0350" w:rsidP="00C426C5">
            <w:pPr>
              <w:spacing w:line="259" w:lineRule="auto"/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Rzecznik Prasowy</w:t>
            </w:r>
          </w:p>
          <w:p w14:paraId="24384F34" w14:textId="77777777" w:rsidR="003E0350" w:rsidRPr="00F303A7" w:rsidRDefault="003E0350" w:rsidP="00C426C5">
            <w:pPr>
              <w:spacing w:line="259" w:lineRule="auto"/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tel.: +48 22 486 56 16</w:t>
            </w:r>
          </w:p>
          <w:p w14:paraId="1F4349F2" w14:textId="77777777" w:rsidR="003E0350" w:rsidRDefault="003E0350" w:rsidP="00C426C5">
            <w:pPr>
              <w:spacing w:line="259" w:lineRule="auto"/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kom.: + 48 602 601</w:t>
            </w:r>
            <w:r>
              <w:rPr>
                <w:rFonts w:cs="Arial"/>
                <w:color w:val="595959" w:themeColor="text1" w:themeTint="A6"/>
                <w:sz w:val="18"/>
                <w:szCs w:val="18"/>
              </w:rPr>
              <w:t> </w:t>
            </w: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010</w:t>
            </w:r>
          </w:p>
          <w:p w14:paraId="73788A66" w14:textId="77777777" w:rsidR="003E0350" w:rsidRPr="00F303A7" w:rsidRDefault="00006E1B" w:rsidP="00C426C5">
            <w:pPr>
              <w:spacing w:line="259" w:lineRule="auto"/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hyperlink r:id="rId10" w:history="1">
              <w:r w:rsidR="003E0350" w:rsidRPr="00422ABB">
                <w:rPr>
                  <w:rStyle w:val="Hipercze"/>
                </w:rPr>
                <w:t>h</w:t>
              </w:r>
              <w:r w:rsidR="003E0350" w:rsidRPr="00422ABB">
                <w:rPr>
                  <w:rStyle w:val="Hipercze"/>
                  <w:sz w:val="18"/>
                  <w:szCs w:val="18"/>
                </w:rPr>
                <w:t>alina.kochalska@big.pl</w:t>
              </w:r>
            </w:hyperlink>
          </w:p>
        </w:tc>
        <w:tc>
          <w:tcPr>
            <w:tcW w:w="4539" w:type="dxa"/>
            <w:hideMark/>
          </w:tcPr>
          <w:p w14:paraId="726261D0" w14:textId="77777777" w:rsidR="003E0350" w:rsidRPr="00F303A7" w:rsidRDefault="003E0350" w:rsidP="00C426C5">
            <w:pPr>
              <w:spacing w:line="259" w:lineRule="auto"/>
              <w:jc w:val="both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Diana Borowiecka</w:t>
            </w:r>
          </w:p>
          <w:p w14:paraId="434F6505" w14:textId="77777777" w:rsidR="003E0350" w:rsidRPr="00F303A7" w:rsidRDefault="003E0350" w:rsidP="00C426C5">
            <w:pPr>
              <w:spacing w:line="259" w:lineRule="auto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Biuro PR i Komunikacji</w:t>
            </w:r>
          </w:p>
          <w:p w14:paraId="57E33F6A" w14:textId="77777777" w:rsidR="003E0350" w:rsidRPr="00F303A7" w:rsidRDefault="003E0350" w:rsidP="00C426C5">
            <w:pPr>
              <w:spacing w:line="259" w:lineRule="auto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tel.: +48 22 486 56 46</w:t>
            </w:r>
          </w:p>
          <w:p w14:paraId="4404B41A" w14:textId="77777777" w:rsidR="003E0350" w:rsidRPr="00F303A7" w:rsidRDefault="003E0350" w:rsidP="00C426C5">
            <w:pPr>
              <w:spacing w:line="259" w:lineRule="auto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kom.: + 48 607 146 583</w:t>
            </w:r>
          </w:p>
          <w:p w14:paraId="037E272F" w14:textId="77777777" w:rsidR="003E0350" w:rsidRPr="00F303A7" w:rsidRDefault="00006E1B" w:rsidP="00C426C5">
            <w:pPr>
              <w:spacing w:line="259" w:lineRule="auto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hyperlink r:id="rId11" w:history="1">
              <w:r w:rsidR="003E0350" w:rsidRPr="00422ABB">
                <w:rPr>
                  <w:rStyle w:val="Hipercze"/>
                </w:rPr>
                <w:t>d</w:t>
              </w:r>
              <w:r w:rsidR="003E0350" w:rsidRPr="00422ABB">
                <w:rPr>
                  <w:rStyle w:val="Hipercze"/>
                  <w:sz w:val="18"/>
                  <w:szCs w:val="18"/>
                </w:rPr>
                <w:t>iana.borowiecka@big.pl</w:t>
              </w:r>
            </w:hyperlink>
            <w:r w:rsidR="003E0350" w:rsidRPr="00F303A7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</w:tbl>
    <w:p w14:paraId="42215ACF" w14:textId="77777777" w:rsidR="000D2B5F" w:rsidRDefault="000D2B5F" w:rsidP="009F56F6"/>
    <w:sectPr w:rsidR="000D2B5F" w:rsidSect="003E0350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34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8453" w14:textId="77777777" w:rsidR="00006E1B" w:rsidRDefault="00006E1B" w:rsidP="003E0350">
      <w:pPr>
        <w:spacing w:line="240" w:lineRule="auto"/>
      </w:pPr>
      <w:r>
        <w:separator/>
      </w:r>
    </w:p>
  </w:endnote>
  <w:endnote w:type="continuationSeparator" w:id="0">
    <w:p w14:paraId="39E6B5E2" w14:textId="77777777" w:rsidR="00006E1B" w:rsidRDefault="00006E1B" w:rsidP="003E0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E76C" w14:textId="77777777" w:rsidR="00CE03AC" w:rsidRDefault="00006E1B"/>
  <w:p w14:paraId="744DD832" w14:textId="77777777" w:rsidR="00A7543E" w:rsidRDefault="00006E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579D" w14:textId="537FC059" w:rsidR="00996627" w:rsidRPr="00725618" w:rsidRDefault="007A2BB2" w:rsidP="00996627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702F1F8" wp14:editId="2146C20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f3c741c4bc8113b8210ca54d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49D166" w14:textId="7DE38F8D" w:rsidR="007A2BB2" w:rsidRPr="007A2BB2" w:rsidRDefault="007A2BB2" w:rsidP="007A2BB2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7A2BB2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02F1F8" id="_x0000_t202" coordsize="21600,21600" o:spt="202" path="m,l,21600r21600,l21600,xe">
              <v:stroke joinstyle="miter"/>
              <v:path gradientshapeok="t" o:connecttype="rect"/>
            </v:shapetype>
            <v:shape id="MSIPCMf3c741c4bc8113b8210ca54d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" o:allowincell="f" filled="f" stroked="f" strokeweight=".5pt">
              <v:textbox inset=",0,20pt,0">
                <w:txbxContent>
                  <w:p w14:paraId="7849D166" w14:textId="7DE38F8D" w:rsidR="007A2BB2" w:rsidRPr="007A2BB2" w:rsidRDefault="007A2BB2" w:rsidP="007A2BB2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7A2BB2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1542B">
      <w:rPr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D7D4C72" wp14:editId="21DB0E72">
              <wp:simplePos x="0" y="0"/>
              <wp:positionH relativeFrom="margin">
                <wp:posOffset>-85725</wp:posOffset>
              </wp:positionH>
              <wp:positionV relativeFrom="paragraph">
                <wp:posOffset>1905</wp:posOffset>
              </wp:positionV>
              <wp:extent cx="4591050" cy="1404620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9B4B65" w14:textId="77777777" w:rsidR="00377930" w:rsidRPr="00456AF4" w:rsidRDefault="0051542B" w:rsidP="00377930">
                          <w:pPr>
                            <w:tabs>
                              <w:tab w:val="left" w:pos="5529"/>
                            </w:tabs>
                            <w:spacing w:line="240" w:lineRule="auto"/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456AF4">
                            <w:rPr>
                              <w:rFonts w:cstheme="minorHAnsi"/>
                              <w:b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t>Biuro Informacji Gospodarczej InfoMonitor S.A</w:t>
                          </w:r>
                          <w:r w:rsidRPr="00456AF4">
                            <w:rPr>
                              <w:rFonts w:cstheme="minorHAnsi"/>
                              <w:bCs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cstheme="minorHAnsi"/>
                              <w:bCs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br/>
                          </w:r>
                          <w:r w:rsidRPr="00456AF4">
                            <w:rPr>
                              <w:rFonts w:cstheme="minorHAnsi"/>
                              <w:bCs/>
                              <w:color w:val="BFBFBF" w:themeColor="background1" w:themeShade="BF"/>
                              <w:sz w:val="16"/>
                              <w:szCs w:val="16"/>
                            </w:rPr>
                            <w:t>ul. Z.</w:t>
                          </w:r>
                          <w:r w:rsidRPr="00456AF4"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 Modzelewskiego 77A, 02-679 Warszawa</w:t>
                          </w:r>
                        </w:p>
                        <w:p w14:paraId="1AA812D9" w14:textId="77777777" w:rsidR="00996627" w:rsidRPr="00F66A72" w:rsidRDefault="0051542B" w:rsidP="00377930">
                          <w:pPr>
                            <w:tabs>
                              <w:tab w:val="left" w:pos="5529"/>
                            </w:tabs>
                            <w:spacing w:line="240" w:lineRule="auto"/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F66A72"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tel. +48 22 486 5656, e-mail: </w:t>
                          </w:r>
                          <w:hyperlink r:id="rId1" w:history="1">
                            <w:r w:rsidRPr="00F66A72">
                              <w:rPr>
                                <w:rStyle w:val="Hipercze"/>
                                <w:rFonts w:cstheme="minorHAnsi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biuro@big.pl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D7D4C72" id="Pole tekstowe 2" o:spid="_x0000_s1027" type="#_x0000_t202" style="position:absolute;margin-left:-6.75pt;margin-top:.15pt;width:36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" stroked="f">
              <v:textbox style="mso-fit-shape-to-text:t">
                <w:txbxContent>
                  <w:p w14:paraId="029B4B65" w14:textId="77777777" w:rsidR="00377930" w:rsidRPr="00456AF4" w:rsidRDefault="0051542B" w:rsidP="00377930">
                    <w:pPr>
                      <w:tabs>
                        <w:tab w:val="left" w:pos="5529"/>
                      </w:tabs>
                      <w:spacing w:line="240" w:lineRule="auto"/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456AF4">
                      <w:rPr>
                        <w:rFonts w:cstheme="minorHAnsi"/>
                        <w:b/>
                        <w:noProof/>
                        <w:color w:val="BFBFBF" w:themeColor="background1" w:themeShade="BF"/>
                        <w:sz w:val="16"/>
                        <w:szCs w:val="16"/>
                      </w:rPr>
                      <w:t>Biuro Informacji Gospodarczej InfoMonitor S.A</w:t>
                    </w:r>
                    <w:r w:rsidRPr="00456AF4">
                      <w:rPr>
                        <w:rFonts w:cstheme="minorHAnsi"/>
                        <w:bCs/>
                        <w:noProof/>
                        <w:color w:val="BFBFBF" w:themeColor="background1" w:themeShade="BF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cstheme="minorHAnsi"/>
                        <w:bCs/>
                        <w:noProof/>
                        <w:color w:val="BFBFBF" w:themeColor="background1" w:themeShade="BF"/>
                        <w:sz w:val="16"/>
                        <w:szCs w:val="16"/>
                      </w:rPr>
                      <w:br/>
                    </w:r>
                    <w:r w:rsidRPr="00456AF4">
                      <w:rPr>
                        <w:rFonts w:cstheme="minorHAnsi"/>
                        <w:bCs/>
                        <w:color w:val="BFBFBF" w:themeColor="background1" w:themeShade="BF"/>
                        <w:sz w:val="16"/>
                        <w:szCs w:val="16"/>
                      </w:rPr>
                      <w:t>ul. Z.</w:t>
                    </w:r>
                    <w:r w:rsidRPr="00456AF4"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</w:rPr>
                      <w:t xml:space="preserve"> Modzelewskiego 77A, 02-679 Warszawa</w:t>
                    </w:r>
                  </w:p>
                  <w:p w14:paraId="1AA812D9" w14:textId="77777777" w:rsidR="00996627" w:rsidRPr="00F66A72" w:rsidRDefault="0051542B" w:rsidP="00377930">
                    <w:pPr>
                      <w:tabs>
                        <w:tab w:val="left" w:pos="5529"/>
                      </w:tabs>
                      <w:spacing w:line="240" w:lineRule="auto"/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F66A72"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</w:rPr>
                      <w:t xml:space="preserve">tel. +48 22 486 5656, e-mail: </w:t>
                    </w:r>
                    <w:hyperlink r:id="rId2" w:history="1">
                      <w:r w:rsidRPr="00F66A72">
                        <w:rPr>
                          <w:rStyle w:val="Hipercze"/>
                          <w:rFonts w:cstheme="minorHAnsi"/>
                          <w:color w:val="BFBFBF" w:themeColor="background1" w:themeShade="BF"/>
                          <w:sz w:val="16"/>
                          <w:szCs w:val="16"/>
                        </w:rPr>
                        <w:t>biuro@big.pl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51542B" w:rsidRPr="00725618">
      <w:t xml:space="preserve"> </w:t>
    </w:r>
  </w:p>
  <w:p w14:paraId="472C0C49" w14:textId="77777777" w:rsidR="00996627" w:rsidRPr="00943829" w:rsidRDefault="0051542B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NUMPAGES  \* Arabic  \* MERGEFORMAT">
      <w:r>
        <w:rPr>
          <w:noProof/>
        </w:rPr>
        <w:t>5</w:t>
      </w:r>
    </w:fldSimple>
  </w:p>
  <w:p w14:paraId="7FE015DF" w14:textId="77777777" w:rsidR="00996627" w:rsidRDefault="00006E1B" w:rsidP="00996627">
    <w:pPr>
      <w:pStyle w:val="BIK-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50ED" w14:textId="77625C66" w:rsidR="00CC4824" w:rsidRPr="00725618" w:rsidRDefault="007A2BB2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37FA167" wp14:editId="6C95530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7" name="MSIPCMd79a4285953cf0cf9b086ef4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3B23EF" w14:textId="15D2BF3C" w:rsidR="007A2BB2" w:rsidRPr="007A2BB2" w:rsidRDefault="007A2BB2" w:rsidP="007A2BB2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7A2BB2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7FA167" id="_x0000_t202" coordsize="21600,21600" o:spt="202" path="m,l,21600r21600,l21600,xe">
              <v:stroke joinstyle="miter"/>
              <v:path gradientshapeok="t" o:connecttype="rect"/>
            </v:shapetype>
            <v:shape id="MSIPCMd79a4285953cf0cf9b086ef4" o:spid="_x0000_s1028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" o:allowincell="f" filled="f" stroked="f" strokeweight=".5pt">
              <v:textbox inset=",0,20pt,0">
                <w:txbxContent>
                  <w:p w14:paraId="6D3B23EF" w14:textId="15D2BF3C" w:rsidR="007A2BB2" w:rsidRPr="007A2BB2" w:rsidRDefault="007A2BB2" w:rsidP="007A2BB2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7A2BB2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1542B">
      <w:rPr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B3A4F3" wp14:editId="22F02C63">
              <wp:simplePos x="0" y="0"/>
              <wp:positionH relativeFrom="margin">
                <wp:posOffset>-85725</wp:posOffset>
              </wp:positionH>
              <wp:positionV relativeFrom="paragraph">
                <wp:posOffset>1905</wp:posOffset>
              </wp:positionV>
              <wp:extent cx="4591050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E8CBCC" w14:textId="77777777" w:rsidR="00377930" w:rsidRPr="00456AF4" w:rsidRDefault="0051542B" w:rsidP="00377930">
                          <w:pPr>
                            <w:tabs>
                              <w:tab w:val="left" w:pos="5529"/>
                            </w:tabs>
                            <w:spacing w:line="240" w:lineRule="auto"/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456AF4">
                            <w:rPr>
                              <w:rFonts w:cstheme="minorHAnsi"/>
                              <w:b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t>Biuro Informacji Gospodarczej InfoMonitor S.A</w:t>
                          </w:r>
                          <w:r w:rsidRPr="00456AF4">
                            <w:rPr>
                              <w:rFonts w:cstheme="minorHAnsi"/>
                              <w:bCs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cstheme="minorHAnsi"/>
                              <w:bCs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br/>
                          </w:r>
                          <w:r w:rsidRPr="00456AF4">
                            <w:rPr>
                              <w:rFonts w:cstheme="minorHAnsi"/>
                              <w:bCs/>
                              <w:color w:val="BFBFBF" w:themeColor="background1" w:themeShade="BF"/>
                              <w:sz w:val="16"/>
                              <w:szCs w:val="16"/>
                            </w:rPr>
                            <w:t>ul. Z.</w:t>
                          </w:r>
                          <w:r w:rsidRPr="00456AF4"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 Modzelewskiego 77A, 02-679 Warszawa</w:t>
                          </w:r>
                        </w:p>
                        <w:p w14:paraId="78DF35F6" w14:textId="77777777" w:rsidR="00CC4824" w:rsidRPr="00F66A72" w:rsidRDefault="0051542B" w:rsidP="004C799A">
                          <w:pPr>
                            <w:tabs>
                              <w:tab w:val="left" w:pos="5529"/>
                            </w:tabs>
                            <w:spacing w:line="240" w:lineRule="auto"/>
                            <w:rPr>
                              <w:rFonts w:cstheme="minorHAnsi"/>
                              <w:b/>
                              <w:bCs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F66A72"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tel. +48 22 486 5656, e-mail: </w:t>
                          </w:r>
                          <w:hyperlink r:id="rId1" w:history="1">
                            <w:r w:rsidRPr="00F66A72">
                              <w:rPr>
                                <w:rStyle w:val="Hipercze"/>
                                <w:rFonts w:cstheme="minorHAnsi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biuro@big.pl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B3A4F3" id="_x0000_s1029" type="#_x0000_t202" style="position:absolute;margin-left:-6.75pt;margin-top:.15pt;width:361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" stroked="f">
              <v:textbox style="mso-fit-shape-to-text:t">
                <w:txbxContent>
                  <w:p w14:paraId="37E8CBCC" w14:textId="77777777" w:rsidR="00377930" w:rsidRPr="00456AF4" w:rsidRDefault="0051542B" w:rsidP="00377930">
                    <w:pPr>
                      <w:tabs>
                        <w:tab w:val="left" w:pos="5529"/>
                      </w:tabs>
                      <w:spacing w:line="240" w:lineRule="auto"/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456AF4">
                      <w:rPr>
                        <w:rFonts w:cstheme="minorHAnsi"/>
                        <w:b/>
                        <w:noProof/>
                        <w:color w:val="BFBFBF" w:themeColor="background1" w:themeShade="BF"/>
                        <w:sz w:val="16"/>
                        <w:szCs w:val="16"/>
                      </w:rPr>
                      <w:t>Biuro Informacji Gospodarczej InfoMonitor S.A</w:t>
                    </w:r>
                    <w:r w:rsidRPr="00456AF4">
                      <w:rPr>
                        <w:rFonts w:cstheme="minorHAnsi"/>
                        <w:bCs/>
                        <w:noProof/>
                        <w:color w:val="BFBFBF" w:themeColor="background1" w:themeShade="BF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cstheme="minorHAnsi"/>
                        <w:bCs/>
                        <w:noProof/>
                        <w:color w:val="BFBFBF" w:themeColor="background1" w:themeShade="BF"/>
                        <w:sz w:val="16"/>
                        <w:szCs w:val="16"/>
                      </w:rPr>
                      <w:br/>
                    </w:r>
                    <w:r w:rsidRPr="00456AF4">
                      <w:rPr>
                        <w:rFonts w:cstheme="minorHAnsi"/>
                        <w:bCs/>
                        <w:color w:val="BFBFBF" w:themeColor="background1" w:themeShade="BF"/>
                        <w:sz w:val="16"/>
                        <w:szCs w:val="16"/>
                      </w:rPr>
                      <w:t>ul. Z.</w:t>
                    </w:r>
                    <w:r w:rsidRPr="00456AF4"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</w:rPr>
                      <w:t xml:space="preserve"> Modzelewskiego 77A, 02-679 Warszawa</w:t>
                    </w:r>
                  </w:p>
                  <w:p w14:paraId="78DF35F6" w14:textId="77777777" w:rsidR="00CC4824" w:rsidRPr="00F66A72" w:rsidRDefault="0051542B" w:rsidP="004C799A">
                    <w:pPr>
                      <w:tabs>
                        <w:tab w:val="left" w:pos="5529"/>
                      </w:tabs>
                      <w:spacing w:line="240" w:lineRule="auto"/>
                      <w:rPr>
                        <w:rFonts w:cstheme="minorHAnsi"/>
                        <w:b/>
                        <w:bCs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F66A72"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</w:rPr>
                      <w:t xml:space="preserve">tel. +48 22 486 5656, e-mail: </w:t>
                    </w:r>
                    <w:hyperlink r:id="rId2" w:history="1">
                      <w:r w:rsidRPr="00F66A72">
                        <w:rPr>
                          <w:rStyle w:val="Hipercze"/>
                          <w:rFonts w:cstheme="minorHAnsi"/>
                          <w:color w:val="BFBFBF" w:themeColor="background1" w:themeShade="BF"/>
                          <w:sz w:val="16"/>
                          <w:szCs w:val="16"/>
                        </w:rPr>
                        <w:t>biuro@big.pl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51542B" w:rsidRPr="00725618">
      <w:t xml:space="preserve"> </w:t>
    </w:r>
  </w:p>
  <w:p w14:paraId="1F3888C3" w14:textId="77777777" w:rsidR="00CC4824" w:rsidRPr="00943829" w:rsidRDefault="0051542B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56E3738F" w14:textId="77777777" w:rsidR="00CC4824" w:rsidRDefault="00006E1B" w:rsidP="00CC4824">
    <w:pPr>
      <w:pStyle w:val="BIK-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86FD0" w14:textId="77777777" w:rsidR="00006E1B" w:rsidRDefault="00006E1B" w:rsidP="003E0350">
      <w:pPr>
        <w:spacing w:line="240" w:lineRule="auto"/>
      </w:pPr>
      <w:r>
        <w:separator/>
      </w:r>
    </w:p>
  </w:footnote>
  <w:footnote w:type="continuationSeparator" w:id="0">
    <w:p w14:paraId="13BC2A9C" w14:textId="77777777" w:rsidR="00006E1B" w:rsidRDefault="00006E1B" w:rsidP="003E03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7AAC" w14:textId="77777777" w:rsidR="00CE03AC" w:rsidRDefault="00006E1B"/>
  <w:p w14:paraId="3B34D806" w14:textId="77777777" w:rsidR="00A7543E" w:rsidRDefault="00006E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9750" w14:textId="77777777" w:rsidR="006E3A99" w:rsidRDefault="0051542B"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D752D44" wp14:editId="53566F3B">
          <wp:simplePos x="0" y="0"/>
          <wp:positionH relativeFrom="column">
            <wp:posOffset>-438150</wp:posOffset>
          </wp:positionH>
          <wp:positionV relativeFrom="paragraph">
            <wp:posOffset>8890</wp:posOffset>
          </wp:positionV>
          <wp:extent cx="2266950" cy="1197584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1197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CAAE89" w14:textId="77777777" w:rsidR="006E3A99" w:rsidRDefault="00006E1B"/>
  <w:p w14:paraId="79966268" w14:textId="77777777" w:rsidR="006E3A99" w:rsidRDefault="00006E1B"/>
  <w:p w14:paraId="194A292B" w14:textId="77777777" w:rsidR="006E3A99" w:rsidRDefault="00006E1B"/>
  <w:p w14:paraId="4D1A13FD" w14:textId="77777777" w:rsidR="006E3A99" w:rsidRDefault="00006E1B" w:rsidP="00984334">
    <w:pPr>
      <w:ind w:firstLine="708"/>
    </w:pPr>
  </w:p>
  <w:p w14:paraId="7C7DA1AE" w14:textId="77777777" w:rsidR="006E3A99" w:rsidRDefault="00006E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50"/>
    <w:rsid w:val="00006E1B"/>
    <w:rsid w:val="000D2B5F"/>
    <w:rsid w:val="000E0A27"/>
    <w:rsid w:val="00117632"/>
    <w:rsid w:val="001D4D9A"/>
    <w:rsid w:val="00231BA6"/>
    <w:rsid w:val="00245D6C"/>
    <w:rsid w:val="00380DA2"/>
    <w:rsid w:val="003E0350"/>
    <w:rsid w:val="004579AF"/>
    <w:rsid w:val="0049503F"/>
    <w:rsid w:val="0051542B"/>
    <w:rsid w:val="005802C3"/>
    <w:rsid w:val="005C765C"/>
    <w:rsid w:val="00607ADF"/>
    <w:rsid w:val="00685AA6"/>
    <w:rsid w:val="006A1675"/>
    <w:rsid w:val="0075606D"/>
    <w:rsid w:val="007A2BB2"/>
    <w:rsid w:val="0082433A"/>
    <w:rsid w:val="00850E18"/>
    <w:rsid w:val="00881E49"/>
    <w:rsid w:val="008B340E"/>
    <w:rsid w:val="00962150"/>
    <w:rsid w:val="009F56F6"/>
    <w:rsid w:val="00A03CE1"/>
    <w:rsid w:val="00A42EE6"/>
    <w:rsid w:val="00AC16BA"/>
    <w:rsid w:val="00AD00AB"/>
    <w:rsid w:val="00AE2D76"/>
    <w:rsid w:val="00B21020"/>
    <w:rsid w:val="00B5320B"/>
    <w:rsid w:val="00B56C65"/>
    <w:rsid w:val="00B977ED"/>
    <w:rsid w:val="00BF3A83"/>
    <w:rsid w:val="00C53460"/>
    <w:rsid w:val="00CA1EDD"/>
    <w:rsid w:val="00CA596F"/>
    <w:rsid w:val="00CE3ABD"/>
    <w:rsid w:val="00CF6CBD"/>
    <w:rsid w:val="00D77FBC"/>
    <w:rsid w:val="00D927CB"/>
    <w:rsid w:val="00D97663"/>
    <w:rsid w:val="00E215C6"/>
    <w:rsid w:val="00E37942"/>
    <w:rsid w:val="00E472DF"/>
    <w:rsid w:val="00EC3A48"/>
    <w:rsid w:val="00EF0FF4"/>
    <w:rsid w:val="00F66A72"/>
    <w:rsid w:val="00FD69C4"/>
    <w:rsid w:val="00FE37FB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D4A00"/>
  <w15:chartTrackingRefBased/>
  <w15:docId w15:val="{B40C77E4-8B71-424D-9776-F45B873E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350"/>
    <w:pPr>
      <w:spacing w:after="0" w:line="300" w:lineRule="exact"/>
    </w:pPr>
    <w:rPr>
      <w:color w:val="161616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IK-Stopka">
    <w:name w:val="BIK - Stopka"/>
    <w:basedOn w:val="Normalny"/>
    <w:autoRedefine/>
    <w:qFormat/>
    <w:rsid w:val="003E0350"/>
    <w:pPr>
      <w:widowControl w:val="0"/>
      <w:spacing w:line="220" w:lineRule="exact"/>
      <w:contextualSpacing/>
    </w:pPr>
    <w:rPr>
      <w:noProof/>
      <w:color w:val="9E9E9E"/>
      <w:sz w:val="16"/>
    </w:rPr>
  </w:style>
  <w:style w:type="paragraph" w:customStyle="1" w:styleId="BIK-Pagina">
    <w:name w:val="BIK - Pagina"/>
    <w:basedOn w:val="Normalny"/>
    <w:autoRedefine/>
    <w:qFormat/>
    <w:rsid w:val="003E0350"/>
    <w:pPr>
      <w:widowControl w:val="0"/>
      <w:jc w:val="right"/>
    </w:pPr>
    <w:rPr>
      <w:color w:val="44546A" w:themeColor="text2"/>
    </w:rPr>
  </w:style>
  <w:style w:type="paragraph" w:customStyle="1" w:styleId="StylStBIKsubowagwka">
    <w:name w:val="Styl StBIK służbowa główka"/>
    <w:basedOn w:val="Normalny"/>
    <w:link w:val="StylStBIKsubowagwkaZnak"/>
    <w:rsid w:val="003E0350"/>
    <w:pPr>
      <w:keepLines/>
      <w:spacing w:line="415" w:lineRule="atLeast"/>
    </w:pPr>
    <w:rPr>
      <w:rFonts w:eastAsia="Times New Roman" w:cs="Times New Roman"/>
      <w:b/>
      <w:color w:val="auto"/>
      <w:spacing w:val="-5"/>
      <w:sz w:val="24"/>
      <w:szCs w:val="20"/>
    </w:rPr>
  </w:style>
  <w:style w:type="character" w:customStyle="1" w:styleId="StylStBIKsubowagwkaZnak">
    <w:name w:val="Styl StBIK służbowa główka Znak"/>
    <w:basedOn w:val="Domylnaczcionkaakapitu"/>
    <w:link w:val="StylStBIKsubowagwka"/>
    <w:rsid w:val="003E0350"/>
    <w:rPr>
      <w:rFonts w:eastAsia="Times New Roman" w:cs="Times New Roman"/>
      <w:b/>
      <w:spacing w:val="-5"/>
      <w:sz w:val="24"/>
      <w:szCs w:val="20"/>
    </w:rPr>
  </w:style>
  <w:style w:type="character" w:styleId="Hipercze">
    <w:name w:val="Hyperlink"/>
    <w:rsid w:val="003E035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3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35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350"/>
    <w:rPr>
      <w:color w:val="161616"/>
      <w:sz w:val="20"/>
      <w:szCs w:val="20"/>
    </w:rPr>
  </w:style>
  <w:style w:type="table" w:styleId="Zwykatabela1">
    <w:name w:val="Plain Table 1"/>
    <w:basedOn w:val="Standardowy"/>
    <w:uiPriority w:val="41"/>
    <w:rsid w:val="003E0350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3E03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350"/>
    <w:rPr>
      <w:color w:val="161616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2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2DF"/>
    <w:rPr>
      <w:b/>
      <w:bCs/>
      <w:color w:val="161616"/>
      <w:sz w:val="20"/>
      <w:szCs w:val="20"/>
    </w:rPr>
  </w:style>
  <w:style w:type="table" w:styleId="Tabelasiatki5ciemnaakcent5">
    <w:name w:val="Grid Table 5 Dark Accent 5"/>
    <w:basedOn w:val="Standardowy"/>
    <w:uiPriority w:val="50"/>
    <w:rsid w:val="00A42E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siatki4akcent5">
    <w:name w:val="Grid Table 4 Accent 5"/>
    <w:basedOn w:val="Standardowy"/>
    <w:uiPriority w:val="49"/>
    <w:rsid w:val="00A42E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mailto:diana.borowiecka@big.pl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mailto:halina.kochalska@big.pl" TargetMode="Externa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big.pl" TargetMode="External"/><Relationship Id="rId1" Type="http://schemas.openxmlformats.org/officeDocument/2006/relationships/hyperlink" Target="mailto:biuro@big.p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big.pl" TargetMode="External"/><Relationship Id="rId1" Type="http://schemas.openxmlformats.org/officeDocument/2006/relationships/hyperlink" Target="mailto:biuro@bi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_OwnCloud\BIGInfoMonitor\badania\zaleg&#322;o&#347;ci%20m&#322;odych_wykres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_OwnCloud\BIGInfoMonitor\badania\zaleg&#322;o&#347;ci%20m&#322;odych_wykres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_OwnCloud\BIGInfoMonitor\badania\zaleg&#322;o&#347;ci%20m&#322;odych_wykres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_OwnCloud\BIGInfoMonitor\badania\zaleg&#322;o&#347;ci%20m&#322;odych_wykresy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00" b="1" i="0" cap="small" baseline="0"/>
              <a:t>Liczba i odsetek osób w wieku 18-24 z zadłużeniem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8145903345932692E-2"/>
          <c:y val="0.11615740740740743"/>
          <c:w val="0.81931369603644266"/>
          <c:h val="0.716497600950079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Arkusz1!$A$8</c:f>
              <c:strCache>
                <c:ptCount val="1"/>
                <c:pt idx="0">
                  <c:v>Liczba osób z zadłużeniem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Arkusz1!$B$7:$D$7</c:f>
              <c:strCache>
                <c:ptCount val="3"/>
                <c:pt idx="0">
                  <c:v>III 2020</c:v>
                </c:pt>
                <c:pt idx="1">
                  <c:v>VII 2020</c:v>
                </c:pt>
                <c:pt idx="2">
                  <c:v>VII 2021</c:v>
                </c:pt>
              </c:strCache>
            </c:strRef>
          </c:cat>
          <c:val>
            <c:numRef>
              <c:f>Arkusz1!$B$8:$D$8</c:f>
              <c:numCache>
                <c:formatCode>#,##0</c:formatCode>
                <c:ptCount val="3"/>
                <c:pt idx="0">
                  <c:v>151496</c:v>
                </c:pt>
                <c:pt idx="1">
                  <c:v>142844</c:v>
                </c:pt>
                <c:pt idx="2">
                  <c:v>124920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8C-4DDC-8A65-A2E688324B2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20"/>
        <c:overlap val="-27"/>
        <c:axId val="448384288"/>
        <c:axId val="448381664"/>
      </c:barChart>
      <c:lineChart>
        <c:grouping val="standard"/>
        <c:varyColors val="0"/>
        <c:ser>
          <c:idx val="1"/>
          <c:order val="1"/>
          <c:tx>
            <c:strRef>
              <c:f>Arkusz1!$A$9</c:f>
              <c:strCache>
                <c:ptCount val="1"/>
                <c:pt idx="0">
                  <c:v>Udział osób z zadłużeniem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5,3%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0E8C-4DDC-8A65-A2E688324B2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5,0%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0E8C-4DDC-8A65-A2E688324B2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4,4%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0E8C-4DDC-8A65-A2E688324B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accent4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Arkusz1!$B$7:$D$7</c:f>
              <c:strCache>
                <c:ptCount val="3"/>
                <c:pt idx="0">
                  <c:v>III 2020</c:v>
                </c:pt>
                <c:pt idx="1">
                  <c:v>VII 2020</c:v>
                </c:pt>
                <c:pt idx="2">
                  <c:v>VII 2021</c:v>
                </c:pt>
              </c:strCache>
            </c:strRef>
          </c:cat>
          <c:val>
            <c:numRef>
              <c:f>Arkusz1!$B$9:$D$9</c:f>
              <c:numCache>
                <c:formatCode>0.00%</c:formatCode>
                <c:ptCount val="3"/>
                <c:pt idx="0">
                  <c:v>5.281202709764278E-2</c:v>
                </c:pt>
                <c:pt idx="1">
                  <c:v>4.9795910114694017E-2</c:v>
                </c:pt>
                <c:pt idx="2">
                  <c:v>4.3547542014558377E-2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8C-4DDC-8A65-A2E688324B2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41488376"/>
        <c:axId val="641486736"/>
      </c:lineChart>
      <c:catAx>
        <c:axId val="448384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8381664"/>
        <c:crosses val="autoZero"/>
        <c:auto val="1"/>
        <c:lblAlgn val="ctr"/>
        <c:lblOffset val="100"/>
        <c:noMultiLvlLbl val="0"/>
      </c:catAx>
      <c:valAx>
        <c:axId val="448381664"/>
        <c:scaling>
          <c:orientation val="minMax"/>
        </c:scaling>
        <c:delete val="0"/>
        <c:axPos val="l"/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8384288"/>
        <c:crosses val="autoZero"/>
        <c:crossBetween val="between"/>
      </c:valAx>
      <c:valAx>
        <c:axId val="641486736"/>
        <c:scaling>
          <c:orientation val="minMax"/>
        </c:scaling>
        <c:delete val="0"/>
        <c:axPos val="r"/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41488376"/>
        <c:crosses val="max"/>
        <c:crossBetween val="between"/>
      </c:valAx>
      <c:catAx>
        <c:axId val="64148837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64148673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00" b="1" i="0" cap="small" baseline="0"/>
              <a:t>Kwota zaległych zobowiązań osób w wieku 18-24 lata</a:t>
            </a:r>
          </a:p>
        </c:rich>
      </c:tx>
      <c:layout>
        <c:manualLayout>
          <c:xMode val="edge"/>
          <c:yMode val="edge"/>
          <c:x val="0.2537113670262582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2.4229074889867842E-2"/>
          <c:y val="7.9120370370370396E-2"/>
          <c:w val="0.95154185022026427"/>
          <c:h val="0.752326947937477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Arkusz1!$B$3</c:f>
              <c:strCache>
                <c:ptCount val="1"/>
                <c:pt idx="0">
                  <c:v>III 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D3AEAF3E-F78E-49A0-AB85-8E69E9F992F0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A4F9-4E2E-BD23-157E9F4A008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6A34CB4F-45C3-49CE-A8A2-41BA8FBAAA63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A4F9-4E2E-BD23-157E9F4A008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Arkusz1!$A$5:$A$6</c:f>
              <c:strCache>
                <c:ptCount val="2"/>
                <c:pt idx="0">
                  <c:v>Łączna kwota zaległych zobowiązań pozakredytowych</c:v>
                </c:pt>
                <c:pt idx="1">
                  <c:v>Łączna kwota zaległych zobowiązań kredytowych</c:v>
                </c:pt>
              </c:strCache>
              <c:extLst/>
            </c:strRef>
          </c:cat>
          <c:val>
            <c:numRef>
              <c:f>Arkusz1!$B$5:$B$6</c:f>
              <c:numCache>
                <c:formatCode>#\ ##0.0\ \ " mln zł"</c:formatCode>
                <c:ptCount val="2"/>
                <c:pt idx="0">
                  <c:v>601467864.96811593</c:v>
                </c:pt>
                <c:pt idx="1">
                  <c:v>597550201.99036491</c:v>
                </c:pt>
              </c:numCache>
              <c:extLst/>
            </c:numRef>
          </c:val>
          <c:extLst>
            <c:ext xmlns:c15="http://schemas.microsoft.com/office/drawing/2012/chart" uri="{02D57815-91ED-43cb-92C2-25804820EDAC}">
              <c15:datalabelsRange>
                <c15:f>Arkusz1!$B$5:$B$6</c15:f>
                <c15:dlblRangeCache>
                  <c:ptCount val="2"/>
                  <c:pt idx="0">
                    <c:v>601,5 mln zł</c:v>
                  </c:pt>
                  <c:pt idx="1">
                    <c:v>597,6 mln zł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2-A4F9-4E2E-BD23-157E9F4A008A}"/>
            </c:ext>
          </c:extLst>
        </c:ser>
        <c:ser>
          <c:idx val="1"/>
          <c:order val="1"/>
          <c:tx>
            <c:strRef>
              <c:f>Arkusz1!$C$3</c:f>
              <c:strCache>
                <c:ptCount val="1"/>
                <c:pt idx="0">
                  <c:v>VII 2020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7A717A5-F75E-4C79-9F68-11973AC63B9F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A4F9-4E2E-BD23-157E9F4A008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7DBF998-D0F1-4483-978B-986B98561BE7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4-A4F9-4E2E-BD23-157E9F4A008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Arkusz1!$A$5:$A$6</c:f>
              <c:strCache>
                <c:ptCount val="2"/>
                <c:pt idx="0">
                  <c:v>Łączna kwota zaległych zobowiązań pozakredytowych</c:v>
                </c:pt>
                <c:pt idx="1">
                  <c:v>Łączna kwota zaległych zobowiązań kredytowych</c:v>
                </c:pt>
              </c:strCache>
              <c:extLst/>
            </c:strRef>
          </c:cat>
          <c:val>
            <c:numRef>
              <c:f>Arkusz1!$C$5:$C$6</c:f>
              <c:numCache>
                <c:formatCode>#\ ##0.0\ \ " mln zł"</c:formatCode>
                <c:ptCount val="2"/>
                <c:pt idx="0">
                  <c:v>567898483.96327209</c:v>
                </c:pt>
                <c:pt idx="1">
                  <c:v>565899975.41913962</c:v>
                </c:pt>
              </c:numCache>
              <c:extLst/>
            </c:numRef>
          </c:val>
          <c:extLst>
            <c:ext xmlns:c15="http://schemas.microsoft.com/office/drawing/2012/chart" uri="{02D57815-91ED-43cb-92C2-25804820EDAC}">
              <c15:datalabelsRange>
                <c15:f>Arkusz1!$C$5:$C$6</c15:f>
                <c15:dlblRangeCache>
                  <c:ptCount val="2"/>
                  <c:pt idx="0">
                    <c:v>567,9 mln zł</c:v>
                  </c:pt>
                  <c:pt idx="1">
                    <c:v>565,9 mln zł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5-A4F9-4E2E-BD23-157E9F4A008A}"/>
            </c:ext>
          </c:extLst>
        </c:ser>
        <c:ser>
          <c:idx val="2"/>
          <c:order val="2"/>
          <c:tx>
            <c:strRef>
              <c:f>Arkusz1!$D$3</c:f>
              <c:strCache>
                <c:ptCount val="1"/>
                <c:pt idx="0">
                  <c:v>VII 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21BC798A-2684-4BE3-8418-6A285B903E68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6-A4F9-4E2E-BD23-157E9F4A008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A0C0BEC6-9372-48A0-9034-F201D16ABAF6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7-A4F9-4E2E-BD23-157E9F4A008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Arkusz1!$A$5:$A$6</c:f>
              <c:strCache>
                <c:ptCount val="2"/>
                <c:pt idx="0">
                  <c:v>Łączna kwota zaległych zobowiązań pozakredytowych</c:v>
                </c:pt>
                <c:pt idx="1">
                  <c:v>Łączna kwota zaległych zobowiązań kredytowych</c:v>
                </c:pt>
              </c:strCache>
              <c:extLst/>
            </c:strRef>
          </c:cat>
          <c:val>
            <c:numRef>
              <c:f>Arkusz1!$D$5:$D$6</c:f>
              <c:numCache>
                <c:formatCode>#\ ##0.0\ \ " mln zł"</c:formatCode>
                <c:ptCount val="2"/>
                <c:pt idx="0">
                  <c:v>546208007.42602932</c:v>
                </c:pt>
                <c:pt idx="1">
                  <c:v>461826027.81294268</c:v>
                </c:pt>
              </c:numCache>
              <c:extLst/>
            </c:numRef>
          </c:val>
          <c:extLst>
            <c:ext xmlns:c15="http://schemas.microsoft.com/office/drawing/2012/chart" uri="{02D57815-91ED-43cb-92C2-25804820EDAC}">
              <c15:datalabelsRange>
                <c15:f>Arkusz1!$D$5:$D$6</c15:f>
                <c15:dlblRangeCache>
                  <c:ptCount val="2"/>
                  <c:pt idx="0">
                    <c:v>546,2 mln zł</c:v>
                  </c:pt>
                  <c:pt idx="1">
                    <c:v>461,8 mln zł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8-A4F9-4E2E-BD23-157E9F4A00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axId val="634441816"/>
        <c:axId val="634440832"/>
        <c:extLst>
          <c:ext xmlns:c15="http://schemas.microsoft.com/office/drawing/2012/chart" uri="{02D57815-91ED-43cb-92C2-25804820EDAC}">
            <c15:filteredBarSeries>
              <c15:ser>
                <c:idx val="3"/>
                <c:order val="3"/>
                <c:tx>
                  <c:strRef>
                    <c:extLst>
                      <c:ext uri="{02D57815-91ED-43cb-92C2-25804820EDAC}">
                        <c15:formulaRef>
                          <c15:sqref>Arkusz1!$A$8:$D$8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val>
                  <c:numLit>
                    <c:formatCode>General</c:formatCode>
                    <c:ptCount val="1"/>
                    <c:pt idx="0">
                      <c:v>1</c:v>
                    </c:pt>
                  </c:numLit>
                </c:val>
                <c:extLst>
                  <c:ext xmlns:c16="http://schemas.microsoft.com/office/drawing/2014/chart" uri="{C3380CC4-5D6E-409C-BE32-E72D297353CC}">
                    <c16:uniqueId val="{00000001-D97E-40D3-ADB4-99231570E5E2}"/>
                  </c:ext>
                </c:extLst>
              </c15:ser>
            </c15:filteredBarSeries>
          </c:ext>
        </c:extLst>
      </c:barChart>
      <c:catAx>
        <c:axId val="634441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34440832"/>
        <c:crosses val="autoZero"/>
        <c:auto val="1"/>
        <c:lblAlgn val="ctr"/>
        <c:lblOffset val="100"/>
        <c:noMultiLvlLbl val="0"/>
      </c:catAx>
      <c:valAx>
        <c:axId val="634440832"/>
        <c:scaling>
          <c:orientation val="minMax"/>
          <c:max val="620000000"/>
          <c:min val="20000000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\ \ &quot; mln zł&quot;" sourceLinked="1"/>
        <c:majorTickMark val="out"/>
        <c:minorTickMark val="none"/>
        <c:tickLblPos val="nextTo"/>
        <c:crossAx val="634441816"/>
        <c:crosses val="autoZero"/>
        <c:crossBetween val="between"/>
        <c:majorUnit val="50000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small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00" b="1" i="0" cap="small" baseline="0"/>
              <a:t>Na co mogą sobie pozwolić</a:t>
            </a:r>
          </a:p>
          <a:p>
            <a:pPr>
              <a:defRPr sz="1000" b="1" cap="small"/>
            </a:pPr>
            <a:r>
              <a:rPr lang="pl-PL" sz="1000" b="1" i="0" cap="small" baseline="0"/>
              <a:t>18-24 latkowie?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small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18373389364843837"/>
          <c:y val="0.19347627737226272"/>
          <c:w val="0.64628773191521627"/>
          <c:h val="0.64304449968388988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2DF-495B-B2A2-C9E9A3B3833B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2DF-495B-B2A2-C9E9A3B3833B}"/>
              </c:ext>
            </c:extLst>
          </c:dPt>
          <c:dPt>
            <c:idx val="2"/>
            <c:bubble3D val="0"/>
            <c:spPr>
              <a:solidFill>
                <a:srgbClr val="00206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2DF-495B-B2A2-C9E9A3B3833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Arkusz1!$A$103:$A$105</c:f>
              <c:strCache>
                <c:ptCount val="3"/>
                <c:pt idx="0">
                  <c:v>Stać mnie na więcej</c:v>
                </c:pt>
                <c:pt idx="1">
                  <c:v>Stać mnie na mniej</c:v>
                </c:pt>
                <c:pt idx="2">
                  <c:v>Stać mnie na to samo</c:v>
                </c:pt>
              </c:strCache>
            </c:strRef>
          </c:cat>
          <c:val>
            <c:numRef>
              <c:f>Arkusz1!$B$103:$B$105</c:f>
              <c:numCache>
                <c:formatCode>0%</c:formatCode>
                <c:ptCount val="3"/>
                <c:pt idx="0">
                  <c:v>0.2</c:v>
                </c:pt>
                <c:pt idx="1">
                  <c:v>0.32</c:v>
                </c:pt>
                <c:pt idx="2">
                  <c:v>0.48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2DF-495B-B2A2-C9E9A3B3833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6263326437702857E-2"/>
          <c:y val="0.8711211851255819"/>
          <c:w val="0.87869755620299883"/>
          <c:h val="0.1015065521006954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small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00" b="1" i="0" cap="small" baseline="0"/>
              <a:t>Ocena poziomu dochodów</a:t>
            </a:r>
          </a:p>
          <a:p>
            <a:pPr>
              <a:defRPr sz="1000" b="1" cap="small"/>
            </a:pPr>
            <a:r>
              <a:rPr lang="pl-PL" sz="1000" b="1" i="0" cap="small" baseline="0"/>
              <a:t>18-24 latków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small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19703466025409574"/>
          <c:y val="0.20260036496350364"/>
          <c:w val="0.61496578796184476"/>
          <c:h val="0.62099761480544857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C77-4990-8EC2-CD7B1D79B30D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C77-4990-8EC2-CD7B1D79B30D}"/>
              </c:ext>
            </c:extLst>
          </c:dPt>
          <c:dPt>
            <c:idx val="2"/>
            <c:bubble3D val="0"/>
            <c:spPr>
              <a:solidFill>
                <a:srgbClr val="00206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C77-4990-8EC2-CD7B1D79B30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Arkusz1!$A$115:$A$117</c:f>
              <c:strCache>
                <c:ptCount val="3"/>
                <c:pt idx="0">
                  <c:v>Są mniejsze</c:v>
                </c:pt>
                <c:pt idx="1">
                  <c:v>Są takie same</c:v>
                </c:pt>
                <c:pt idx="2">
                  <c:v>Są większe</c:v>
                </c:pt>
              </c:strCache>
            </c:strRef>
          </c:cat>
          <c:val>
            <c:numRef>
              <c:f>Arkusz1!$B$115:$B$117</c:f>
              <c:numCache>
                <c:formatCode>0%</c:formatCode>
                <c:ptCount val="3"/>
                <c:pt idx="0">
                  <c:v>0.23</c:v>
                </c:pt>
                <c:pt idx="1">
                  <c:v>0.57999999999999996</c:v>
                </c:pt>
                <c:pt idx="2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C77-4990-8EC2-CD7B1D79B30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1450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Kochalska Halina</dc:creator>
  <cp:keywords/>
  <dc:description/>
  <cp:lastModifiedBy>Borowiecka Diana</cp:lastModifiedBy>
  <cp:revision>5</cp:revision>
  <dcterms:created xsi:type="dcterms:W3CDTF">2021-10-04T11:45:00Z</dcterms:created>
  <dcterms:modified xsi:type="dcterms:W3CDTF">2021-10-05T09:23:00Z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91a466-f120-4668-a5e5-7af4d8a99d82_Enabled">
    <vt:lpwstr>true</vt:lpwstr>
  </property>
  <property fmtid="{D5CDD505-2E9C-101B-9397-08002B2CF9AE}" pid="3" name="MSIP_Label_1391a466-f120-4668-a5e5-7af4d8a99d82_SetDate">
    <vt:lpwstr>2021-10-05T09:23:44Z</vt:lpwstr>
  </property>
  <property fmtid="{D5CDD505-2E9C-101B-9397-08002B2CF9AE}" pid="4" name="MSIP_Label_1391a466-f120-4668-a5e5-7af4d8a99d82_Method">
    <vt:lpwstr>Privileged</vt:lpwstr>
  </property>
  <property fmtid="{D5CDD505-2E9C-101B-9397-08002B2CF9AE}" pid="5" name="MSIP_Label_1391a466-f120-4668-a5e5-7af4d8a99d82_Name">
    <vt:lpwstr>Grupa BIK-Jawne</vt:lpwstr>
  </property>
  <property fmtid="{D5CDD505-2E9C-101B-9397-08002B2CF9AE}" pid="6" name="MSIP_Label_1391a466-f120-4668-a5e5-7af4d8a99d82_SiteId">
    <vt:lpwstr>f2871815-01ea-45c0-a64b-82e189df602c</vt:lpwstr>
  </property>
  <property fmtid="{D5CDD505-2E9C-101B-9397-08002B2CF9AE}" pid="7" name="MSIP_Label_1391a466-f120-4668-a5e5-7af4d8a99d82_ActionId">
    <vt:lpwstr>0aa5ec6f-cd6c-4a00-81c1-32dffc5adaeb</vt:lpwstr>
  </property>
  <property fmtid="{D5CDD505-2E9C-101B-9397-08002B2CF9AE}" pid="8" name="MSIP_Label_1391a466-f120-4668-a5e5-7af4d8a99d82_ContentBits">
    <vt:lpwstr>2</vt:lpwstr>
  </property>
</Properties>
</file>