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4740" w14:textId="3857BA60" w:rsidR="00EA506D" w:rsidRPr="000C3C17" w:rsidRDefault="000C3C17" w:rsidP="000C3C17">
      <w:pPr>
        <w:jc w:val="center"/>
        <w:rPr>
          <w:rFonts w:ascii="Calibri" w:hAnsi="Calibri" w:cs="Calibri"/>
          <w:b/>
          <w:bCs/>
          <w:lang w:val="pl-PL"/>
        </w:rPr>
      </w:pPr>
      <w:r>
        <w:rPr>
          <w:rFonts w:ascii="Calibri" w:hAnsi="Calibri" w:cs="Calibri"/>
          <w:b/>
          <w:bCs/>
        </w:rPr>
        <w:t xml:space="preserve">Kolejna edycja </w:t>
      </w:r>
      <w:r w:rsidR="00EA506D" w:rsidRPr="000C3C17">
        <w:rPr>
          <w:rFonts w:ascii="Calibri" w:hAnsi="Calibri" w:cs="Calibri"/>
          <w:b/>
          <w:bCs/>
          <w:lang w:val="pl-PL"/>
        </w:rPr>
        <w:t>Allianz Global Wealth Report 2021: oszczędności z domu</w:t>
      </w:r>
    </w:p>
    <w:p w14:paraId="4DF4D20D" w14:textId="442B2DCA" w:rsidR="00D03A72" w:rsidRPr="000C3C17" w:rsidRDefault="00D03A72" w:rsidP="000C3C17">
      <w:pPr>
        <w:jc w:val="both"/>
        <w:rPr>
          <w:rFonts w:ascii="Calibri" w:hAnsi="Calibri" w:cs="Calibri"/>
          <w:lang w:val="pl-PL"/>
        </w:rPr>
      </w:pPr>
    </w:p>
    <w:p w14:paraId="47887BE5" w14:textId="36BB1452" w:rsidR="00D03A72" w:rsidRPr="000C3C17" w:rsidRDefault="00D03A72" w:rsidP="000C3C17">
      <w:pPr>
        <w:jc w:val="both"/>
        <w:rPr>
          <w:rFonts w:ascii="Calibri" w:hAnsi="Calibri" w:cs="Calibri"/>
          <w:b/>
          <w:bCs/>
          <w:lang w:val="pl-PL"/>
        </w:rPr>
      </w:pPr>
      <w:r w:rsidRPr="000C3C17">
        <w:rPr>
          <w:rFonts w:ascii="Calibri" w:hAnsi="Calibri" w:cs="Calibri"/>
          <w:b/>
          <w:bCs/>
          <w:lang w:val="pl-PL"/>
        </w:rPr>
        <w:t xml:space="preserve">Allianz zaprezentował dziś dwunastą edycję „Global Wealth Report”, w którym analizowana jest sytuacja majątkowa i </w:t>
      </w:r>
      <w:r w:rsidR="00237553">
        <w:rPr>
          <w:rFonts w:ascii="Calibri" w:hAnsi="Calibri" w:cs="Calibri"/>
          <w:b/>
          <w:bCs/>
          <w:lang w:val="pl-PL"/>
        </w:rPr>
        <w:t xml:space="preserve">związana z zadłużeniem </w:t>
      </w:r>
      <w:r w:rsidRPr="000C3C17">
        <w:rPr>
          <w:rFonts w:ascii="Calibri" w:hAnsi="Calibri" w:cs="Calibri"/>
          <w:b/>
          <w:bCs/>
          <w:lang w:val="pl-PL"/>
        </w:rPr>
        <w:t>gospodarstw domowych w prawie 60 krajach.</w:t>
      </w:r>
    </w:p>
    <w:p w14:paraId="57A7961A" w14:textId="77777777" w:rsidR="007D0E86" w:rsidRPr="000C3C17" w:rsidRDefault="007D0E86" w:rsidP="000C3C17">
      <w:pPr>
        <w:jc w:val="both"/>
        <w:rPr>
          <w:rFonts w:ascii="Calibri" w:hAnsi="Calibri" w:cs="Calibri"/>
          <w:lang w:val="pl-PL"/>
        </w:rPr>
      </w:pPr>
    </w:p>
    <w:p w14:paraId="332D8C72" w14:textId="79B572D9" w:rsidR="005201A1" w:rsidRPr="000C3C17" w:rsidRDefault="00D03A72" w:rsidP="000C3C17">
      <w:pPr>
        <w:jc w:val="both"/>
        <w:rPr>
          <w:rFonts w:ascii="Calibri" w:hAnsi="Calibri" w:cs="Calibri"/>
          <w:b/>
          <w:bCs/>
          <w:lang w:val="pl-PL"/>
        </w:rPr>
      </w:pPr>
      <w:r w:rsidRPr="000C3C17">
        <w:rPr>
          <w:rFonts w:ascii="Calibri" w:hAnsi="Calibri" w:cs="Calibri"/>
          <w:b/>
          <w:bCs/>
          <w:lang w:val="pl-PL"/>
        </w:rPr>
        <w:t>Uratowani przed kryzysem</w:t>
      </w:r>
    </w:p>
    <w:p w14:paraId="25508317" w14:textId="756CCB56" w:rsidR="00D03A72" w:rsidRPr="000C3C17" w:rsidRDefault="00D03A72" w:rsidP="000C3C17">
      <w:pPr>
        <w:jc w:val="both"/>
        <w:rPr>
          <w:rFonts w:ascii="Calibri" w:hAnsi="Calibri" w:cs="Calibri"/>
          <w:lang w:val="pl-PL"/>
        </w:rPr>
      </w:pPr>
      <w:r w:rsidRPr="000C3C17">
        <w:rPr>
          <w:rFonts w:ascii="Calibri" w:hAnsi="Calibri" w:cs="Calibri"/>
          <w:lang w:val="pl-PL"/>
        </w:rPr>
        <w:t>Oszczędności były głównym czynnikiem napędzającym</w:t>
      </w:r>
      <w:r w:rsidR="00237553">
        <w:rPr>
          <w:rFonts w:ascii="Calibri" w:hAnsi="Calibri" w:cs="Calibri"/>
          <w:lang w:val="pl-PL"/>
        </w:rPr>
        <w:t xml:space="preserve"> sytuację majątkową gospodarstw domowych. I</w:t>
      </w:r>
      <w:r w:rsidR="005201A1" w:rsidRPr="000C3C17">
        <w:rPr>
          <w:rFonts w:ascii="Calibri" w:hAnsi="Calibri" w:cs="Calibri"/>
          <w:lang w:val="pl-PL"/>
        </w:rPr>
        <w:t>zolacja</w:t>
      </w:r>
      <w:r w:rsidR="00237553">
        <w:rPr>
          <w:rFonts w:ascii="Calibri" w:hAnsi="Calibri" w:cs="Calibri"/>
          <w:lang w:val="pl-PL"/>
        </w:rPr>
        <w:t xml:space="preserve"> związana z COVID-19</w:t>
      </w:r>
      <w:r w:rsidR="005201A1" w:rsidRPr="000C3C17">
        <w:rPr>
          <w:rFonts w:ascii="Calibri" w:hAnsi="Calibri" w:cs="Calibri"/>
          <w:lang w:val="pl-PL"/>
        </w:rPr>
        <w:t xml:space="preserve"> </w:t>
      </w:r>
      <w:r w:rsidRPr="000C3C17">
        <w:rPr>
          <w:rFonts w:ascii="Calibri" w:hAnsi="Calibri" w:cs="Calibri"/>
          <w:lang w:val="pl-PL"/>
        </w:rPr>
        <w:t>drastycznie ograniczył</w:t>
      </w:r>
      <w:r w:rsidR="005201A1" w:rsidRPr="000C3C17">
        <w:rPr>
          <w:rFonts w:ascii="Calibri" w:hAnsi="Calibri" w:cs="Calibri"/>
          <w:lang w:val="pl-PL"/>
        </w:rPr>
        <w:t>a</w:t>
      </w:r>
      <w:r w:rsidRPr="000C3C17">
        <w:rPr>
          <w:rFonts w:ascii="Calibri" w:hAnsi="Calibri" w:cs="Calibri"/>
          <w:lang w:val="pl-PL"/>
        </w:rPr>
        <w:t xml:space="preserve"> możliwości konsumpcji, </w:t>
      </w:r>
      <w:r w:rsidR="009069C8" w:rsidRPr="000C3C17">
        <w:rPr>
          <w:rFonts w:ascii="Calibri" w:hAnsi="Calibri" w:cs="Calibri"/>
          <w:lang w:val="pl-PL"/>
        </w:rPr>
        <w:t>pojawiło się g</w:t>
      </w:r>
      <w:r w:rsidRPr="000C3C17">
        <w:rPr>
          <w:rFonts w:ascii="Calibri" w:hAnsi="Calibri" w:cs="Calibri"/>
          <w:lang w:val="pl-PL"/>
        </w:rPr>
        <w:t xml:space="preserve">lobalne zjawisko „przymusowych oszczędności”. </w:t>
      </w:r>
      <w:r w:rsidR="009069C8" w:rsidRPr="000C3C17">
        <w:rPr>
          <w:rFonts w:ascii="Calibri" w:hAnsi="Calibri" w:cs="Calibri"/>
          <w:lang w:val="pl-PL"/>
        </w:rPr>
        <w:t>O</w:t>
      </w:r>
      <w:r w:rsidRPr="000C3C17">
        <w:rPr>
          <w:rFonts w:ascii="Calibri" w:hAnsi="Calibri" w:cs="Calibri"/>
          <w:lang w:val="pl-PL"/>
        </w:rPr>
        <w:t xml:space="preserve">szczędności wzrosły o 78 proc. do </w:t>
      </w:r>
      <w:r w:rsidRPr="00422391">
        <w:rPr>
          <w:rFonts w:ascii="Calibri" w:hAnsi="Calibri" w:cs="Calibri"/>
          <w:lang w:val="pl-PL"/>
        </w:rPr>
        <w:t>5,2 biliona euro</w:t>
      </w:r>
      <w:r w:rsidR="009069C8" w:rsidRPr="00422391">
        <w:rPr>
          <w:rFonts w:ascii="Calibri" w:hAnsi="Calibri" w:cs="Calibri"/>
          <w:lang w:val="pl-PL"/>
        </w:rPr>
        <w:t xml:space="preserve"> </w:t>
      </w:r>
      <w:r w:rsidRPr="000C3C17">
        <w:rPr>
          <w:rFonts w:ascii="Calibri" w:hAnsi="Calibri" w:cs="Calibri"/>
          <w:lang w:val="pl-PL"/>
        </w:rPr>
        <w:t>w 2020 r., co jest absolutnym rekordem. Wpływy na depozyty bankowe</w:t>
      </w:r>
      <w:r w:rsidR="009069C8" w:rsidRPr="000C3C17">
        <w:rPr>
          <w:rFonts w:ascii="Calibri" w:hAnsi="Calibri" w:cs="Calibri"/>
          <w:lang w:val="pl-PL"/>
        </w:rPr>
        <w:t xml:space="preserve"> </w:t>
      </w:r>
      <w:r w:rsidRPr="000C3C17">
        <w:rPr>
          <w:rFonts w:ascii="Calibri" w:hAnsi="Calibri" w:cs="Calibri"/>
          <w:lang w:val="pl-PL"/>
        </w:rPr>
        <w:t xml:space="preserve">– prawie trzykrotnie (+187%). </w:t>
      </w:r>
      <w:r w:rsidR="00422391">
        <w:rPr>
          <w:rFonts w:ascii="Calibri" w:hAnsi="Calibri" w:cs="Calibri"/>
          <w:lang w:val="pl-PL"/>
        </w:rPr>
        <w:t>Jednocześnie d</w:t>
      </w:r>
      <w:r w:rsidRPr="000C3C17">
        <w:rPr>
          <w:rFonts w:ascii="Calibri" w:hAnsi="Calibri" w:cs="Calibri"/>
          <w:lang w:val="pl-PL"/>
        </w:rPr>
        <w:t xml:space="preserve">epozyty bankowe stanowiły </w:t>
      </w:r>
      <w:r w:rsidR="009069C8" w:rsidRPr="000C3C17">
        <w:rPr>
          <w:rFonts w:ascii="Calibri" w:hAnsi="Calibri" w:cs="Calibri"/>
          <w:lang w:val="pl-PL"/>
        </w:rPr>
        <w:t xml:space="preserve">ponad </w:t>
      </w:r>
      <w:r w:rsidRPr="000C3C17">
        <w:rPr>
          <w:rFonts w:ascii="Calibri" w:hAnsi="Calibri" w:cs="Calibri"/>
          <w:lang w:val="pl-PL"/>
        </w:rPr>
        <w:t xml:space="preserve">połowę </w:t>
      </w:r>
      <w:r w:rsidR="00EB6D45">
        <w:rPr>
          <w:rFonts w:ascii="Calibri" w:hAnsi="Calibri" w:cs="Calibri"/>
          <w:lang w:val="pl-PL"/>
        </w:rPr>
        <w:t>nowych</w:t>
      </w:r>
      <w:r w:rsidRPr="000C3C17">
        <w:rPr>
          <w:rFonts w:ascii="Calibri" w:hAnsi="Calibri" w:cs="Calibri"/>
          <w:lang w:val="pl-PL"/>
        </w:rPr>
        <w:t xml:space="preserve"> oszczędności na wszystkich </w:t>
      </w:r>
      <w:r w:rsidR="009069C8" w:rsidRPr="000C3C17">
        <w:rPr>
          <w:rFonts w:ascii="Calibri" w:hAnsi="Calibri" w:cs="Calibri"/>
          <w:lang w:val="pl-PL"/>
        </w:rPr>
        <w:t>branych pod uwagę</w:t>
      </w:r>
      <w:r w:rsidRPr="000C3C17">
        <w:rPr>
          <w:rFonts w:ascii="Calibri" w:hAnsi="Calibri" w:cs="Calibri"/>
          <w:lang w:val="pl-PL"/>
        </w:rPr>
        <w:t xml:space="preserve"> rynkach. W rezultacie po raz pierwszy depozyty bankowe na całym świecie rosły w dwucyfrowym tempie </w:t>
      </w:r>
      <w:r w:rsidR="00EB6D45">
        <w:rPr>
          <w:rFonts w:ascii="Calibri" w:hAnsi="Calibri" w:cs="Calibri"/>
          <w:lang w:val="pl-PL"/>
        </w:rPr>
        <w:t>(</w:t>
      </w:r>
      <w:r w:rsidRPr="000C3C17">
        <w:rPr>
          <w:rFonts w:ascii="Calibri" w:hAnsi="Calibri" w:cs="Calibri"/>
          <w:lang w:val="pl-PL"/>
        </w:rPr>
        <w:t>11,9%</w:t>
      </w:r>
      <w:r w:rsidR="00EB6D45">
        <w:rPr>
          <w:rFonts w:ascii="Calibri" w:hAnsi="Calibri" w:cs="Calibri"/>
          <w:lang w:val="pl-PL"/>
        </w:rPr>
        <w:t xml:space="preserve">). Co ważne </w:t>
      </w:r>
      <w:r w:rsidRPr="000C3C17">
        <w:rPr>
          <w:rFonts w:ascii="Calibri" w:hAnsi="Calibri" w:cs="Calibri"/>
          <w:lang w:val="pl-PL"/>
        </w:rPr>
        <w:t>poprzedni szczytowy wzrost wyniósł 8% w kryzysowym roku 2008. Podczas gdy papiery wartościowe – wspierane przez silne rynki akcji – wzrosły o 10,9%, aktywa ubezpieczeń i funduszy emerytalnych wykazały się znacznie słabszym rozwojem rosnąc o 6,3%.</w:t>
      </w:r>
    </w:p>
    <w:p w14:paraId="4B7F58BD" w14:textId="77777777" w:rsidR="00D03A72" w:rsidRPr="000C3C17" w:rsidRDefault="00D03A72" w:rsidP="000C3C17">
      <w:pPr>
        <w:jc w:val="both"/>
        <w:rPr>
          <w:rFonts w:ascii="Calibri" w:hAnsi="Calibri" w:cs="Calibri"/>
          <w:lang w:val="pl-PL"/>
        </w:rPr>
      </w:pPr>
    </w:p>
    <w:p w14:paraId="715CD651" w14:textId="1DCF9C87" w:rsidR="00FE2839" w:rsidRPr="00237553" w:rsidRDefault="009069C8" w:rsidP="000C3C17">
      <w:pPr>
        <w:jc w:val="both"/>
        <w:rPr>
          <w:rFonts w:ascii="Calibri" w:hAnsi="Calibri" w:cs="Calibri"/>
          <w:b/>
          <w:bCs/>
          <w:lang w:val="pl-PL"/>
        </w:rPr>
      </w:pPr>
      <w:r w:rsidRPr="00237553">
        <w:rPr>
          <w:rFonts w:ascii="Calibri" w:hAnsi="Calibri" w:cs="Calibri"/>
          <w:b/>
          <w:bCs/>
          <w:lang w:val="pl-PL"/>
        </w:rPr>
        <w:t>Zaszczepieni</w:t>
      </w:r>
    </w:p>
    <w:p w14:paraId="4244B104" w14:textId="5BCF04D9" w:rsidR="00FE2839" w:rsidRDefault="00FE2839" w:rsidP="000C3C17">
      <w:pPr>
        <w:jc w:val="both"/>
        <w:rPr>
          <w:rFonts w:ascii="Calibri" w:hAnsi="Calibri" w:cs="Calibri"/>
          <w:lang w:val="pl-PL"/>
        </w:rPr>
      </w:pPr>
      <w:r w:rsidRPr="000C3C17">
        <w:rPr>
          <w:rFonts w:ascii="Calibri" w:hAnsi="Calibri" w:cs="Calibri"/>
          <w:lang w:val="pl-PL"/>
        </w:rPr>
        <w:t>Pomimo</w:t>
      </w:r>
      <w:r w:rsidR="00EB6D45">
        <w:rPr>
          <w:rFonts w:ascii="Calibri" w:hAnsi="Calibri" w:cs="Calibri"/>
          <w:lang w:val="pl-PL"/>
        </w:rPr>
        <w:t xml:space="preserve"> problemów utrzymujących się</w:t>
      </w:r>
      <w:r w:rsidRPr="000C3C17">
        <w:rPr>
          <w:rFonts w:ascii="Calibri" w:hAnsi="Calibri" w:cs="Calibri"/>
          <w:lang w:val="pl-PL"/>
        </w:rPr>
        <w:t xml:space="preserve"> w światowym handlu i nowych wariantów wiru</w:t>
      </w:r>
      <w:r w:rsidR="00422391">
        <w:rPr>
          <w:rFonts w:ascii="Calibri" w:hAnsi="Calibri" w:cs="Calibri"/>
          <w:lang w:val="pl-PL"/>
        </w:rPr>
        <w:t>sa</w:t>
      </w:r>
      <w:r w:rsidRPr="000C3C17">
        <w:rPr>
          <w:rFonts w:ascii="Calibri" w:hAnsi="Calibri" w:cs="Calibri"/>
          <w:lang w:val="pl-PL"/>
        </w:rPr>
        <w:t xml:space="preserve"> wymuszających nowe ograniczenia, globalny PKB znacznie wzrośnie w 2021 r.</w:t>
      </w:r>
      <w:r w:rsidR="00EB6D45">
        <w:rPr>
          <w:rFonts w:ascii="Calibri" w:hAnsi="Calibri" w:cs="Calibri"/>
          <w:lang w:val="pl-PL"/>
        </w:rPr>
        <w:t xml:space="preserve"> Wzrost ten </w:t>
      </w:r>
      <w:r w:rsidRPr="000C3C17">
        <w:rPr>
          <w:rFonts w:ascii="Calibri" w:hAnsi="Calibri" w:cs="Calibri"/>
          <w:lang w:val="pl-PL"/>
        </w:rPr>
        <w:t>napędzany</w:t>
      </w:r>
      <w:r w:rsidR="00EB6D45">
        <w:rPr>
          <w:rFonts w:ascii="Calibri" w:hAnsi="Calibri" w:cs="Calibri"/>
          <w:lang w:val="pl-PL"/>
        </w:rPr>
        <w:t xml:space="preserve"> jest przede wszystkim</w:t>
      </w:r>
      <w:r w:rsidRPr="000C3C17">
        <w:rPr>
          <w:rFonts w:ascii="Calibri" w:hAnsi="Calibri" w:cs="Calibri"/>
          <w:lang w:val="pl-PL"/>
        </w:rPr>
        <w:t xml:space="preserve"> kampanią szczepień, która pozwala gospodarkom na ponowne otwarcie i (częściowy) powrót do normalności. Ponadto nadal obowiązuje luźna polityka monetarna i hojne wsparcie fiskalne. Jakie są skutki dla oszczędzających na całym świecie? Bez większych korekt giełdowych rok 2021 powinien okazać się dla nich dobry, przy ogólnym wzroście aktywów finansowych na całym świecie o około 7%.</w:t>
      </w:r>
    </w:p>
    <w:p w14:paraId="08DE7649" w14:textId="77777777" w:rsidR="002F676B" w:rsidRPr="000C3C17" w:rsidRDefault="002F676B" w:rsidP="000C3C17">
      <w:pPr>
        <w:jc w:val="both"/>
        <w:rPr>
          <w:rFonts w:ascii="Calibri" w:hAnsi="Calibri" w:cs="Calibri"/>
          <w:lang w:val="pl-PL"/>
        </w:rPr>
      </w:pPr>
    </w:p>
    <w:p w14:paraId="6415B256" w14:textId="275EFF3A" w:rsidR="00FE2839" w:rsidRPr="000C3C17" w:rsidRDefault="00FE2839" w:rsidP="000C3C17">
      <w:pPr>
        <w:jc w:val="both"/>
        <w:rPr>
          <w:rFonts w:ascii="Calibri" w:hAnsi="Calibri" w:cs="Calibri"/>
          <w:lang w:val="pl-PL"/>
        </w:rPr>
      </w:pPr>
      <w:r w:rsidRPr="000C3C17">
        <w:rPr>
          <w:rFonts w:ascii="Calibri" w:hAnsi="Calibri" w:cs="Calibri"/>
          <w:lang w:val="pl-PL"/>
        </w:rPr>
        <w:t xml:space="preserve">- </w:t>
      </w:r>
      <w:r w:rsidRPr="00100933">
        <w:rPr>
          <w:rFonts w:ascii="Calibri" w:hAnsi="Calibri" w:cs="Calibri"/>
          <w:i/>
          <w:iCs/>
          <w:lang w:val="pl-PL"/>
        </w:rPr>
        <w:t>Liczb</w:t>
      </w:r>
      <w:r w:rsidR="00730757" w:rsidRPr="00100933">
        <w:rPr>
          <w:rFonts w:ascii="Calibri" w:hAnsi="Calibri" w:cs="Calibri"/>
          <w:i/>
          <w:iCs/>
          <w:lang w:val="pl-PL"/>
        </w:rPr>
        <w:t>y</w:t>
      </w:r>
      <w:r w:rsidRPr="00100933">
        <w:rPr>
          <w:rFonts w:ascii="Calibri" w:hAnsi="Calibri" w:cs="Calibri"/>
          <w:i/>
          <w:iCs/>
          <w:lang w:val="pl-PL"/>
        </w:rPr>
        <w:t xml:space="preserve"> </w:t>
      </w:r>
      <w:r w:rsidR="00730757" w:rsidRPr="00100933">
        <w:rPr>
          <w:rFonts w:ascii="Calibri" w:hAnsi="Calibri" w:cs="Calibri"/>
          <w:i/>
          <w:iCs/>
          <w:lang w:val="pl-PL"/>
        </w:rPr>
        <w:t>są</w:t>
      </w:r>
      <w:r w:rsidRPr="00100933">
        <w:rPr>
          <w:rFonts w:ascii="Calibri" w:hAnsi="Calibri" w:cs="Calibri"/>
          <w:i/>
          <w:iCs/>
          <w:lang w:val="pl-PL"/>
        </w:rPr>
        <w:t xml:space="preserve"> bardzo imponując</w:t>
      </w:r>
      <w:r w:rsidR="00730757" w:rsidRPr="00100933">
        <w:rPr>
          <w:rFonts w:ascii="Calibri" w:hAnsi="Calibri" w:cs="Calibri"/>
          <w:i/>
          <w:iCs/>
          <w:lang w:val="pl-PL"/>
        </w:rPr>
        <w:t>e</w:t>
      </w:r>
      <w:r w:rsidR="00100933" w:rsidRPr="00100933">
        <w:rPr>
          <w:rFonts w:ascii="Calibri" w:hAnsi="Calibri" w:cs="Calibri"/>
          <w:i/>
          <w:iCs/>
          <w:lang w:val="pl-PL"/>
        </w:rPr>
        <w:t xml:space="preserve">. </w:t>
      </w:r>
      <w:r w:rsidRPr="00100933">
        <w:rPr>
          <w:rFonts w:ascii="Calibri" w:hAnsi="Calibri" w:cs="Calibri"/>
          <w:i/>
          <w:iCs/>
          <w:lang w:val="pl-PL"/>
        </w:rPr>
        <w:t xml:space="preserve">Ale powinniśmy </w:t>
      </w:r>
      <w:r w:rsidR="00730757" w:rsidRPr="00100933">
        <w:rPr>
          <w:rFonts w:ascii="Calibri" w:hAnsi="Calibri" w:cs="Calibri"/>
          <w:i/>
          <w:iCs/>
          <w:lang w:val="pl-PL"/>
        </w:rPr>
        <w:t xml:space="preserve">sięgnąć </w:t>
      </w:r>
      <w:r w:rsidRPr="00100933">
        <w:rPr>
          <w:rFonts w:ascii="Calibri" w:hAnsi="Calibri" w:cs="Calibri"/>
          <w:i/>
          <w:iCs/>
          <w:lang w:val="pl-PL"/>
        </w:rPr>
        <w:t>trochę głębiej. Większość gospodarstw tak naprawdę nie oszczędzała, ale po prostu odkładała swoje pieniądze. Wszystkie te pieniądze na kontach bankowych to zmarnowana okazja. Zamiast tego gospodarstwa domowe powinny inwestować w swoją emeryturę i w zieloną transformację, umożliwiając społeczeństwu sprostanie najważniejszym wyzwaniom, przed którymi stoimy</w:t>
      </w:r>
      <w:r w:rsidR="00EB6D45" w:rsidRPr="00100933">
        <w:rPr>
          <w:rFonts w:ascii="Calibri" w:hAnsi="Calibri" w:cs="Calibri"/>
          <w:i/>
          <w:iCs/>
          <w:lang w:val="pl-PL"/>
        </w:rPr>
        <w:t xml:space="preserve"> - </w:t>
      </w:r>
      <w:r w:rsidRPr="00100933">
        <w:rPr>
          <w:rFonts w:ascii="Calibri" w:hAnsi="Calibri" w:cs="Calibri"/>
          <w:i/>
          <w:iCs/>
          <w:lang w:val="pl-PL"/>
        </w:rPr>
        <w:t>zmianom klimatycznym i demograficznym. Pilnie potrzebujemy nowej „kultury oszczędzania”</w:t>
      </w:r>
      <w:r w:rsidR="00100933">
        <w:rPr>
          <w:rFonts w:ascii="Calibri" w:hAnsi="Calibri" w:cs="Calibri"/>
          <w:lang w:val="pl-PL"/>
        </w:rPr>
        <w:t xml:space="preserve"> </w:t>
      </w:r>
      <w:r w:rsidR="00100933" w:rsidRPr="000C3C17">
        <w:rPr>
          <w:rFonts w:ascii="Calibri" w:hAnsi="Calibri" w:cs="Calibri"/>
          <w:lang w:val="pl-PL"/>
        </w:rPr>
        <w:t>- powiedział Ludovic Subran, główny ekonomista Allianz.</w:t>
      </w:r>
    </w:p>
    <w:p w14:paraId="6EC90D42" w14:textId="77777777" w:rsidR="00730757" w:rsidRPr="000C3C17" w:rsidRDefault="00730757" w:rsidP="000C3C17">
      <w:pPr>
        <w:jc w:val="both"/>
        <w:rPr>
          <w:rFonts w:ascii="Calibri" w:hAnsi="Calibri" w:cs="Calibri"/>
          <w:lang w:val="pl-PL"/>
        </w:rPr>
      </w:pPr>
    </w:p>
    <w:p w14:paraId="51648AAA" w14:textId="2D98F6D2" w:rsidR="009A6D7A" w:rsidRPr="00237553" w:rsidRDefault="009A6D7A" w:rsidP="000C3C17">
      <w:pPr>
        <w:jc w:val="both"/>
        <w:rPr>
          <w:rFonts w:ascii="Calibri" w:hAnsi="Calibri" w:cs="Calibri"/>
          <w:b/>
          <w:bCs/>
          <w:lang w:val="pl-PL"/>
        </w:rPr>
      </w:pPr>
      <w:r w:rsidRPr="00237553">
        <w:rPr>
          <w:rFonts w:ascii="Calibri" w:hAnsi="Calibri" w:cs="Calibri"/>
          <w:b/>
          <w:bCs/>
          <w:lang w:val="pl-PL"/>
        </w:rPr>
        <w:t>Długi COVID</w:t>
      </w:r>
    </w:p>
    <w:p w14:paraId="358145C1" w14:textId="3114A2E2" w:rsidR="002F676B" w:rsidRDefault="009A6D7A" w:rsidP="000C3C17">
      <w:pPr>
        <w:jc w:val="both"/>
        <w:rPr>
          <w:rFonts w:ascii="Calibri" w:hAnsi="Calibri" w:cs="Calibri"/>
          <w:lang w:val="pl-PL"/>
        </w:rPr>
      </w:pPr>
      <w:r w:rsidRPr="000C3C17">
        <w:rPr>
          <w:rFonts w:ascii="Calibri" w:hAnsi="Calibri" w:cs="Calibri"/>
          <w:lang w:val="pl-PL"/>
        </w:rPr>
        <w:t xml:space="preserve">W 2020 r. aktywa finansowe na rynkach wschodzących (+13,9%) rosły ponownie szybciej niż na rynkach rozwiniętych (+10,4%), wracając do znanych wzorców wzrostu </w:t>
      </w:r>
      <w:r w:rsidR="00100933">
        <w:rPr>
          <w:rFonts w:ascii="Calibri" w:hAnsi="Calibri" w:cs="Calibri"/>
          <w:lang w:val="pl-PL"/>
        </w:rPr>
        <w:t>sprzed trzech lat</w:t>
      </w:r>
      <w:r w:rsidRPr="000C3C17">
        <w:rPr>
          <w:rFonts w:ascii="Calibri" w:hAnsi="Calibri" w:cs="Calibri"/>
          <w:lang w:val="pl-PL"/>
        </w:rPr>
        <w:t>. W rezultacie przepaść w zamożności między krajami bogatymi i biednymi również nieco się zmniejszyła. Odwrócenie trendu, któr</w:t>
      </w:r>
      <w:r w:rsidR="00422391">
        <w:rPr>
          <w:rFonts w:ascii="Calibri" w:hAnsi="Calibri" w:cs="Calibri"/>
          <w:lang w:val="pl-PL"/>
        </w:rPr>
        <w:t>y został zdiagnozowany w ubiegłym</w:t>
      </w:r>
      <w:r w:rsidRPr="000C3C17">
        <w:rPr>
          <w:rFonts w:ascii="Calibri" w:hAnsi="Calibri" w:cs="Calibri"/>
          <w:lang w:val="pl-PL"/>
        </w:rPr>
        <w:t xml:space="preserve"> roku – ponowne oddalanie się biedniejszych</w:t>
      </w:r>
      <w:r w:rsidR="00100933">
        <w:rPr>
          <w:rFonts w:ascii="Calibri" w:hAnsi="Calibri" w:cs="Calibri"/>
          <w:lang w:val="pl-PL"/>
        </w:rPr>
        <w:t xml:space="preserve"> i</w:t>
      </w:r>
      <w:r w:rsidRPr="000C3C17">
        <w:rPr>
          <w:rFonts w:ascii="Calibri" w:hAnsi="Calibri" w:cs="Calibri"/>
          <w:lang w:val="pl-PL"/>
        </w:rPr>
        <w:t xml:space="preserve"> bogatszych krajów – wydaje się na razie zatrzymane. Jednak jest zdecydowanie za wcześnie, aby móc jasno mówić o efektach. Podczas gdy wiele krajów rozwijających się radziło sobie zaskakująco dobrze w pierwszym roku pandemii, istnieją przesłanki, że długoterminowe konsekwencje i wyzwania – od niewystarczających szczepień i rekonfiguracji łańcuchów dostaw po cyfrową i zieloną transformację – mogą dot</w:t>
      </w:r>
      <w:r w:rsidR="00422391">
        <w:rPr>
          <w:rFonts w:ascii="Calibri" w:hAnsi="Calibri" w:cs="Calibri"/>
          <w:lang w:val="pl-PL"/>
        </w:rPr>
        <w:t>knąć</w:t>
      </w:r>
      <w:r w:rsidRPr="000C3C17">
        <w:rPr>
          <w:rFonts w:ascii="Calibri" w:hAnsi="Calibri" w:cs="Calibri"/>
          <w:lang w:val="pl-PL"/>
        </w:rPr>
        <w:t xml:space="preserve"> przede wszystkim biedniejszych krajów.</w:t>
      </w:r>
      <w:r w:rsidR="002F676B">
        <w:rPr>
          <w:rFonts w:ascii="Calibri" w:hAnsi="Calibri" w:cs="Calibri"/>
          <w:lang w:val="pl-PL"/>
        </w:rPr>
        <w:t xml:space="preserve"> </w:t>
      </w:r>
    </w:p>
    <w:p w14:paraId="18C46F0F" w14:textId="77777777" w:rsidR="002F676B" w:rsidRDefault="002F676B" w:rsidP="000C3C17">
      <w:pPr>
        <w:jc w:val="both"/>
        <w:rPr>
          <w:rFonts w:ascii="Calibri" w:hAnsi="Calibri" w:cs="Calibri"/>
          <w:lang w:val="pl-PL"/>
        </w:rPr>
      </w:pPr>
    </w:p>
    <w:p w14:paraId="5BB85774" w14:textId="310FD098" w:rsidR="00960DC8" w:rsidRDefault="009A6D7A" w:rsidP="000C3C17">
      <w:pPr>
        <w:jc w:val="both"/>
        <w:rPr>
          <w:rFonts w:ascii="Calibri" w:hAnsi="Calibri" w:cs="Calibri"/>
          <w:lang w:val="pl-PL"/>
        </w:rPr>
      </w:pPr>
      <w:r w:rsidRPr="000C3C17">
        <w:rPr>
          <w:rFonts w:ascii="Calibri" w:hAnsi="Calibri" w:cs="Calibri"/>
          <w:lang w:val="pl-PL"/>
        </w:rPr>
        <w:t>To samo można powiedzieć o podziale bogactwa narodowego. Podczas gdy krajowa klasa średnia skurczyła się w ostatnich latach, ponieważ jej udział w całkowitym bogactwie narodowym zmniejszył się w wielu krajach, wydaje się, ż</w:t>
      </w:r>
      <w:r w:rsidR="00100933">
        <w:rPr>
          <w:rFonts w:ascii="Calibri" w:hAnsi="Calibri" w:cs="Calibri"/>
          <w:lang w:val="pl-PL"/>
        </w:rPr>
        <w:t>e</w:t>
      </w:r>
      <w:r w:rsidRPr="000C3C17">
        <w:rPr>
          <w:rFonts w:ascii="Calibri" w:hAnsi="Calibri" w:cs="Calibri"/>
          <w:lang w:val="pl-PL"/>
        </w:rPr>
        <w:t xml:space="preserve"> transfery społeczne skutecznie przeciwdziałały dalszemu oddalaniu się klas majątkowych. </w:t>
      </w:r>
      <w:r w:rsidR="00100933">
        <w:rPr>
          <w:rFonts w:ascii="Calibri" w:hAnsi="Calibri" w:cs="Calibri"/>
          <w:lang w:val="pl-PL"/>
        </w:rPr>
        <w:t xml:space="preserve">Jednak </w:t>
      </w:r>
      <w:r w:rsidR="00960DC8" w:rsidRPr="000C3C17">
        <w:rPr>
          <w:rFonts w:ascii="Calibri" w:hAnsi="Calibri" w:cs="Calibri"/>
          <w:lang w:val="pl-PL"/>
        </w:rPr>
        <w:t>może</w:t>
      </w:r>
      <w:r w:rsidR="00100933">
        <w:rPr>
          <w:rFonts w:ascii="Calibri" w:hAnsi="Calibri" w:cs="Calibri"/>
          <w:lang w:val="pl-PL"/>
        </w:rPr>
        <w:t xml:space="preserve"> to</w:t>
      </w:r>
      <w:r w:rsidR="00960DC8" w:rsidRPr="000C3C17">
        <w:rPr>
          <w:rFonts w:ascii="Calibri" w:hAnsi="Calibri" w:cs="Calibri"/>
          <w:lang w:val="pl-PL"/>
        </w:rPr>
        <w:t xml:space="preserve"> długo nie </w:t>
      </w:r>
      <w:r w:rsidR="00100933">
        <w:rPr>
          <w:rFonts w:ascii="Calibri" w:hAnsi="Calibri" w:cs="Calibri"/>
          <w:lang w:val="pl-PL"/>
        </w:rPr>
        <w:t>t</w:t>
      </w:r>
      <w:r w:rsidR="00960DC8" w:rsidRPr="000C3C17">
        <w:rPr>
          <w:rFonts w:ascii="Calibri" w:hAnsi="Calibri" w:cs="Calibri"/>
          <w:lang w:val="pl-PL"/>
        </w:rPr>
        <w:t xml:space="preserve">rwać, jeśli </w:t>
      </w:r>
      <w:r w:rsidRPr="000C3C17">
        <w:rPr>
          <w:rFonts w:ascii="Calibri" w:hAnsi="Calibri" w:cs="Calibri"/>
          <w:lang w:val="pl-PL"/>
        </w:rPr>
        <w:t>wyga</w:t>
      </w:r>
      <w:r w:rsidR="00422391">
        <w:rPr>
          <w:rFonts w:ascii="Calibri" w:hAnsi="Calibri" w:cs="Calibri"/>
          <w:lang w:val="pl-PL"/>
        </w:rPr>
        <w:t>sną</w:t>
      </w:r>
      <w:r w:rsidRPr="000C3C17">
        <w:rPr>
          <w:rFonts w:ascii="Calibri" w:hAnsi="Calibri" w:cs="Calibri"/>
          <w:lang w:val="pl-PL"/>
        </w:rPr>
        <w:t xml:space="preserve"> wsparcie państwa i bezpośrednie skutki kryzysu</w:t>
      </w:r>
      <w:r w:rsidR="00422391">
        <w:rPr>
          <w:rFonts w:ascii="Calibri" w:hAnsi="Calibri" w:cs="Calibri"/>
          <w:lang w:val="pl-PL"/>
        </w:rPr>
        <w:t xml:space="preserve">. W takiej sytuacji </w:t>
      </w:r>
      <w:r w:rsidRPr="000C3C17">
        <w:rPr>
          <w:rFonts w:ascii="Calibri" w:hAnsi="Calibri" w:cs="Calibri"/>
          <w:lang w:val="pl-PL"/>
        </w:rPr>
        <w:t>utrata milionów miejsc pracy znów będ</w:t>
      </w:r>
      <w:r w:rsidR="00422391">
        <w:rPr>
          <w:rFonts w:ascii="Calibri" w:hAnsi="Calibri" w:cs="Calibri"/>
          <w:lang w:val="pl-PL"/>
        </w:rPr>
        <w:t>zie</w:t>
      </w:r>
      <w:r w:rsidRPr="000C3C17">
        <w:rPr>
          <w:rFonts w:ascii="Calibri" w:hAnsi="Calibri" w:cs="Calibri"/>
          <w:lang w:val="pl-PL"/>
        </w:rPr>
        <w:t xml:space="preserve"> odczuwaln</w:t>
      </w:r>
      <w:r w:rsidR="00422391">
        <w:rPr>
          <w:rFonts w:ascii="Calibri" w:hAnsi="Calibri" w:cs="Calibri"/>
          <w:lang w:val="pl-PL"/>
        </w:rPr>
        <w:t>a.</w:t>
      </w:r>
      <w:r w:rsidRPr="000C3C17">
        <w:rPr>
          <w:rFonts w:ascii="Calibri" w:hAnsi="Calibri" w:cs="Calibri"/>
          <w:lang w:val="pl-PL"/>
        </w:rPr>
        <w:t xml:space="preserve"> Ponadto kryzys </w:t>
      </w:r>
      <w:r w:rsidRPr="000C3C17">
        <w:rPr>
          <w:rFonts w:ascii="Calibri" w:hAnsi="Calibri" w:cs="Calibri"/>
          <w:lang w:val="pl-PL"/>
        </w:rPr>
        <w:lastRenderedPageBreak/>
        <w:t xml:space="preserve">doprowadził do znacznego </w:t>
      </w:r>
      <w:r w:rsidR="00960DC8" w:rsidRPr="000C3C17">
        <w:rPr>
          <w:rFonts w:ascii="Calibri" w:hAnsi="Calibri" w:cs="Calibri"/>
          <w:lang w:val="pl-PL"/>
        </w:rPr>
        <w:t>osłabienia</w:t>
      </w:r>
      <w:r w:rsidRPr="000C3C17">
        <w:rPr>
          <w:rFonts w:ascii="Calibri" w:hAnsi="Calibri" w:cs="Calibri"/>
          <w:lang w:val="pl-PL"/>
        </w:rPr>
        <w:t xml:space="preserve"> edukacji szkolnej. Covid-19 prawdopodobnie jeszcze bardziej utrwali </w:t>
      </w:r>
      <w:r w:rsidR="00960DC8" w:rsidRPr="000C3C17">
        <w:rPr>
          <w:rFonts w:ascii="Calibri" w:hAnsi="Calibri" w:cs="Calibri"/>
          <w:lang w:val="pl-PL"/>
        </w:rPr>
        <w:t xml:space="preserve">brak mobilności </w:t>
      </w:r>
      <w:r w:rsidRPr="000C3C17">
        <w:rPr>
          <w:rFonts w:ascii="Calibri" w:hAnsi="Calibri" w:cs="Calibri"/>
          <w:lang w:val="pl-PL"/>
        </w:rPr>
        <w:t>społeczn</w:t>
      </w:r>
      <w:r w:rsidR="00960DC8" w:rsidRPr="000C3C17">
        <w:rPr>
          <w:rFonts w:ascii="Calibri" w:hAnsi="Calibri" w:cs="Calibri"/>
          <w:lang w:val="pl-PL"/>
        </w:rPr>
        <w:t>ej.</w:t>
      </w:r>
      <w:r w:rsidRPr="000C3C17">
        <w:rPr>
          <w:rFonts w:ascii="Calibri" w:hAnsi="Calibri" w:cs="Calibri"/>
          <w:lang w:val="pl-PL"/>
        </w:rPr>
        <w:t xml:space="preserve"> Stopniowe zanikanie klasy średniej tylko chwilowo się zatrzymało.</w:t>
      </w:r>
    </w:p>
    <w:p w14:paraId="7211573F" w14:textId="77777777" w:rsidR="002F676B" w:rsidRPr="00237553" w:rsidRDefault="002F676B" w:rsidP="000C3C17">
      <w:pPr>
        <w:jc w:val="both"/>
        <w:rPr>
          <w:rFonts w:ascii="Calibri" w:hAnsi="Calibri" w:cs="Calibri"/>
          <w:lang w:val="pl-PL"/>
        </w:rPr>
      </w:pPr>
    </w:p>
    <w:p w14:paraId="7923331E" w14:textId="0D6559A4" w:rsidR="00960DC8" w:rsidRPr="000C3C17" w:rsidRDefault="00960DC8" w:rsidP="000C3C17">
      <w:pPr>
        <w:jc w:val="both"/>
        <w:rPr>
          <w:rFonts w:ascii="Calibri" w:hAnsi="Calibri" w:cs="Calibri"/>
          <w:lang w:val="pl-PL"/>
        </w:rPr>
      </w:pPr>
      <w:r w:rsidRPr="000C3C17">
        <w:rPr>
          <w:rFonts w:ascii="Calibri" w:hAnsi="Calibri" w:cs="Calibri"/>
          <w:lang w:val="pl-PL"/>
        </w:rPr>
        <w:t xml:space="preserve">- </w:t>
      </w:r>
      <w:r w:rsidRPr="002F676B">
        <w:rPr>
          <w:rFonts w:ascii="Calibri" w:hAnsi="Calibri" w:cs="Calibri"/>
          <w:i/>
          <w:iCs/>
          <w:lang w:val="pl-PL"/>
        </w:rPr>
        <w:t>Pandemia jest znacznie większym wyzwaniem dla biedniejszych krajów</w:t>
      </w:r>
      <w:r w:rsidR="00100933" w:rsidRPr="002F676B">
        <w:rPr>
          <w:rFonts w:ascii="Calibri" w:hAnsi="Calibri" w:cs="Calibri"/>
          <w:i/>
          <w:iCs/>
          <w:lang w:val="pl-PL"/>
        </w:rPr>
        <w:t xml:space="preserve">. </w:t>
      </w:r>
      <w:r w:rsidRPr="002F676B">
        <w:rPr>
          <w:rFonts w:ascii="Calibri" w:hAnsi="Calibri" w:cs="Calibri"/>
          <w:i/>
          <w:iCs/>
          <w:lang w:val="pl-PL"/>
        </w:rPr>
        <w:t>Bardzo prawdopodobne, że Covid-19 będzie nadal powstrzymywać rozwój gospodarczy w</w:t>
      </w:r>
      <w:r w:rsidR="00100933" w:rsidRPr="002F676B">
        <w:rPr>
          <w:rFonts w:ascii="Calibri" w:hAnsi="Calibri" w:cs="Calibri"/>
          <w:i/>
          <w:iCs/>
          <w:lang w:val="pl-PL"/>
        </w:rPr>
        <w:t>łaśnie w</w:t>
      </w:r>
      <w:r w:rsidRPr="002F676B">
        <w:rPr>
          <w:rFonts w:ascii="Calibri" w:hAnsi="Calibri" w:cs="Calibri"/>
          <w:i/>
          <w:iCs/>
          <w:lang w:val="pl-PL"/>
        </w:rPr>
        <w:t xml:space="preserve"> tej grupie krajów</w:t>
      </w:r>
      <w:r w:rsidR="00100933" w:rsidRPr="002F676B">
        <w:rPr>
          <w:rFonts w:ascii="Calibri" w:hAnsi="Calibri" w:cs="Calibri"/>
          <w:i/>
          <w:iCs/>
          <w:lang w:val="pl-PL"/>
        </w:rPr>
        <w:t xml:space="preserve"> i będzie to trwało</w:t>
      </w:r>
      <w:r w:rsidRPr="002F676B">
        <w:rPr>
          <w:rFonts w:ascii="Calibri" w:hAnsi="Calibri" w:cs="Calibri"/>
          <w:i/>
          <w:iCs/>
          <w:lang w:val="pl-PL"/>
        </w:rPr>
        <w:t xml:space="preserve"> znacznie dłużej niż na rynkach rozwiniętych. Jednak prawdziwe wyzwanie pojawia się później: kraje te znajdą się w świecie po pandemii, w którym będzie im coraz trudniej wykorzystać swoje przewagi w sprawdzony sposób, biorąc pod uwagę trwałe zmiany w technologiach, polityce i stylu życia</w:t>
      </w:r>
      <w:r w:rsidR="002F676B">
        <w:rPr>
          <w:rFonts w:ascii="Calibri" w:hAnsi="Calibri" w:cs="Calibri"/>
          <w:lang w:val="pl-PL"/>
        </w:rPr>
        <w:t xml:space="preserve"> </w:t>
      </w:r>
      <w:r w:rsidR="00100933" w:rsidRPr="000C3C17">
        <w:rPr>
          <w:rFonts w:ascii="Calibri" w:hAnsi="Calibri" w:cs="Calibri"/>
          <w:lang w:val="pl-PL"/>
        </w:rPr>
        <w:t xml:space="preserve">– </w:t>
      </w:r>
      <w:r w:rsidR="00100933">
        <w:rPr>
          <w:rFonts w:ascii="Calibri" w:hAnsi="Calibri" w:cs="Calibri"/>
          <w:lang w:val="pl-PL"/>
        </w:rPr>
        <w:t xml:space="preserve">komentuje </w:t>
      </w:r>
      <w:r w:rsidR="00100933" w:rsidRPr="000C3C17">
        <w:rPr>
          <w:rFonts w:ascii="Calibri" w:hAnsi="Calibri" w:cs="Calibri"/>
          <w:lang w:val="pl-PL"/>
        </w:rPr>
        <w:t>współautorka raportu Patricia Pelayo Romero.</w:t>
      </w:r>
    </w:p>
    <w:p w14:paraId="622E51C1" w14:textId="77777777" w:rsidR="00960DC8" w:rsidRPr="000C3C17" w:rsidRDefault="00960DC8" w:rsidP="000C3C17">
      <w:pPr>
        <w:jc w:val="both"/>
        <w:rPr>
          <w:rFonts w:ascii="Calibri" w:hAnsi="Calibri" w:cs="Calibri"/>
          <w:lang w:val="pl-PL"/>
        </w:rPr>
      </w:pPr>
    </w:p>
    <w:p w14:paraId="61086914" w14:textId="087848D8" w:rsidR="00960DC8" w:rsidRPr="000C3C17" w:rsidRDefault="00960DC8" w:rsidP="000C3C17">
      <w:pPr>
        <w:jc w:val="both"/>
        <w:rPr>
          <w:rFonts w:ascii="Calibri" w:hAnsi="Calibri" w:cs="Calibri"/>
          <w:b/>
          <w:bCs/>
          <w:lang w:val="pl-PL"/>
        </w:rPr>
      </w:pPr>
      <w:r w:rsidRPr="000C3C17">
        <w:rPr>
          <w:rFonts w:ascii="Calibri" w:hAnsi="Calibri" w:cs="Calibri"/>
          <w:b/>
          <w:bCs/>
          <w:lang w:val="pl-PL"/>
        </w:rPr>
        <w:t>Polska: Silny wzrost aktywów finansowych o 12,1%</w:t>
      </w:r>
    </w:p>
    <w:p w14:paraId="223AF2D9" w14:textId="6F5649C6" w:rsidR="00960DC8" w:rsidRDefault="00960DC8" w:rsidP="000C3C17">
      <w:pPr>
        <w:jc w:val="both"/>
        <w:rPr>
          <w:rFonts w:ascii="Calibri" w:hAnsi="Calibri" w:cs="Calibri"/>
          <w:lang w:val="pl-PL"/>
        </w:rPr>
      </w:pPr>
      <w:r w:rsidRPr="000C3C17">
        <w:rPr>
          <w:rFonts w:ascii="Calibri" w:hAnsi="Calibri" w:cs="Calibri"/>
          <w:lang w:val="pl-PL"/>
        </w:rPr>
        <w:t>Aktywa finansowe brutto polskich gospodarstw domowych wzrosły w 2020 r. o 12,1%. Dzięki temu polskie gospodarstwa domowe były jednymi z nielicznych, które odnotowały w 2020 r. znacznie szybszy wzrost niż w 2019 r. (6,0%). Główną siłą napędową były depozyty bankowe, które stanowią ponad połowę wszystkich aktywów finansowych i wzrosły aż o 15,2%,</w:t>
      </w:r>
      <w:r w:rsidR="000C3C17" w:rsidRPr="000C3C17">
        <w:rPr>
          <w:rFonts w:ascii="Calibri" w:hAnsi="Calibri" w:cs="Calibri"/>
          <w:lang w:val="pl-PL"/>
        </w:rPr>
        <w:t xml:space="preserve"> co stanowi</w:t>
      </w:r>
      <w:r w:rsidRPr="000C3C17">
        <w:rPr>
          <w:rFonts w:ascii="Calibri" w:hAnsi="Calibri" w:cs="Calibri"/>
          <w:lang w:val="pl-PL"/>
        </w:rPr>
        <w:t xml:space="preserve"> najwyższy wzrost od 2008 roku. Było to spowodowane rekordowym napływem </w:t>
      </w:r>
      <w:r w:rsidR="002046A3">
        <w:rPr>
          <w:rFonts w:ascii="Calibri" w:hAnsi="Calibri" w:cs="Calibri"/>
          <w:lang w:val="pl-PL"/>
        </w:rPr>
        <w:t>nowych</w:t>
      </w:r>
      <w:r w:rsidRPr="000C3C17">
        <w:rPr>
          <w:rFonts w:ascii="Calibri" w:hAnsi="Calibri" w:cs="Calibri"/>
          <w:lang w:val="pl-PL"/>
        </w:rPr>
        <w:t xml:space="preserve"> oszczędności, które w 2020 roku wzrosły o 71%. </w:t>
      </w:r>
      <w:r w:rsidR="000C3C17" w:rsidRPr="000C3C17">
        <w:rPr>
          <w:rFonts w:ascii="Calibri" w:hAnsi="Calibri" w:cs="Calibri"/>
          <w:lang w:val="pl-PL"/>
        </w:rPr>
        <w:t xml:space="preserve">Papiery wartościowe </w:t>
      </w:r>
      <w:r w:rsidRPr="000C3C17">
        <w:rPr>
          <w:rFonts w:ascii="Calibri" w:hAnsi="Calibri" w:cs="Calibri"/>
          <w:lang w:val="pl-PL"/>
        </w:rPr>
        <w:t>również wypadł</w:t>
      </w:r>
      <w:r w:rsidR="000C3C17" w:rsidRPr="000C3C17">
        <w:rPr>
          <w:rFonts w:ascii="Calibri" w:hAnsi="Calibri" w:cs="Calibri"/>
          <w:lang w:val="pl-PL"/>
        </w:rPr>
        <w:t>y</w:t>
      </w:r>
      <w:r w:rsidRPr="000C3C17">
        <w:rPr>
          <w:rFonts w:ascii="Calibri" w:hAnsi="Calibri" w:cs="Calibri"/>
          <w:lang w:val="pl-PL"/>
        </w:rPr>
        <w:t xml:space="preserve"> bardzo dobrze</w:t>
      </w:r>
      <w:r w:rsidR="002046A3">
        <w:rPr>
          <w:rFonts w:ascii="Calibri" w:hAnsi="Calibri" w:cs="Calibri"/>
          <w:lang w:val="pl-PL"/>
        </w:rPr>
        <w:t xml:space="preserve"> – wzrost </w:t>
      </w:r>
      <w:r w:rsidRPr="000C3C17">
        <w:rPr>
          <w:rFonts w:ascii="Calibri" w:hAnsi="Calibri" w:cs="Calibri"/>
          <w:lang w:val="pl-PL"/>
        </w:rPr>
        <w:t>o 13,5%, częściowo odzwierciedla</w:t>
      </w:r>
      <w:r w:rsidR="00BA5B87">
        <w:rPr>
          <w:rFonts w:ascii="Calibri" w:hAnsi="Calibri" w:cs="Calibri"/>
          <w:lang w:val="pl-PL"/>
        </w:rPr>
        <w:t xml:space="preserve"> to</w:t>
      </w:r>
      <w:r w:rsidRPr="000C3C17">
        <w:rPr>
          <w:rFonts w:ascii="Calibri" w:hAnsi="Calibri" w:cs="Calibri"/>
          <w:lang w:val="pl-PL"/>
        </w:rPr>
        <w:t xml:space="preserve"> fakt, że polskie gospodarstwa domowe stały się nabywcami netto papierów wartościowych w 2020 r.</w:t>
      </w:r>
      <w:r w:rsidR="002046A3">
        <w:rPr>
          <w:rFonts w:ascii="Calibri" w:hAnsi="Calibri" w:cs="Calibri"/>
          <w:lang w:val="pl-PL"/>
        </w:rPr>
        <w:t xml:space="preserve"> </w:t>
      </w:r>
      <w:r w:rsidRPr="000C3C17">
        <w:rPr>
          <w:rFonts w:ascii="Calibri" w:hAnsi="Calibri" w:cs="Calibri"/>
          <w:lang w:val="pl-PL"/>
        </w:rPr>
        <w:t>Z drugiej strony aktywa ubezpieczeniowe i emerytalne pozostały w zasadzie na niezmienionym poziomie (+0,3%).</w:t>
      </w:r>
    </w:p>
    <w:p w14:paraId="3C16087C" w14:textId="77777777" w:rsidR="002046A3" w:rsidRPr="000C3C17" w:rsidRDefault="002046A3" w:rsidP="000C3C17">
      <w:pPr>
        <w:jc w:val="both"/>
        <w:rPr>
          <w:rFonts w:ascii="Calibri" w:hAnsi="Calibri" w:cs="Calibri"/>
          <w:lang w:val="pl-PL"/>
        </w:rPr>
      </w:pPr>
    </w:p>
    <w:p w14:paraId="6303C42D" w14:textId="1C0589B7" w:rsidR="00960DC8" w:rsidRPr="000C3C17" w:rsidRDefault="00960DC8" w:rsidP="000C3C17">
      <w:pPr>
        <w:jc w:val="both"/>
        <w:rPr>
          <w:rFonts w:ascii="Calibri" w:hAnsi="Calibri" w:cs="Calibri"/>
          <w:lang w:val="pl-PL"/>
        </w:rPr>
      </w:pPr>
      <w:r w:rsidRPr="000C3C17">
        <w:rPr>
          <w:rFonts w:ascii="Calibri" w:hAnsi="Calibri" w:cs="Calibri"/>
          <w:lang w:val="pl-PL"/>
        </w:rPr>
        <w:t xml:space="preserve">Wzrost zobowiązań zwolnił do 3,2%, wobec średniego wzrostu o ponad 5% w poprzednich pięciu latach. Ponieważ produkcja gospodarcza skurczyła się w 2020 r., wskaźnik zadłużenia (zobowiązania w % PKB) podskoczył do 36%, co jest nadal znacznie poniżej poziomu obserwowanego na przykład w Czechach (42%) czy na Słowacji (51%). Ostatecznie aktywa finansowe netto wzrosły o 17%. Z aktywami finansowymi netto na mieszkańca wynoszącymi 9880 euro Polska utrzymała się na 37. miejscu w rankingu najbogatszych </w:t>
      </w:r>
      <w:r w:rsidR="000C3C17" w:rsidRPr="000C3C17">
        <w:rPr>
          <w:rFonts w:ascii="Calibri" w:hAnsi="Calibri" w:cs="Calibri"/>
          <w:lang w:val="pl-PL"/>
        </w:rPr>
        <w:t xml:space="preserve">krajów. </w:t>
      </w:r>
      <w:r w:rsidRPr="000C3C17">
        <w:rPr>
          <w:rFonts w:ascii="Calibri" w:hAnsi="Calibri" w:cs="Calibri"/>
          <w:lang w:val="pl-PL"/>
        </w:rPr>
        <w:t xml:space="preserve">Tym samym Polska jest jednym z biedniejszych krajów regionu, plasując się np. </w:t>
      </w:r>
      <w:r w:rsidR="002046A3">
        <w:rPr>
          <w:rFonts w:ascii="Calibri" w:hAnsi="Calibri" w:cs="Calibri"/>
          <w:lang w:val="pl-PL"/>
        </w:rPr>
        <w:t xml:space="preserve">za </w:t>
      </w:r>
      <w:r w:rsidRPr="000C3C17">
        <w:rPr>
          <w:rFonts w:ascii="Calibri" w:hAnsi="Calibri" w:cs="Calibri"/>
          <w:lang w:val="pl-PL"/>
        </w:rPr>
        <w:t>Słoweni</w:t>
      </w:r>
      <w:r w:rsidR="002046A3">
        <w:rPr>
          <w:rFonts w:ascii="Calibri" w:hAnsi="Calibri" w:cs="Calibri"/>
          <w:lang w:val="pl-PL"/>
        </w:rPr>
        <w:t>ą</w:t>
      </w:r>
      <w:r w:rsidRPr="000C3C17">
        <w:rPr>
          <w:rFonts w:ascii="Calibri" w:hAnsi="Calibri" w:cs="Calibri"/>
          <w:lang w:val="pl-PL"/>
        </w:rPr>
        <w:t xml:space="preserve"> (25), Czech</w:t>
      </w:r>
      <w:r w:rsidR="002046A3">
        <w:rPr>
          <w:rFonts w:ascii="Calibri" w:hAnsi="Calibri" w:cs="Calibri"/>
          <w:lang w:val="pl-PL"/>
        </w:rPr>
        <w:t>ami</w:t>
      </w:r>
      <w:r w:rsidRPr="000C3C17">
        <w:rPr>
          <w:rFonts w:ascii="Calibri" w:hAnsi="Calibri" w:cs="Calibri"/>
          <w:lang w:val="pl-PL"/>
        </w:rPr>
        <w:t xml:space="preserve"> (26), Węg</w:t>
      </w:r>
      <w:r w:rsidR="002046A3">
        <w:rPr>
          <w:rFonts w:ascii="Calibri" w:hAnsi="Calibri" w:cs="Calibri"/>
          <w:lang w:val="pl-PL"/>
        </w:rPr>
        <w:t xml:space="preserve">rami </w:t>
      </w:r>
      <w:r w:rsidRPr="000C3C17">
        <w:rPr>
          <w:rFonts w:ascii="Calibri" w:hAnsi="Calibri" w:cs="Calibri"/>
          <w:lang w:val="pl-PL"/>
        </w:rPr>
        <w:t>(30) czy Bułga</w:t>
      </w:r>
      <w:r w:rsidR="002046A3">
        <w:rPr>
          <w:rFonts w:ascii="Calibri" w:hAnsi="Calibri" w:cs="Calibri"/>
          <w:lang w:val="pl-PL"/>
        </w:rPr>
        <w:t>rią</w:t>
      </w:r>
      <w:r w:rsidRPr="000C3C17">
        <w:rPr>
          <w:rFonts w:ascii="Calibri" w:hAnsi="Calibri" w:cs="Calibri"/>
          <w:lang w:val="pl-PL"/>
        </w:rPr>
        <w:t xml:space="preserve"> (35).</w:t>
      </w:r>
    </w:p>
    <w:p w14:paraId="04766993" w14:textId="4DBCDC48" w:rsidR="00237553" w:rsidRDefault="00237553" w:rsidP="000C3C17">
      <w:pPr>
        <w:jc w:val="both"/>
        <w:rPr>
          <w:rStyle w:val="Numerstrony"/>
          <w:rFonts w:ascii="Calibri" w:hAnsi="Calibri" w:cs="Calibri"/>
          <w:b/>
          <w:bCs/>
          <w:lang w:val="pl-PL"/>
        </w:rPr>
      </w:pPr>
    </w:p>
    <w:p w14:paraId="615B929E" w14:textId="65C1D349" w:rsidR="00237553" w:rsidRPr="00237553" w:rsidRDefault="00237553" w:rsidP="000C3C17">
      <w:pPr>
        <w:jc w:val="both"/>
        <w:rPr>
          <w:rStyle w:val="Numerstrony"/>
          <w:rFonts w:ascii="Calibri" w:hAnsi="Calibri" w:cs="Calibri"/>
          <w:lang w:val="pl-PL"/>
        </w:rPr>
      </w:pPr>
      <w:r w:rsidRPr="00237553">
        <w:rPr>
          <w:rStyle w:val="Numerstrony"/>
          <w:rFonts w:ascii="Calibri" w:hAnsi="Calibri" w:cs="Calibri"/>
          <w:lang w:val="pl-PL"/>
        </w:rPr>
        <w:t>Pełna treść raportu:</w:t>
      </w:r>
    </w:p>
    <w:p w14:paraId="57D39001" w14:textId="29BC9850" w:rsidR="00237553" w:rsidRDefault="00237553" w:rsidP="000C3C17">
      <w:pPr>
        <w:jc w:val="both"/>
        <w:rPr>
          <w:rStyle w:val="Numerstrony"/>
          <w:rFonts w:ascii="Calibri" w:hAnsi="Calibri" w:cs="Calibri"/>
          <w:lang w:val="pl-PL"/>
        </w:rPr>
      </w:pPr>
      <w:hyperlink r:id="rId8" w:history="1">
        <w:r w:rsidRPr="00237553">
          <w:rPr>
            <w:rStyle w:val="Hipercze"/>
            <w:rFonts w:ascii="Calibri" w:hAnsi="Calibri" w:cs="Calibri"/>
            <w:lang w:val="pl-PL"/>
          </w:rPr>
          <w:t>https://www.allianz.com/content/dam/onemarketing/azcom/Allianz_com/economic-research/publications/specials/en/2021/october/2021_10_07_Global-Wealth-Report.pdf</w:t>
        </w:r>
      </w:hyperlink>
      <w:r w:rsidRPr="00237553">
        <w:rPr>
          <w:rStyle w:val="Numerstrony"/>
          <w:rFonts w:ascii="Calibri" w:hAnsi="Calibri" w:cs="Calibri"/>
          <w:lang w:val="pl-PL"/>
        </w:rPr>
        <w:t xml:space="preserve"> </w:t>
      </w:r>
      <w:r>
        <w:rPr>
          <w:rStyle w:val="Numerstrony"/>
          <w:rFonts w:ascii="Calibri" w:hAnsi="Calibri" w:cs="Calibri"/>
          <w:lang w:val="pl-PL"/>
        </w:rPr>
        <w:t xml:space="preserve"> </w:t>
      </w:r>
    </w:p>
    <w:p w14:paraId="432BFB58" w14:textId="08E655B5" w:rsidR="002046A3" w:rsidRDefault="002046A3" w:rsidP="000C3C17">
      <w:pPr>
        <w:jc w:val="both"/>
        <w:rPr>
          <w:rStyle w:val="Numerstrony"/>
          <w:rFonts w:ascii="Calibri" w:hAnsi="Calibri" w:cs="Calibri"/>
          <w:lang w:val="pl-PL"/>
        </w:rPr>
      </w:pPr>
    </w:p>
    <w:p w14:paraId="0772B9A1" w14:textId="574803CB" w:rsidR="002F676B" w:rsidRDefault="002F676B" w:rsidP="000C3C17">
      <w:pPr>
        <w:jc w:val="both"/>
        <w:rPr>
          <w:rStyle w:val="Numerstrony"/>
          <w:rFonts w:ascii="Calibri" w:hAnsi="Calibri" w:cs="Calibri"/>
          <w:lang w:val="pl-PL"/>
        </w:rPr>
      </w:pPr>
    </w:p>
    <w:p w14:paraId="5650675A" w14:textId="77777777" w:rsidR="002F676B" w:rsidRDefault="002F676B" w:rsidP="002F676B">
      <w:pPr>
        <w:spacing w:line="276" w:lineRule="auto"/>
        <w:jc w:val="both"/>
        <w:rPr>
          <w:rFonts w:cs="Arial"/>
          <w:sz w:val="20"/>
          <w:szCs w:val="20"/>
          <w:lang w:val="pl-PL"/>
        </w:rPr>
      </w:pPr>
      <w:r>
        <w:rPr>
          <w:rFonts w:cs="Arial"/>
          <w:sz w:val="20"/>
          <w:szCs w:val="20"/>
          <w:lang w:val="pl-PL"/>
        </w:rPr>
        <w:t>Dodatkowe informacje:</w:t>
      </w:r>
    </w:p>
    <w:p w14:paraId="6599C26F" w14:textId="77777777" w:rsidR="002F676B" w:rsidRDefault="002F676B" w:rsidP="002F676B">
      <w:pPr>
        <w:pStyle w:val="NormalnyWeb"/>
        <w:shd w:val="clear" w:color="auto" w:fill="FFFFFF"/>
        <w:spacing w:before="0" w:beforeAutospacing="0" w:after="0" w:afterAutospacing="0" w:line="276" w:lineRule="auto"/>
        <w:rPr>
          <w:rFonts w:ascii="Arial" w:eastAsia="Calibri" w:hAnsi="Arial" w:cs="Arial"/>
          <w:sz w:val="20"/>
          <w:szCs w:val="20"/>
          <w:lang w:val="pl-PL" w:eastAsia="en-US"/>
        </w:rPr>
      </w:pPr>
      <w:r>
        <w:rPr>
          <w:rFonts w:ascii="Arial" w:eastAsia="Calibri" w:hAnsi="Arial" w:cs="Arial"/>
          <w:b/>
          <w:sz w:val="20"/>
          <w:szCs w:val="20"/>
          <w:lang w:val="pl-PL" w:eastAsia="en-US"/>
        </w:rPr>
        <w:t>Marta Nowicka</w:t>
      </w:r>
      <w:r>
        <w:rPr>
          <w:rFonts w:ascii="Arial" w:eastAsia="Calibri" w:hAnsi="Arial" w:cs="Arial"/>
          <w:sz w:val="20"/>
          <w:szCs w:val="20"/>
          <w:lang w:val="pl-PL" w:eastAsia="en-US"/>
        </w:rPr>
        <w:t xml:space="preserve">, </w:t>
      </w:r>
    </w:p>
    <w:p w14:paraId="56C5005A" w14:textId="77777777" w:rsidR="002F676B" w:rsidRDefault="002F676B" w:rsidP="002F676B">
      <w:pPr>
        <w:pStyle w:val="NormalnyWeb"/>
        <w:shd w:val="clear" w:color="auto" w:fill="FFFFFF"/>
        <w:spacing w:before="0" w:beforeAutospacing="0" w:after="0" w:afterAutospacing="0" w:line="276" w:lineRule="auto"/>
        <w:rPr>
          <w:rFonts w:ascii="Arial" w:eastAsia="Calibri" w:hAnsi="Arial" w:cs="Arial"/>
          <w:sz w:val="20"/>
          <w:szCs w:val="20"/>
          <w:lang w:val="pl-PL" w:eastAsia="en-US"/>
        </w:rPr>
      </w:pPr>
      <w:r>
        <w:rPr>
          <w:rFonts w:ascii="Arial" w:eastAsia="Calibri" w:hAnsi="Arial" w:cs="Arial"/>
          <w:sz w:val="20"/>
          <w:szCs w:val="20"/>
          <w:lang w:val="pl-PL" w:eastAsia="en-US"/>
        </w:rPr>
        <w:t>Rzecznik prasowy Allianz Polska</w:t>
      </w:r>
    </w:p>
    <w:p w14:paraId="5EAB6957" w14:textId="77777777" w:rsidR="002F676B" w:rsidRDefault="002F676B" w:rsidP="002F676B">
      <w:pPr>
        <w:pStyle w:val="NormalnyWeb"/>
        <w:shd w:val="clear" w:color="auto" w:fill="FFFFFF"/>
        <w:spacing w:before="0" w:beforeAutospacing="0" w:after="0" w:afterAutospacing="0" w:line="276" w:lineRule="auto"/>
        <w:rPr>
          <w:rFonts w:ascii="Arial" w:eastAsia="Calibri" w:hAnsi="Arial" w:cs="Arial"/>
          <w:sz w:val="20"/>
          <w:szCs w:val="20"/>
          <w:lang w:val="pl-PL" w:eastAsia="en-US"/>
        </w:rPr>
      </w:pPr>
      <w:r>
        <w:rPr>
          <w:rFonts w:ascii="Arial" w:eastAsia="Calibri" w:hAnsi="Arial" w:cs="Arial"/>
          <w:sz w:val="20"/>
          <w:szCs w:val="20"/>
          <w:lang w:val="pl-PL" w:eastAsia="en-US"/>
        </w:rPr>
        <w:t>Kom. 534 771 534</w:t>
      </w:r>
    </w:p>
    <w:p w14:paraId="70F516FA" w14:textId="77777777" w:rsidR="002F676B" w:rsidRDefault="002F676B" w:rsidP="002F676B">
      <w:pPr>
        <w:pStyle w:val="NormalnyWeb"/>
        <w:shd w:val="clear" w:color="auto" w:fill="FFFFFF"/>
        <w:spacing w:before="0" w:beforeAutospacing="0" w:after="0" w:afterAutospacing="0" w:line="276" w:lineRule="auto"/>
        <w:rPr>
          <w:rFonts w:ascii="Arial" w:eastAsia="Calibri" w:hAnsi="Arial" w:cs="Arial"/>
          <w:sz w:val="20"/>
          <w:szCs w:val="20"/>
          <w:lang w:val="pl-PL" w:eastAsia="en-US"/>
        </w:rPr>
      </w:pPr>
      <w:r>
        <w:rPr>
          <w:rFonts w:ascii="Arial" w:eastAsia="Calibri" w:hAnsi="Arial" w:cs="Arial"/>
          <w:sz w:val="20"/>
          <w:szCs w:val="20"/>
          <w:lang w:val="pl-PL" w:eastAsia="en-US"/>
        </w:rPr>
        <w:t>e-mail: </w:t>
      </w:r>
      <w:hyperlink r:id="rId9" w:history="1">
        <w:r>
          <w:rPr>
            <w:rStyle w:val="Hipercze"/>
            <w:rFonts w:ascii="Arial" w:eastAsia="Calibri" w:hAnsi="Arial" w:cs="Arial"/>
            <w:sz w:val="20"/>
            <w:szCs w:val="20"/>
            <w:lang w:val="pl-PL" w:eastAsia="en-US"/>
          </w:rPr>
          <w:t>marta.nowicka@allianz.pl</w:t>
        </w:r>
      </w:hyperlink>
      <w:r>
        <w:t xml:space="preserve"> </w:t>
      </w:r>
      <w:r>
        <w:rPr>
          <w:rFonts w:ascii="Arial" w:eastAsia="Calibri" w:hAnsi="Arial" w:cs="Arial"/>
          <w:sz w:val="20"/>
          <w:szCs w:val="20"/>
          <w:lang w:val="pl-PL" w:eastAsia="en-US"/>
        </w:rPr>
        <w:t xml:space="preserve">  </w:t>
      </w:r>
      <w:r>
        <w:rPr>
          <w:rFonts w:ascii="Arial" w:hAnsi="Arial" w:cs="Arial"/>
          <w:sz w:val="20"/>
          <w:szCs w:val="20"/>
          <w:lang w:val="pl-PL"/>
        </w:rPr>
        <w:t xml:space="preserve"> </w:t>
      </w:r>
    </w:p>
    <w:p w14:paraId="00C66654" w14:textId="77777777" w:rsidR="002F676B" w:rsidRDefault="002F676B" w:rsidP="000C3C17">
      <w:pPr>
        <w:jc w:val="both"/>
        <w:rPr>
          <w:rStyle w:val="Numerstrony"/>
          <w:rFonts w:ascii="Calibri" w:hAnsi="Calibri" w:cs="Calibri"/>
          <w:lang w:val="pl-PL"/>
        </w:rPr>
      </w:pPr>
    </w:p>
    <w:p w14:paraId="4DFBD5C8" w14:textId="68E30343" w:rsidR="002046A3" w:rsidRDefault="002F676B" w:rsidP="000C3C17">
      <w:pPr>
        <w:jc w:val="both"/>
        <w:rPr>
          <w:rStyle w:val="Numerstrony"/>
          <w:rFonts w:ascii="Calibri" w:hAnsi="Calibri" w:cs="Calibri"/>
          <w:lang w:val="pl-PL"/>
        </w:rPr>
      </w:pPr>
      <w:r w:rsidRPr="002F676B">
        <w:rPr>
          <w:rStyle w:val="Numerstrony"/>
          <w:rFonts w:ascii="Calibri" w:hAnsi="Calibri" w:cs="Calibri"/>
          <w:noProof/>
          <w:lang w:val="pl-PL"/>
        </w:rPr>
        <w:lastRenderedPageBreak/>
        <w:drawing>
          <wp:inline distT="0" distB="0" distL="0" distR="0" wp14:anchorId="6814DDF1" wp14:editId="7AC23FB5">
            <wp:extent cx="5755640" cy="74441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7444105"/>
                    </a:xfrm>
                    <a:prstGeom prst="rect">
                      <a:avLst/>
                    </a:prstGeom>
                    <a:noFill/>
                    <a:ln>
                      <a:noFill/>
                    </a:ln>
                  </pic:spPr>
                </pic:pic>
              </a:graphicData>
            </a:graphic>
          </wp:inline>
        </w:drawing>
      </w:r>
    </w:p>
    <w:p w14:paraId="67AFD6FA" w14:textId="5FD72E47" w:rsidR="002046A3" w:rsidRDefault="002046A3" w:rsidP="000C3C17">
      <w:pPr>
        <w:jc w:val="both"/>
        <w:rPr>
          <w:rStyle w:val="Numerstrony"/>
          <w:rFonts w:ascii="Calibri" w:hAnsi="Calibri" w:cs="Calibri"/>
          <w:lang w:val="pl-PL"/>
        </w:rPr>
      </w:pPr>
    </w:p>
    <w:p w14:paraId="5D17447D" w14:textId="77777777" w:rsidR="002046A3" w:rsidRPr="00237553" w:rsidRDefault="002046A3" w:rsidP="000C3C17">
      <w:pPr>
        <w:jc w:val="both"/>
        <w:rPr>
          <w:rStyle w:val="Numerstrony"/>
          <w:rFonts w:ascii="Calibri" w:hAnsi="Calibri" w:cs="Calibri"/>
          <w:lang w:val="pl-PL"/>
        </w:rPr>
      </w:pPr>
    </w:p>
    <w:sectPr w:rsidR="002046A3" w:rsidRPr="00237553" w:rsidSect="005D5DED">
      <w:footerReference w:type="default" r:id="rId11"/>
      <w:headerReference w:type="first" r:id="rId12"/>
      <w:footerReference w:type="first" r:id="rId13"/>
      <w:pgSz w:w="11900" w:h="16840"/>
      <w:pgMar w:top="1701" w:right="1418" w:bottom="2155"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4CAA" w14:textId="77777777" w:rsidR="005D6C1F" w:rsidRDefault="005D6C1F">
      <w:r>
        <w:separator/>
      </w:r>
    </w:p>
  </w:endnote>
  <w:endnote w:type="continuationSeparator" w:id="0">
    <w:p w14:paraId="5385FF4D" w14:textId="77777777" w:rsidR="005D6C1F" w:rsidRDefault="005D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Formata Condensed">
    <w:altName w:val="Courier New"/>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D200" w14:textId="30862F95" w:rsidR="002305E8" w:rsidRDefault="002305E8">
    <w:pPr>
      <w:pStyle w:val="Stopka"/>
      <w:tabs>
        <w:tab w:val="clear" w:pos="9072"/>
        <w:tab w:val="right" w:pos="9044"/>
      </w:tabs>
      <w:jc w:val="righ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2282" w14:textId="77777777" w:rsidR="002305E8" w:rsidRDefault="002305E8">
    <w:pPr>
      <w:pStyle w:val="Stopka"/>
      <w:tabs>
        <w:tab w:val="clear" w:pos="9072"/>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FE52" w14:textId="77777777" w:rsidR="005D6C1F" w:rsidRDefault="005D6C1F">
      <w:r>
        <w:separator/>
      </w:r>
    </w:p>
  </w:footnote>
  <w:footnote w:type="continuationSeparator" w:id="0">
    <w:p w14:paraId="2A7D9EEC" w14:textId="77777777" w:rsidR="005D6C1F" w:rsidRDefault="005D6C1F">
      <w:r>
        <w:continuationSeparator/>
      </w:r>
    </w:p>
  </w:footnote>
  <w:footnote w:type="continuationNotice" w:id="1">
    <w:p w14:paraId="1CD64795" w14:textId="77777777" w:rsidR="005D6C1F" w:rsidRDefault="005D6C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F6C0" w14:textId="4B389A3C" w:rsidR="002305E8" w:rsidRPr="00EA506D" w:rsidRDefault="002305E8" w:rsidP="00E0054B">
    <w:pPr>
      <w:pStyle w:val="Nagwek"/>
      <w:tabs>
        <w:tab w:val="clear" w:pos="9072"/>
        <w:tab w:val="right" w:pos="9044"/>
      </w:tabs>
      <w:rPr>
        <w:rStyle w:val="Numerstrony"/>
        <w:rFonts w:eastAsia="Arial Unicode MS" w:cs="Arial Unicode MS"/>
      </w:rPr>
    </w:pPr>
    <w:r>
      <w:rPr>
        <w:noProof/>
        <w:lang w:eastAsia="de-DE" w:bidi="hi-IN"/>
      </w:rPr>
      <w:drawing>
        <wp:anchor distT="152400" distB="152400" distL="152400" distR="152400" simplePos="0" relativeHeight="251658240" behindDoc="1" locked="0" layoutInCell="1" allowOverlap="1" wp14:anchorId="195AAA0D" wp14:editId="463A80DA">
          <wp:simplePos x="0" y="0"/>
          <wp:positionH relativeFrom="margin">
            <wp:align>right</wp:align>
          </wp:positionH>
          <wp:positionV relativeFrom="page">
            <wp:posOffset>264160</wp:posOffset>
          </wp:positionV>
          <wp:extent cx="1533526" cy="336550"/>
          <wp:effectExtent l="0" t="0" r="9525" b="635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llianz_Logo.jpg"/>
                  <pic:cNvPicPr>
                    <a:picLocks noChangeAspect="1"/>
                  </pic:cNvPicPr>
                </pic:nvPicPr>
                <pic:blipFill>
                  <a:blip r:embed="rId1"/>
                  <a:srcRect l="65653" b="8389"/>
                  <a:stretch>
                    <a:fillRect/>
                  </a:stretch>
                </pic:blipFill>
                <pic:spPr>
                  <a:xfrm>
                    <a:off x="0" y="0"/>
                    <a:ext cx="1533526" cy="3365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7130"/>
    <w:multiLevelType w:val="hybridMultilevel"/>
    <w:tmpl w:val="3E6E6AB0"/>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D04C0"/>
    <w:multiLevelType w:val="hybridMultilevel"/>
    <w:tmpl w:val="EF22AB9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506A"/>
    <w:multiLevelType w:val="hybridMultilevel"/>
    <w:tmpl w:val="908E2366"/>
    <w:numStyleLink w:val="ImportierterStil1"/>
  </w:abstractNum>
  <w:abstractNum w:abstractNumId="3" w15:restartNumberingAfterBreak="0">
    <w:nsid w:val="707A3D2E"/>
    <w:multiLevelType w:val="hybridMultilevel"/>
    <w:tmpl w:val="908E2366"/>
    <w:styleLink w:val="ImportierterStil1"/>
    <w:lvl w:ilvl="0" w:tplc="8AE2914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EB8B97E">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92A44488">
      <w:start w:val="1"/>
      <w:numFmt w:val="bullet"/>
      <w:lvlText w:val="•"/>
      <w:lvlJc w:val="left"/>
      <w:pPr>
        <w:tabs>
          <w:tab w:val="left" w:pos="36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9350C9B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7C2AD4">
      <w:start w:val="1"/>
      <w:numFmt w:val="bullet"/>
      <w:lvlText w:val="•"/>
      <w:lvlJc w:val="left"/>
      <w:pPr>
        <w:tabs>
          <w:tab w:val="left" w:pos="36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7A1850DA">
      <w:start w:val="1"/>
      <w:numFmt w:val="bullet"/>
      <w:lvlText w:val="•"/>
      <w:lvlJc w:val="left"/>
      <w:pPr>
        <w:tabs>
          <w:tab w:val="left" w:pos="36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F22DFF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ECC122">
      <w:start w:val="1"/>
      <w:numFmt w:val="bullet"/>
      <w:lvlText w:val="•"/>
      <w:lvlJc w:val="left"/>
      <w:pPr>
        <w:tabs>
          <w:tab w:val="left" w:pos="36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646FC70">
      <w:start w:val="1"/>
      <w:numFmt w:val="bullet"/>
      <w:lvlText w:val="•"/>
      <w:lvlJc w:val="left"/>
      <w:pPr>
        <w:tabs>
          <w:tab w:val="left" w:pos="36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B2"/>
    <w:rsid w:val="00002B60"/>
    <w:rsid w:val="0000348C"/>
    <w:rsid w:val="00004DAA"/>
    <w:rsid w:val="0001552B"/>
    <w:rsid w:val="000215D6"/>
    <w:rsid w:val="00021E24"/>
    <w:rsid w:val="00023729"/>
    <w:rsid w:val="00035535"/>
    <w:rsid w:val="00041ED5"/>
    <w:rsid w:val="00044210"/>
    <w:rsid w:val="0005085C"/>
    <w:rsid w:val="00050949"/>
    <w:rsid w:val="000533BF"/>
    <w:rsid w:val="000547E1"/>
    <w:rsid w:val="00054D18"/>
    <w:rsid w:val="0005592E"/>
    <w:rsid w:val="000656C1"/>
    <w:rsid w:val="00067EEE"/>
    <w:rsid w:val="0009504A"/>
    <w:rsid w:val="000A1E70"/>
    <w:rsid w:val="000A7703"/>
    <w:rsid w:val="000B11E0"/>
    <w:rsid w:val="000B4145"/>
    <w:rsid w:val="000B5F0B"/>
    <w:rsid w:val="000C3C17"/>
    <w:rsid w:val="000E2A25"/>
    <w:rsid w:val="000F0CC4"/>
    <w:rsid w:val="00100933"/>
    <w:rsid w:val="001055A4"/>
    <w:rsid w:val="00107273"/>
    <w:rsid w:val="00112F5B"/>
    <w:rsid w:val="00120394"/>
    <w:rsid w:val="00121C3E"/>
    <w:rsid w:val="00124AC9"/>
    <w:rsid w:val="001428EB"/>
    <w:rsid w:val="00147CAA"/>
    <w:rsid w:val="00152192"/>
    <w:rsid w:val="0015448E"/>
    <w:rsid w:val="00166619"/>
    <w:rsid w:val="00166DFD"/>
    <w:rsid w:val="0017721A"/>
    <w:rsid w:val="0018365E"/>
    <w:rsid w:val="00183AEA"/>
    <w:rsid w:val="00187C5D"/>
    <w:rsid w:val="001946F4"/>
    <w:rsid w:val="001B3739"/>
    <w:rsid w:val="001C4C8E"/>
    <w:rsid w:val="001D2814"/>
    <w:rsid w:val="001D2DB2"/>
    <w:rsid w:val="001D6F3F"/>
    <w:rsid w:val="001F3389"/>
    <w:rsid w:val="002035EF"/>
    <w:rsid w:val="002046A3"/>
    <w:rsid w:val="00212D8A"/>
    <w:rsid w:val="00220599"/>
    <w:rsid w:val="00222212"/>
    <w:rsid w:val="002246FC"/>
    <w:rsid w:val="002305E8"/>
    <w:rsid w:val="00234836"/>
    <w:rsid w:val="0023696B"/>
    <w:rsid w:val="00237553"/>
    <w:rsid w:val="00240E17"/>
    <w:rsid w:val="002425D9"/>
    <w:rsid w:val="002620DB"/>
    <w:rsid w:val="00262584"/>
    <w:rsid w:val="0026409F"/>
    <w:rsid w:val="00267247"/>
    <w:rsid w:val="002678CE"/>
    <w:rsid w:val="0027038E"/>
    <w:rsid w:val="002755B3"/>
    <w:rsid w:val="00284110"/>
    <w:rsid w:val="00287E65"/>
    <w:rsid w:val="00291D82"/>
    <w:rsid w:val="0029328D"/>
    <w:rsid w:val="002A0B44"/>
    <w:rsid w:val="002A6AE4"/>
    <w:rsid w:val="002C3DD5"/>
    <w:rsid w:val="002D08B1"/>
    <w:rsid w:val="002D14D9"/>
    <w:rsid w:val="002D62F6"/>
    <w:rsid w:val="002F676B"/>
    <w:rsid w:val="00300539"/>
    <w:rsid w:val="00305CBB"/>
    <w:rsid w:val="00314893"/>
    <w:rsid w:val="00317ED9"/>
    <w:rsid w:val="00324987"/>
    <w:rsid w:val="00331BF6"/>
    <w:rsid w:val="00335369"/>
    <w:rsid w:val="00336DE0"/>
    <w:rsid w:val="003422BE"/>
    <w:rsid w:val="00342B5F"/>
    <w:rsid w:val="003479E6"/>
    <w:rsid w:val="003508EC"/>
    <w:rsid w:val="00364771"/>
    <w:rsid w:val="00371050"/>
    <w:rsid w:val="00374859"/>
    <w:rsid w:val="0037690A"/>
    <w:rsid w:val="0038388C"/>
    <w:rsid w:val="00392804"/>
    <w:rsid w:val="0039347F"/>
    <w:rsid w:val="003958EF"/>
    <w:rsid w:val="00396B98"/>
    <w:rsid w:val="003B75BE"/>
    <w:rsid w:val="003C57C2"/>
    <w:rsid w:val="003C6260"/>
    <w:rsid w:val="003D2BB6"/>
    <w:rsid w:val="003D4038"/>
    <w:rsid w:val="003D4432"/>
    <w:rsid w:val="003E1485"/>
    <w:rsid w:val="003E612F"/>
    <w:rsid w:val="003E7C2E"/>
    <w:rsid w:val="003F406B"/>
    <w:rsid w:val="003F55CC"/>
    <w:rsid w:val="0040397B"/>
    <w:rsid w:val="00417922"/>
    <w:rsid w:val="00422391"/>
    <w:rsid w:val="00435536"/>
    <w:rsid w:val="004361C1"/>
    <w:rsid w:val="0045559F"/>
    <w:rsid w:val="00463EFC"/>
    <w:rsid w:val="00465473"/>
    <w:rsid w:val="004672E9"/>
    <w:rsid w:val="0047304A"/>
    <w:rsid w:val="00475186"/>
    <w:rsid w:val="004808A9"/>
    <w:rsid w:val="00482309"/>
    <w:rsid w:val="0049507E"/>
    <w:rsid w:val="004A6360"/>
    <w:rsid w:val="004D6E13"/>
    <w:rsid w:val="004E3EC4"/>
    <w:rsid w:val="004E4056"/>
    <w:rsid w:val="004F4AC7"/>
    <w:rsid w:val="0050757F"/>
    <w:rsid w:val="00510AED"/>
    <w:rsid w:val="00515C28"/>
    <w:rsid w:val="00516896"/>
    <w:rsid w:val="005201A1"/>
    <w:rsid w:val="0052588C"/>
    <w:rsid w:val="005263B6"/>
    <w:rsid w:val="0053483F"/>
    <w:rsid w:val="005352BA"/>
    <w:rsid w:val="0054213D"/>
    <w:rsid w:val="00544CB1"/>
    <w:rsid w:val="00544D06"/>
    <w:rsid w:val="00546B60"/>
    <w:rsid w:val="00547B47"/>
    <w:rsid w:val="00552671"/>
    <w:rsid w:val="00560B7E"/>
    <w:rsid w:val="0056106F"/>
    <w:rsid w:val="0056290B"/>
    <w:rsid w:val="005753DE"/>
    <w:rsid w:val="005814BF"/>
    <w:rsid w:val="00591BC4"/>
    <w:rsid w:val="0059759C"/>
    <w:rsid w:val="005A324C"/>
    <w:rsid w:val="005A5EC3"/>
    <w:rsid w:val="005B0B10"/>
    <w:rsid w:val="005B334A"/>
    <w:rsid w:val="005B7795"/>
    <w:rsid w:val="005C4BFA"/>
    <w:rsid w:val="005C53BF"/>
    <w:rsid w:val="005C5A69"/>
    <w:rsid w:val="005D5DED"/>
    <w:rsid w:val="005D6425"/>
    <w:rsid w:val="005D6C1F"/>
    <w:rsid w:val="005E2C49"/>
    <w:rsid w:val="005E33D5"/>
    <w:rsid w:val="005E35A2"/>
    <w:rsid w:val="005F07D3"/>
    <w:rsid w:val="00611000"/>
    <w:rsid w:val="00623926"/>
    <w:rsid w:val="00625887"/>
    <w:rsid w:val="00632A8D"/>
    <w:rsid w:val="0064505B"/>
    <w:rsid w:val="00646E94"/>
    <w:rsid w:val="00650A06"/>
    <w:rsid w:val="00660600"/>
    <w:rsid w:val="006613FA"/>
    <w:rsid w:val="00662073"/>
    <w:rsid w:val="0066306D"/>
    <w:rsid w:val="006642BD"/>
    <w:rsid w:val="00664F5E"/>
    <w:rsid w:val="006703FF"/>
    <w:rsid w:val="00672695"/>
    <w:rsid w:val="006768DA"/>
    <w:rsid w:val="006807B0"/>
    <w:rsid w:val="006A08B2"/>
    <w:rsid w:val="006A0E26"/>
    <w:rsid w:val="006A6086"/>
    <w:rsid w:val="006A6412"/>
    <w:rsid w:val="006B39EC"/>
    <w:rsid w:val="006C6AE8"/>
    <w:rsid w:val="006D2C63"/>
    <w:rsid w:val="006E4956"/>
    <w:rsid w:val="006E60B0"/>
    <w:rsid w:val="00700149"/>
    <w:rsid w:val="007042D5"/>
    <w:rsid w:val="007044A0"/>
    <w:rsid w:val="00721865"/>
    <w:rsid w:val="00721E07"/>
    <w:rsid w:val="00730757"/>
    <w:rsid w:val="007315CD"/>
    <w:rsid w:val="0073395D"/>
    <w:rsid w:val="00736394"/>
    <w:rsid w:val="00740402"/>
    <w:rsid w:val="007465FA"/>
    <w:rsid w:val="00754F03"/>
    <w:rsid w:val="00763569"/>
    <w:rsid w:val="007659AD"/>
    <w:rsid w:val="0077152F"/>
    <w:rsid w:val="007757F7"/>
    <w:rsid w:val="00780DF3"/>
    <w:rsid w:val="00781774"/>
    <w:rsid w:val="00783DC0"/>
    <w:rsid w:val="00787F2B"/>
    <w:rsid w:val="007A3AEF"/>
    <w:rsid w:val="007B32DB"/>
    <w:rsid w:val="007B6DE1"/>
    <w:rsid w:val="007B7E0A"/>
    <w:rsid w:val="007C05A9"/>
    <w:rsid w:val="007C1BAA"/>
    <w:rsid w:val="007C333A"/>
    <w:rsid w:val="007D0E86"/>
    <w:rsid w:val="007D272C"/>
    <w:rsid w:val="007D6B84"/>
    <w:rsid w:val="00800CD8"/>
    <w:rsid w:val="00807D25"/>
    <w:rsid w:val="0081202F"/>
    <w:rsid w:val="00813660"/>
    <w:rsid w:val="008353D0"/>
    <w:rsid w:val="00850D01"/>
    <w:rsid w:val="0086252A"/>
    <w:rsid w:val="00881D92"/>
    <w:rsid w:val="008825CA"/>
    <w:rsid w:val="00894043"/>
    <w:rsid w:val="00895320"/>
    <w:rsid w:val="00895F24"/>
    <w:rsid w:val="008B3AC5"/>
    <w:rsid w:val="008C3939"/>
    <w:rsid w:val="008D2B3E"/>
    <w:rsid w:val="008D3553"/>
    <w:rsid w:val="008D6F0F"/>
    <w:rsid w:val="008E0147"/>
    <w:rsid w:val="008E5C6C"/>
    <w:rsid w:val="008F7A5A"/>
    <w:rsid w:val="00900575"/>
    <w:rsid w:val="009044A1"/>
    <w:rsid w:val="009069C8"/>
    <w:rsid w:val="00910F83"/>
    <w:rsid w:val="00911DA4"/>
    <w:rsid w:val="0091610D"/>
    <w:rsid w:val="00926C00"/>
    <w:rsid w:val="0093722E"/>
    <w:rsid w:val="00940B5A"/>
    <w:rsid w:val="0094125F"/>
    <w:rsid w:val="00944B54"/>
    <w:rsid w:val="00960B3E"/>
    <w:rsid w:val="00960DC8"/>
    <w:rsid w:val="009862B0"/>
    <w:rsid w:val="009A0707"/>
    <w:rsid w:val="009A0EE0"/>
    <w:rsid w:val="009A1656"/>
    <w:rsid w:val="009A1F52"/>
    <w:rsid w:val="009A5C57"/>
    <w:rsid w:val="009A6D7A"/>
    <w:rsid w:val="009B285C"/>
    <w:rsid w:val="009B7A9B"/>
    <w:rsid w:val="009D0ADC"/>
    <w:rsid w:val="009E4D01"/>
    <w:rsid w:val="009F1AEE"/>
    <w:rsid w:val="00A23549"/>
    <w:rsid w:val="00A300EF"/>
    <w:rsid w:val="00A40258"/>
    <w:rsid w:val="00A41F3D"/>
    <w:rsid w:val="00A4357D"/>
    <w:rsid w:val="00A579DC"/>
    <w:rsid w:val="00A72825"/>
    <w:rsid w:val="00A836E5"/>
    <w:rsid w:val="00A8503C"/>
    <w:rsid w:val="00A96694"/>
    <w:rsid w:val="00A97706"/>
    <w:rsid w:val="00AB1723"/>
    <w:rsid w:val="00AB30BC"/>
    <w:rsid w:val="00AB4E62"/>
    <w:rsid w:val="00AB7582"/>
    <w:rsid w:val="00AB7701"/>
    <w:rsid w:val="00AC4F37"/>
    <w:rsid w:val="00AD1B98"/>
    <w:rsid w:val="00AE4462"/>
    <w:rsid w:val="00AE5FF7"/>
    <w:rsid w:val="00AE704E"/>
    <w:rsid w:val="00AF476C"/>
    <w:rsid w:val="00AF6BEF"/>
    <w:rsid w:val="00B10199"/>
    <w:rsid w:val="00B13D4A"/>
    <w:rsid w:val="00B22946"/>
    <w:rsid w:val="00B265F9"/>
    <w:rsid w:val="00B3610D"/>
    <w:rsid w:val="00B41E85"/>
    <w:rsid w:val="00B4696D"/>
    <w:rsid w:val="00B47797"/>
    <w:rsid w:val="00B50FE1"/>
    <w:rsid w:val="00B63B20"/>
    <w:rsid w:val="00B657AB"/>
    <w:rsid w:val="00B7439D"/>
    <w:rsid w:val="00B76268"/>
    <w:rsid w:val="00B82DC3"/>
    <w:rsid w:val="00B84245"/>
    <w:rsid w:val="00B90423"/>
    <w:rsid w:val="00B906D6"/>
    <w:rsid w:val="00B97B71"/>
    <w:rsid w:val="00BA2796"/>
    <w:rsid w:val="00BA5B87"/>
    <w:rsid w:val="00BB06A4"/>
    <w:rsid w:val="00BC0CF1"/>
    <w:rsid w:val="00BC14E9"/>
    <w:rsid w:val="00BC2843"/>
    <w:rsid w:val="00BC3D1D"/>
    <w:rsid w:val="00C027A4"/>
    <w:rsid w:val="00C039E2"/>
    <w:rsid w:val="00C10CB1"/>
    <w:rsid w:val="00C1779F"/>
    <w:rsid w:val="00C30BCD"/>
    <w:rsid w:val="00C30DF8"/>
    <w:rsid w:val="00C31D35"/>
    <w:rsid w:val="00C351DE"/>
    <w:rsid w:val="00C367F7"/>
    <w:rsid w:val="00C45CC1"/>
    <w:rsid w:val="00C537BD"/>
    <w:rsid w:val="00C56B27"/>
    <w:rsid w:val="00C60A53"/>
    <w:rsid w:val="00C81249"/>
    <w:rsid w:val="00C847AF"/>
    <w:rsid w:val="00C973F8"/>
    <w:rsid w:val="00CA6B0D"/>
    <w:rsid w:val="00CB6107"/>
    <w:rsid w:val="00CD399C"/>
    <w:rsid w:val="00CD6A8D"/>
    <w:rsid w:val="00CE7819"/>
    <w:rsid w:val="00D0120F"/>
    <w:rsid w:val="00D03A72"/>
    <w:rsid w:val="00D10A40"/>
    <w:rsid w:val="00D132FD"/>
    <w:rsid w:val="00D35C36"/>
    <w:rsid w:val="00D3693B"/>
    <w:rsid w:val="00D4187E"/>
    <w:rsid w:val="00D445DB"/>
    <w:rsid w:val="00D47B6E"/>
    <w:rsid w:val="00D56006"/>
    <w:rsid w:val="00D61DAC"/>
    <w:rsid w:val="00D74CEA"/>
    <w:rsid w:val="00DA550F"/>
    <w:rsid w:val="00DC1E8B"/>
    <w:rsid w:val="00DD2C38"/>
    <w:rsid w:val="00DD3222"/>
    <w:rsid w:val="00DD54A7"/>
    <w:rsid w:val="00DD7819"/>
    <w:rsid w:val="00DF0F34"/>
    <w:rsid w:val="00DF5313"/>
    <w:rsid w:val="00DF5873"/>
    <w:rsid w:val="00E0054B"/>
    <w:rsid w:val="00E16D48"/>
    <w:rsid w:val="00E3377E"/>
    <w:rsid w:val="00E3518E"/>
    <w:rsid w:val="00E438F7"/>
    <w:rsid w:val="00E46EEB"/>
    <w:rsid w:val="00E471F4"/>
    <w:rsid w:val="00E53223"/>
    <w:rsid w:val="00E606E6"/>
    <w:rsid w:val="00E72C25"/>
    <w:rsid w:val="00E84525"/>
    <w:rsid w:val="00E854D7"/>
    <w:rsid w:val="00EA1368"/>
    <w:rsid w:val="00EA49FB"/>
    <w:rsid w:val="00EA506D"/>
    <w:rsid w:val="00EB2A56"/>
    <w:rsid w:val="00EB6D45"/>
    <w:rsid w:val="00EC481E"/>
    <w:rsid w:val="00EC4E10"/>
    <w:rsid w:val="00ED450D"/>
    <w:rsid w:val="00EE04D6"/>
    <w:rsid w:val="00EE0643"/>
    <w:rsid w:val="00EE1FBE"/>
    <w:rsid w:val="00EE2933"/>
    <w:rsid w:val="00EE4270"/>
    <w:rsid w:val="00EE463D"/>
    <w:rsid w:val="00EE6224"/>
    <w:rsid w:val="00EE73E6"/>
    <w:rsid w:val="00EF0185"/>
    <w:rsid w:val="00EF5A2A"/>
    <w:rsid w:val="00F10D2B"/>
    <w:rsid w:val="00F13DCF"/>
    <w:rsid w:val="00F156D9"/>
    <w:rsid w:val="00F161FB"/>
    <w:rsid w:val="00F16BA8"/>
    <w:rsid w:val="00F20A7D"/>
    <w:rsid w:val="00F21233"/>
    <w:rsid w:val="00F31F50"/>
    <w:rsid w:val="00F327CC"/>
    <w:rsid w:val="00F51DB6"/>
    <w:rsid w:val="00F545A9"/>
    <w:rsid w:val="00F54894"/>
    <w:rsid w:val="00F71B8B"/>
    <w:rsid w:val="00F734C5"/>
    <w:rsid w:val="00F972E7"/>
    <w:rsid w:val="00FA0F2E"/>
    <w:rsid w:val="00FB13EF"/>
    <w:rsid w:val="00FB39B8"/>
    <w:rsid w:val="00FB4410"/>
    <w:rsid w:val="00FC0DA2"/>
    <w:rsid w:val="00FD2B5F"/>
    <w:rsid w:val="00FE2839"/>
    <w:rsid w:val="00FE3DFF"/>
    <w:rsid w:val="00FE47DE"/>
    <w:rsid w:val="00FF266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59032"/>
  <w15:docId w15:val="{72FF3982-6A7A-4591-BCD7-C5DD498C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5DED"/>
    <w:rPr>
      <w:rFonts w:ascii="Arial" w:hAnsi="Arial" w:cs="Arial Unicode MS"/>
      <w:color w:val="000000"/>
      <w:sz w:val="22"/>
      <w:szCs w:val="22"/>
      <w:u w:color="000000"/>
      <w:lang w:val="de-DE"/>
    </w:rPr>
  </w:style>
  <w:style w:type="paragraph" w:styleId="Nagwek2">
    <w:name w:val="heading 2"/>
    <w:basedOn w:val="Normalny"/>
    <w:next w:val="Normalny"/>
    <w:link w:val="Nagwek2Znak"/>
    <w:uiPriority w:val="9"/>
    <w:unhideWhenUsed/>
    <w:qFormat/>
    <w:rsid w:val="00240E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5D5DED"/>
    <w:pPr>
      <w:keepNext/>
      <w:outlineLvl w:val="3"/>
    </w:pPr>
    <w:rPr>
      <w:rFonts w:ascii="Formata Condensed" w:eastAsia="Formata Condensed" w:hAnsi="Formata Condensed" w:cs="Formata Condensed"/>
      <w:color w:val="C0C0C0"/>
      <w:sz w:val="340"/>
      <w:szCs w:val="340"/>
      <w:u w:color="C0C0C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D5DED"/>
    <w:rPr>
      <w:u w:val="single"/>
    </w:rPr>
  </w:style>
  <w:style w:type="table" w:customStyle="1" w:styleId="TableNormal1">
    <w:name w:val="Table Normal1"/>
    <w:rsid w:val="005D5DED"/>
    <w:tblPr>
      <w:tblInd w:w="0" w:type="dxa"/>
      <w:tblCellMar>
        <w:top w:w="0" w:type="dxa"/>
        <w:left w:w="0" w:type="dxa"/>
        <w:bottom w:w="0" w:type="dxa"/>
        <w:right w:w="0" w:type="dxa"/>
      </w:tblCellMar>
    </w:tblPr>
  </w:style>
  <w:style w:type="paragraph" w:customStyle="1" w:styleId="Kopf-undFuzeilen">
    <w:name w:val="Kopf- und Fußzeilen"/>
    <w:rsid w:val="005D5DED"/>
    <w:pPr>
      <w:tabs>
        <w:tab w:val="right" w:pos="9020"/>
      </w:tabs>
    </w:pPr>
    <w:rPr>
      <w:rFonts w:ascii="Helvetica" w:hAnsi="Helvetica" w:cs="Arial Unicode MS"/>
      <w:color w:val="000000"/>
      <w:sz w:val="24"/>
      <w:szCs w:val="24"/>
    </w:rPr>
  </w:style>
  <w:style w:type="paragraph" w:styleId="Stopka">
    <w:name w:val="footer"/>
    <w:rsid w:val="005D5DED"/>
    <w:pPr>
      <w:tabs>
        <w:tab w:val="center" w:pos="4536"/>
        <w:tab w:val="right" w:pos="9072"/>
      </w:tabs>
    </w:pPr>
    <w:rPr>
      <w:rFonts w:ascii="Arial" w:hAnsi="Arial" w:cs="Arial Unicode MS"/>
      <w:color w:val="000000"/>
      <w:sz w:val="22"/>
      <w:szCs w:val="22"/>
      <w:u w:color="000000"/>
      <w:lang w:val="de-DE"/>
    </w:rPr>
  </w:style>
  <w:style w:type="paragraph" w:styleId="Nagwek">
    <w:name w:val="header"/>
    <w:rsid w:val="005D5DED"/>
    <w:pPr>
      <w:tabs>
        <w:tab w:val="center" w:pos="4536"/>
        <w:tab w:val="right" w:pos="9072"/>
      </w:tabs>
    </w:pPr>
    <w:rPr>
      <w:rFonts w:ascii="Arial" w:eastAsia="Arial" w:hAnsi="Arial" w:cs="Arial"/>
      <w:color w:val="000000"/>
      <w:sz w:val="22"/>
      <w:szCs w:val="22"/>
      <w:u w:color="000000"/>
      <w:lang w:val="de-DE"/>
    </w:rPr>
  </w:style>
  <w:style w:type="character" w:styleId="Numerstrony">
    <w:name w:val="page number"/>
    <w:rsid w:val="005D5DED"/>
  </w:style>
  <w:style w:type="paragraph" w:customStyle="1" w:styleId="Arial14">
    <w:name w:val="Arial 14"/>
    <w:rsid w:val="005D5DED"/>
    <w:rPr>
      <w:rFonts w:ascii="Arial" w:hAnsi="Arial" w:cs="Arial Unicode MS"/>
      <w:color w:val="000000"/>
      <w:sz w:val="28"/>
      <w:szCs w:val="28"/>
      <w:u w:color="000000"/>
      <w:lang w:val="de-DE"/>
    </w:rPr>
  </w:style>
  <w:style w:type="paragraph" w:customStyle="1" w:styleId="berschrift1PM">
    <w:name w:val="Überschrift 1 PM"/>
    <w:rsid w:val="005D5DED"/>
    <w:pPr>
      <w:keepNext/>
      <w:spacing w:after="450"/>
      <w:outlineLvl w:val="0"/>
    </w:pPr>
    <w:rPr>
      <w:rFonts w:ascii="Arial" w:hAnsi="Arial" w:cs="Arial Unicode MS"/>
      <w:color w:val="000000"/>
      <w:kern w:val="32"/>
      <w:sz w:val="48"/>
      <w:szCs w:val="48"/>
      <w:u w:color="000000"/>
      <w:lang w:val="de-DE"/>
    </w:rPr>
  </w:style>
  <w:style w:type="paragraph" w:customStyle="1" w:styleId="berschrift2PM">
    <w:name w:val="Überschrift 2 PM"/>
    <w:rsid w:val="005D5DED"/>
    <w:pPr>
      <w:keepNext/>
      <w:spacing w:after="270"/>
      <w:outlineLvl w:val="1"/>
    </w:pPr>
    <w:rPr>
      <w:rFonts w:ascii="Arial" w:hAnsi="Arial" w:cs="Arial Unicode MS"/>
      <w:color w:val="000000"/>
      <w:sz w:val="28"/>
      <w:szCs w:val="28"/>
      <w:u w:color="000000"/>
      <w:lang w:val="de-DE"/>
    </w:rPr>
  </w:style>
  <w:style w:type="numbering" w:customStyle="1" w:styleId="ImportierterStil1">
    <w:name w:val="Importierter Stil: 1"/>
    <w:rsid w:val="005D5DED"/>
    <w:pPr>
      <w:numPr>
        <w:numId w:val="1"/>
      </w:numPr>
    </w:pPr>
  </w:style>
  <w:style w:type="paragraph" w:styleId="Tekstprzypisudolnego">
    <w:name w:val="footnote text"/>
    <w:link w:val="TekstprzypisudolnegoZnak"/>
    <w:uiPriority w:val="99"/>
    <w:rsid w:val="005D5DED"/>
    <w:rPr>
      <w:rFonts w:ascii="Arial" w:eastAsia="Arial" w:hAnsi="Arial" w:cs="Arial"/>
      <w:color w:val="000000"/>
      <w:u w:color="000000"/>
      <w:lang w:val="de-DE"/>
    </w:rPr>
  </w:style>
  <w:style w:type="character" w:customStyle="1" w:styleId="Hyperlink0">
    <w:name w:val="Hyperlink.0"/>
    <w:basedOn w:val="Hipercze"/>
    <w:rsid w:val="005D5DED"/>
    <w:rPr>
      <w:color w:val="0000FF"/>
      <w:u w:val="single" w:color="0000FF"/>
    </w:rPr>
  </w:style>
  <w:style w:type="paragraph" w:customStyle="1" w:styleId="TextPM">
    <w:name w:val="Text PM"/>
    <w:rsid w:val="005D5DED"/>
    <w:pPr>
      <w:spacing w:after="150"/>
    </w:pPr>
    <w:rPr>
      <w:rFonts w:ascii="Arial" w:hAnsi="Arial" w:cs="Arial Unicode MS"/>
      <w:color w:val="000000"/>
      <w:sz w:val="22"/>
      <w:szCs w:val="22"/>
      <w:u w:color="000000"/>
      <w:lang w:val="de-DE"/>
    </w:rPr>
  </w:style>
  <w:style w:type="paragraph" w:styleId="Tekstdymka">
    <w:name w:val="Balloon Text"/>
    <w:basedOn w:val="Normalny"/>
    <w:link w:val="TekstdymkaZnak"/>
    <w:uiPriority w:val="99"/>
    <w:semiHidden/>
    <w:unhideWhenUsed/>
    <w:rsid w:val="00960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0B3E"/>
    <w:rPr>
      <w:rFonts w:ascii="Segoe UI" w:hAnsi="Segoe UI" w:cs="Segoe UI"/>
      <w:color w:val="000000"/>
      <w:sz w:val="18"/>
      <w:szCs w:val="18"/>
      <w:u w:color="000000"/>
      <w:lang w:val="de-DE"/>
    </w:rPr>
  </w:style>
  <w:style w:type="character" w:customStyle="1" w:styleId="TekstprzypisudolnegoZnak">
    <w:name w:val="Tekst przypisu dolnego Znak"/>
    <w:basedOn w:val="Domylnaczcionkaakapitu"/>
    <w:link w:val="Tekstprzypisudolnego"/>
    <w:uiPriority w:val="99"/>
    <w:rsid w:val="0081202F"/>
    <w:rPr>
      <w:rFonts w:ascii="Arial" w:eastAsia="Arial" w:hAnsi="Arial" w:cs="Arial"/>
      <w:color w:val="000000"/>
      <w:u w:color="000000"/>
      <w:lang w:val="de-DE"/>
    </w:rPr>
  </w:style>
  <w:style w:type="character" w:styleId="Odwoanieprzypisudolnego">
    <w:name w:val="footnote reference"/>
    <w:basedOn w:val="Domylnaczcionkaakapitu"/>
    <w:uiPriority w:val="99"/>
    <w:unhideWhenUsed/>
    <w:rsid w:val="0081202F"/>
    <w:rPr>
      <w:vertAlign w:val="superscript"/>
    </w:rPr>
  </w:style>
  <w:style w:type="paragraph" w:styleId="Bezodstpw">
    <w:name w:val="No Spacing"/>
    <w:uiPriority w:val="1"/>
    <w:qFormat/>
    <w:rsid w:val="0081202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fr-FR"/>
    </w:rPr>
  </w:style>
  <w:style w:type="paragraph" w:styleId="Akapitzlist">
    <w:name w:val="List Paragraph"/>
    <w:basedOn w:val="Normalny"/>
    <w:uiPriority w:val="34"/>
    <w:qFormat/>
    <w:rsid w:val="005D6425"/>
    <w:pPr>
      <w:ind w:left="720"/>
      <w:contextualSpacing/>
    </w:pPr>
  </w:style>
  <w:style w:type="character" w:customStyle="1" w:styleId="Nagwek2Znak">
    <w:name w:val="Nagłówek 2 Znak"/>
    <w:basedOn w:val="Domylnaczcionkaakapitu"/>
    <w:link w:val="Nagwek2"/>
    <w:uiPriority w:val="9"/>
    <w:rsid w:val="00240E17"/>
    <w:rPr>
      <w:rFonts w:asciiTheme="majorHAnsi" w:eastAsiaTheme="majorEastAsia" w:hAnsiTheme="majorHAnsi" w:cstheme="majorBidi"/>
      <w:color w:val="365F91" w:themeColor="accent1" w:themeShade="BF"/>
      <w:sz w:val="26"/>
      <w:szCs w:val="26"/>
      <w:u w:color="000000"/>
      <w:lang w:val="de-DE"/>
    </w:rPr>
  </w:style>
  <w:style w:type="table" w:styleId="Tabela-Siatka">
    <w:name w:val="Table Grid"/>
    <w:basedOn w:val="Standardowy"/>
    <w:uiPriority w:val="59"/>
    <w:rsid w:val="005E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5E35A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7B6DE1"/>
    <w:rPr>
      <w:sz w:val="16"/>
      <w:szCs w:val="16"/>
    </w:rPr>
  </w:style>
  <w:style w:type="paragraph" w:styleId="Tekstkomentarza">
    <w:name w:val="annotation text"/>
    <w:basedOn w:val="Normalny"/>
    <w:link w:val="TekstkomentarzaZnak"/>
    <w:uiPriority w:val="99"/>
    <w:semiHidden/>
    <w:unhideWhenUsed/>
    <w:rsid w:val="007B6DE1"/>
    <w:rPr>
      <w:sz w:val="20"/>
      <w:szCs w:val="20"/>
    </w:rPr>
  </w:style>
  <w:style w:type="character" w:customStyle="1" w:styleId="TekstkomentarzaZnak">
    <w:name w:val="Tekst komentarza Znak"/>
    <w:basedOn w:val="Domylnaczcionkaakapitu"/>
    <w:link w:val="Tekstkomentarza"/>
    <w:uiPriority w:val="99"/>
    <w:semiHidden/>
    <w:rsid w:val="007B6DE1"/>
    <w:rPr>
      <w:rFonts w:ascii="Arial" w:hAnsi="Arial" w:cs="Arial Unicode MS"/>
      <w:color w:val="000000"/>
      <w:u w:color="000000"/>
      <w:lang w:val="de-DE"/>
    </w:rPr>
  </w:style>
  <w:style w:type="paragraph" w:styleId="Tematkomentarza">
    <w:name w:val="annotation subject"/>
    <w:basedOn w:val="Tekstkomentarza"/>
    <w:next w:val="Tekstkomentarza"/>
    <w:link w:val="TematkomentarzaZnak"/>
    <w:uiPriority w:val="99"/>
    <w:semiHidden/>
    <w:unhideWhenUsed/>
    <w:rsid w:val="007B6DE1"/>
    <w:rPr>
      <w:b/>
      <w:bCs/>
    </w:rPr>
  </w:style>
  <w:style w:type="character" w:customStyle="1" w:styleId="TematkomentarzaZnak">
    <w:name w:val="Temat komentarza Znak"/>
    <w:basedOn w:val="TekstkomentarzaZnak"/>
    <w:link w:val="Tematkomentarza"/>
    <w:uiPriority w:val="99"/>
    <w:semiHidden/>
    <w:rsid w:val="007B6DE1"/>
    <w:rPr>
      <w:rFonts w:ascii="Arial" w:hAnsi="Arial" w:cs="Arial Unicode MS"/>
      <w:b/>
      <w:bCs/>
      <w:color w:val="000000"/>
      <w:u w:color="000000"/>
      <w:lang w:val="de-DE"/>
    </w:rPr>
  </w:style>
  <w:style w:type="table" w:styleId="Jasnecieniowanieakcent1">
    <w:name w:val="Light Shading Accent 1"/>
    <w:basedOn w:val="Standardowy"/>
    <w:uiPriority w:val="60"/>
    <w:rsid w:val="0045559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365F91" w:themeColor="accent1" w:themeShade="BF"/>
      <w:bdr w:val="none" w:sz="0" w:space="0" w:color="auto"/>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yteHipercze">
    <w:name w:val="FollowedHyperlink"/>
    <w:basedOn w:val="Domylnaczcionkaakapitu"/>
    <w:uiPriority w:val="99"/>
    <w:semiHidden/>
    <w:unhideWhenUsed/>
    <w:rsid w:val="00475186"/>
    <w:rPr>
      <w:color w:val="FF00FF" w:themeColor="followedHyperlink"/>
      <w:u w:val="single"/>
    </w:rPr>
  </w:style>
  <w:style w:type="table" w:customStyle="1" w:styleId="TableNormal">
    <w:name w:val="Table Normal"/>
    <w:rsid w:val="00C973F8"/>
    <w:tblPr>
      <w:tblInd w:w="0" w:type="dxa"/>
      <w:tblCellMar>
        <w:top w:w="0" w:type="dxa"/>
        <w:left w:w="0" w:type="dxa"/>
        <w:bottom w:w="0" w:type="dxa"/>
        <w:right w:w="0" w:type="dxa"/>
      </w:tblCellMar>
    </w:tblPr>
  </w:style>
  <w:style w:type="table" w:customStyle="1" w:styleId="TableNormal2">
    <w:name w:val="Table Normal2"/>
    <w:rsid w:val="006768DA"/>
    <w:tblPr>
      <w:tblInd w:w="0" w:type="dxa"/>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237553"/>
    <w:rPr>
      <w:color w:val="605E5C"/>
      <w:shd w:val="clear" w:color="auto" w:fill="E1DFDD"/>
    </w:rPr>
  </w:style>
  <w:style w:type="paragraph" w:styleId="NormalnyWeb">
    <w:name w:val="Normal (Web)"/>
    <w:basedOn w:val="Normalny"/>
    <w:uiPriority w:val="99"/>
    <w:semiHidden/>
    <w:unhideWhenUsed/>
    <w:rsid w:val="002046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lianz.com/content/dam/onemarketing/azcom/Allianz_com/economic-research/publications/specials/en/2021/october/2021_10_07_Global-Wealth-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arta.nowicka@allianz.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A968-679D-4390-8179-D4C67645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909</Words>
  <Characters>5457</Characters>
  <Application>Microsoft Office Word</Application>
  <DocSecurity>0</DocSecurity>
  <Lines>45</Lines>
  <Paragraphs>12</Paragraphs>
  <ScaleCrop>false</ScaleCrop>
  <HeadingPairs>
    <vt:vector size="8" baseType="variant">
      <vt:variant>
        <vt:lpstr>Tytuł</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Allianz</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Holzhausen, Dr. Arne (Allianz SE)</dc:creator>
  <cp:lastModifiedBy>Nowicka, Marta (TUiR Allianz Polska SA)</cp:lastModifiedBy>
  <cp:revision>3</cp:revision>
  <dcterms:created xsi:type="dcterms:W3CDTF">2021-10-06T10:07:00Z</dcterms:created>
  <dcterms:modified xsi:type="dcterms:W3CDTF">2021-10-07T12:41:00Z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2021-10-02T09:25:43Z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6af839fa-c566-40bf-8be0-619483b1fabf</vt:lpwstr>
  </property>
  <property fmtid="{D5CDD505-2E9C-101B-9397-08002B2CF9AE}" pid="8" name="MSIP_Label_ce5f591a-3248-43e9-9b70-1ad50135772d_ContentBits">
    <vt:lpwstr>0</vt:lpwstr>
  </property>
  <property fmtid="{D5CDD505-2E9C-101B-9397-08002B2CF9AE}" pid="9" name="_AdHocReviewCycleID">
    <vt:i4>-1218754125</vt:i4>
  </property>
  <property fmtid="{D5CDD505-2E9C-101B-9397-08002B2CF9AE}" pid="10" name="_NewReviewCycle">
    <vt:lpwstr/>
  </property>
  <property fmtid="{D5CDD505-2E9C-101B-9397-08002B2CF9AE}" pid="11" name="_EmailSubject">
    <vt:lpwstr>Allianz Global Wealth Report 2021</vt:lpwstr>
  </property>
  <property fmtid="{D5CDD505-2E9C-101B-9397-08002B2CF9AE}" pid="12" name="_AuthorEmail">
    <vt:lpwstr>lorenz.weimann@allianz.com</vt:lpwstr>
  </property>
  <property fmtid="{D5CDD505-2E9C-101B-9397-08002B2CF9AE}" pid="13" name="_AuthorEmailDisplayName">
    <vt:lpwstr>Weimann, Dr. Lorenz (Allianz SE)</vt:lpwstr>
  </property>
  <property fmtid="{D5CDD505-2E9C-101B-9397-08002B2CF9AE}" pid="14" name="_ReviewingToolsShownOnce">
    <vt:lpwstr/>
  </property>
</Properties>
</file>