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43D50" w14:textId="5CAFD09B" w:rsidR="003B1DAE" w:rsidRDefault="009967C2">
      <w:pPr>
        <w:tabs>
          <w:tab w:val="left" w:pos="905"/>
          <w:tab w:val="right" w:pos="9298"/>
        </w:tabs>
        <w:spacing w:after="0" w:line="360" w:lineRule="auto"/>
        <w:jc w:val="right"/>
        <w:rPr>
          <w:rFonts w:ascii="Tahoma" w:eastAsia="Tahoma" w:hAnsi="Tahoma" w:cs="Tahoma"/>
          <w:color w:val="808080"/>
          <w:sz w:val="20"/>
          <w:szCs w:val="20"/>
          <w:highlight w:val="white"/>
        </w:rPr>
      </w:pPr>
      <w:r>
        <w:rPr>
          <w:rFonts w:ascii="Tahoma" w:hAnsi="Tahoma"/>
          <w:color w:val="808080"/>
          <w:sz w:val="20"/>
        </w:rPr>
        <w:tab/>
      </w:r>
      <w:r>
        <w:rPr>
          <w:rFonts w:ascii="Tahoma" w:hAnsi="Tahoma"/>
          <w:color w:val="808080"/>
          <w:sz w:val="20"/>
        </w:rPr>
        <w:tab/>
        <w:t xml:space="preserve">Warsaw, 17 February </w:t>
      </w:r>
      <w:r>
        <w:rPr>
          <w:rFonts w:ascii="Tahoma" w:hAnsi="Tahoma"/>
          <w:color w:val="808080"/>
          <w:sz w:val="20"/>
          <w:highlight w:val="white"/>
        </w:rPr>
        <w:t>2023</w:t>
      </w:r>
    </w:p>
    <w:p w14:paraId="7F210525" w14:textId="77777777" w:rsidR="003B1DAE" w:rsidRDefault="009967C2">
      <w:pPr>
        <w:spacing w:line="360" w:lineRule="auto"/>
        <w:jc w:val="center"/>
        <w:rPr>
          <w:rFonts w:ascii="Tahoma" w:eastAsia="Tahoma" w:hAnsi="Tahoma" w:cs="Tahoma"/>
          <w:b/>
          <w:color w:val="FFC000"/>
        </w:rPr>
      </w:pPr>
      <w:r>
        <w:rPr>
          <w:noProof/>
          <w:lang w:val="pl-PL"/>
        </w:rPr>
        <w:drawing>
          <wp:anchor distT="0" distB="0" distL="114300" distR="114300" simplePos="0" relativeHeight="251658240" behindDoc="0" locked="0" layoutInCell="1" hidden="0" allowOverlap="1" wp14:anchorId="74ABE772" wp14:editId="01DB0664">
            <wp:simplePos x="0" y="0"/>
            <wp:positionH relativeFrom="column">
              <wp:posOffset>4765040</wp:posOffset>
            </wp:positionH>
            <wp:positionV relativeFrom="paragraph">
              <wp:posOffset>27305</wp:posOffset>
            </wp:positionV>
            <wp:extent cx="290830" cy="290830"/>
            <wp:effectExtent l="0" t="0" r="0" b="0"/>
            <wp:wrapNone/>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90830" cy="290830"/>
                    </a:xfrm>
                    <a:prstGeom prst="rect">
                      <a:avLst/>
                    </a:prstGeom>
                    <a:ln/>
                  </pic:spPr>
                </pic:pic>
              </a:graphicData>
            </a:graphic>
          </wp:anchor>
        </w:drawing>
      </w:r>
      <w:r>
        <w:rPr>
          <w:noProof/>
          <w:lang w:val="pl-PL"/>
        </w:rPr>
        <w:drawing>
          <wp:anchor distT="0" distB="0" distL="114300" distR="114300" simplePos="0" relativeHeight="251659264" behindDoc="0" locked="0" layoutInCell="1" hidden="0" allowOverlap="1" wp14:anchorId="4A90D51D" wp14:editId="314C8883">
            <wp:simplePos x="0" y="0"/>
            <wp:positionH relativeFrom="column">
              <wp:posOffset>4370705</wp:posOffset>
            </wp:positionH>
            <wp:positionV relativeFrom="paragraph">
              <wp:posOffset>27305</wp:posOffset>
            </wp:positionV>
            <wp:extent cx="262890" cy="262890"/>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62890" cy="262890"/>
                    </a:xfrm>
                    <a:prstGeom prst="rect">
                      <a:avLst/>
                    </a:prstGeom>
                    <a:ln/>
                  </pic:spPr>
                </pic:pic>
              </a:graphicData>
            </a:graphic>
          </wp:anchor>
        </w:drawing>
      </w:r>
      <w:r>
        <w:rPr>
          <w:noProof/>
          <w:lang w:val="pl-PL"/>
        </w:rPr>
        <w:drawing>
          <wp:anchor distT="0" distB="0" distL="114300" distR="114300" simplePos="0" relativeHeight="251660288" behindDoc="0" locked="0" layoutInCell="1" hidden="0" allowOverlap="1" wp14:anchorId="601DE54D" wp14:editId="75F2A166">
            <wp:simplePos x="0" y="0"/>
            <wp:positionH relativeFrom="column">
              <wp:posOffset>5180965</wp:posOffset>
            </wp:positionH>
            <wp:positionV relativeFrom="paragraph">
              <wp:posOffset>41275</wp:posOffset>
            </wp:positionV>
            <wp:extent cx="248920" cy="248920"/>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48920" cy="248920"/>
                    </a:xfrm>
                    <a:prstGeom prst="rect">
                      <a:avLst/>
                    </a:prstGeom>
                    <a:ln/>
                  </pic:spPr>
                </pic:pic>
              </a:graphicData>
            </a:graphic>
          </wp:anchor>
        </w:drawing>
      </w:r>
    </w:p>
    <w:p w14:paraId="19929DEF" w14:textId="77777777" w:rsidR="0049557E" w:rsidRDefault="0049557E"/>
    <w:tbl>
      <w:tblPr>
        <w:tblStyle w:val="a6"/>
        <w:tblW w:w="10277"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159"/>
        <w:gridCol w:w="3118"/>
      </w:tblGrid>
      <w:tr w:rsidR="003B1DAE" w14:paraId="2D6F86A2" w14:textId="77777777">
        <w:tc>
          <w:tcPr>
            <w:tcW w:w="7159" w:type="dxa"/>
          </w:tcPr>
          <w:p w14:paraId="30CF498A" w14:textId="5E7C1A6D" w:rsidR="003B1DAE" w:rsidRDefault="009967C2">
            <w:pPr>
              <w:spacing w:line="360" w:lineRule="auto"/>
              <w:rPr>
                <w:rFonts w:ascii="Tahoma" w:eastAsia="Tahoma" w:hAnsi="Tahoma" w:cs="Tahoma"/>
                <w:b/>
                <w:color w:val="7F7F7F"/>
                <w:sz w:val="24"/>
                <w:szCs w:val="24"/>
                <w:highlight w:val="white"/>
              </w:rPr>
            </w:pPr>
            <w:r>
              <w:rPr>
                <w:rFonts w:ascii="Tahoma" w:hAnsi="Tahoma"/>
                <w:b/>
                <w:color w:val="7F7F7F"/>
                <w:sz w:val="24"/>
                <w:highlight w:val="white"/>
              </w:rPr>
              <w:t>#Budimex #Mobility #ChargingStations</w:t>
            </w:r>
          </w:p>
          <w:p w14:paraId="1B44F898" w14:textId="77777777" w:rsidR="003B1DAE" w:rsidRDefault="003B1DAE">
            <w:pPr>
              <w:spacing w:line="360" w:lineRule="auto"/>
              <w:jc w:val="both"/>
              <w:rPr>
                <w:rFonts w:ascii="Tahoma" w:eastAsia="Tahoma" w:hAnsi="Tahoma" w:cs="Tahoma"/>
                <w:b/>
                <w:color w:val="7F7F7F"/>
                <w:sz w:val="24"/>
                <w:szCs w:val="24"/>
                <w:highlight w:val="white"/>
              </w:rPr>
            </w:pPr>
          </w:p>
          <w:p w14:paraId="38B9B2F6" w14:textId="29A74A85" w:rsidR="00DE3C90" w:rsidRPr="00DE3C90" w:rsidRDefault="001E103E" w:rsidP="00DE3C90">
            <w:pPr>
              <w:spacing w:line="360" w:lineRule="auto"/>
              <w:jc w:val="both"/>
              <w:rPr>
                <w:rFonts w:ascii="Tahoma" w:eastAsia="Tahoma" w:hAnsi="Tahoma" w:cs="Tahoma"/>
                <w:b/>
                <w:bCs/>
                <w:color w:val="FFC000"/>
                <w:sz w:val="24"/>
                <w:szCs w:val="24"/>
              </w:rPr>
            </w:pPr>
            <w:r>
              <w:rPr>
                <w:rFonts w:ascii="Tahoma" w:hAnsi="Tahoma"/>
                <w:b/>
                <w:color w:val="FFC000"/>
                <w:sz w:val="24"/>
              </w:rPr>
              <w:t>Budimex Mobility has acquired 109 charging stations for EVs in four cities in Poland</w:t>
            </w:r>
          </w:p>
          <w:p w14:paraId="030C4C94" w14:textId="77777777" w:rsidR="00DE3C90" w:rsidRPr="00DE3C90" w:rsidRDefault="00DE3C90" w:rsidP="00DE3C90">
            <w:pPr>
              <w:spacing w:line="360" w:lineRule="auto"/>
              <w:jc w:val="both"/>
              <w:rPr>
                <w:rFonts w:ascii="Tahoma" w:eastAsia="Tahoma" w:hAnsi="Tahoma" w:cs="Tahoma"/>
                <w:bCs/>
                <w:color w:val="747678"/>
                <w:sz w:val="18"/>
                <w:szCs w:val="18"/>
              </w:rPr>
            </w:pPr>
          </w:p>
          <w:p w14:paraId="15DE3F58" w14:textId="33FD7B6F" w:rsidR="008E6A30" w:rsidRPr="004317A0" w:rsidRDefault="002E660F" w:rsidP="008E6A30">
            <w:pPr>
              <w:pStyle w:val="Akapitzlist"/>
              <w:numPr>
                <w:ilvl w:val="0"/>
                <w:numId w:val="2"/>
              </w:numPr>
              <w:spacing w:after="200" w:line="360" w:lineRule="auto"/>
              <w:jc w:val="both"/>
              <w:rPr>
                <w:rFonts w:ascii="Tahoma" w:eastAsia="Tahoma" w:hAnsi="Tahoma" w:cs="Tahoma"/>
                <w:b/>
                <w:color w:val="747678"/>
                <w:sz w:val="18"/>
                <w:szCs w:val="18"/>
              </w:rPr>
            </w:pPr>
            <w:r>
              <w:rPr>
                <w:rFonts w:ascii="Tahoma" w:hAnsi="Tahoma"/>
                <w:b/>
                <w:color w:val="7F7F7F" w:themeColor="text1" w:themeTint="80"/>
                <w:sz w:val="18"/>
              </w:rPr>
              <w:t>Stations are available in Szczecin, Poznan, Bydgoszcz and Gorzow Wielkopolski</w:t>
            </w:r>
          </w:p>
          <w:p w14:paraId="4B66464C" w14:textId="3251E1B1" w:rsidR="006774E1" w:rsidRPr="00285560" w:rsidRDefault="00DD04AA" w:rsidP="001F0F39">
            <w:pPr>
              <w:pStyle w:val="Akapitzlist"/>
              <w:numPr>
                <w:ilvl w:val="0"/>
                <w:numId w:val="2"/>
              </w:numPr>
              <w:spacing w:after="200" w:line="360" w:lineRule="auto"/>
              <w:jc w:val="both"/>
              <w:rPr>
                <w:rFonts w:ascii="Tahoma" w:eastAsia="Tahoma" w:hAnsi="Tahoma" w:cs="Tahoma"/>
                <w:b/>
                <w:bCs/>
                <w:iCs/>
                <w:color w:val="7F7F7F" w:themeColor="text1" w:themeTint="80"/>
                <w:sz w:val="18"/>
                <w:szCs w:val="18"/>
              </w:rPr>
            </w:pPr>
            <w:r>
              <w:rPr>
                <w:rFonts w:ascii="Tahoma" w:hAnsi="Tahoma"/>
                <w:b/>
                <w:color w:val="7F7F7F" w:themeColor="text1" w:themeTint="80"/>
                <w:sz w:val="18"/>
              </w:rPr>
              <w:t>Budimex Mobility belongs to the Budimex Group</w:t>
            </w:r>
          </w:p>
          <w:p w14:paraId="1D2031F7" w14:textId="1A9E2571" w:rsidR="00AC4057" w:rsidRPr="0017439C" w:rsidRDefault="00AC4057" w:rsidP="002F7D66">
            <w:pPr>
              <w:spacing w:before="240" w:line="360" w:lineRule="auto"/>
              <w:jc w:val="both"/>
              <w:rPr>
                <w:rFonts w:ascii="Tahoma" w:eastAsia="Tahoma" w:hAnsi="Tahoma" w:cs="Tahoma"/>
                <w:b/>
                <w:bCs/>
                <w:color w:val="747678"/>
                <w:sz w:val="18"/>
                <w:szCs w:val="18"/>
              </w:rPr>
            </w:pPr>
            <w:r>
              <w:rPr>
                <w:rFonts w:ascii="Tahoma" w:hAnsi="Tahoma"/>
                <w:b/>
                <w:color w:val="747678"/>
                <w:sz w:val="18"/>
              </w:rPr>
              <w:t>Budimex Mobility – a company belonging to the leader of the construction market in Poland – has signed an agreement to buy 109 electric car charging stations from Enea Operator. The takeover process has started in four cities: Szczecin, Poznan, Bydgo</w:t>
            </w:r>
            <w:r w:rsidR="00A525EF">
              <w:rPr>
                <w:rFonts w:ascii="Tahoma" w:hAnsi="Tahoma"/>
                <w:b/>
                <w:color w:val="747678"/>
                <w:sz w:val="18"/>
              </w:rPr>
              <w:t>szcz and Gorzow Wielkopolski. A </w:t>
            </w:r>
            <w:bookmarkStart w:id="0" w:name="_GoBack"/>
            <w:bookmarkEnd w:id="0"/>
            <w:r>
              <w:rPr>
                <w:rFonts w:ascii="Tahoma" w:hAnsi="Tahoma"/>
                <w:b/>
                <w:color w:val="747678"/>
                <w:sz w:val="18"/>
              </w:rPr>
              <w:t>number of changes lie ahead for the Group, including the modification of visual marking, integration with Elocity software and acceptance by the Technical Supervision Office.</w:t>
            </w:r>
          </w:p>
          <w:p w14:paraId="578241E7" w14:textId="4BAFF480" w:rsidR="00A86731" w:rsidRDefault="00E208A1" w:rsidP="00E208A1">
            <w:pPr>
              <w:spacing w:before="240" w:line="360" w:lineRule="auto"/>
              <w:jc w:val="both"/>
              <w:rPr>
                <w:rFonts w:ascii="Tahoma" w:eastAsia="Tahoma" w:hAnsi="Tahoma" w:cs="Tahoma"/>
                <w:color w:val="747678"/>
                <w:sz w:val="18"/>
                <w:szCs w:val="18"/>
              </w:rPr>
            </w:pPr>
            <w:r>
              <w:rPr>
                <w:rFonts w:ascii="Tahoma" w:hAnsi="Tahoma"/>
                <w:color w:val="747678"/>
                <w:sz w:val="18"/>
              </w:rPr>
              <w:t>– Our goal is to have the stations up and running and start providing electric car charging services before the end of the second quarter of 2023. We plan to provide users with successive access to: 31 stations in Bydgoszcz, 14 stations in Gorzow Wielkopolski, 29 stations in Poznan and 35 stations in Szczecin – says Jakub Długoszek, Member of the Management Board of Budimex Mobility.</w:t>
            </w:r>
          </w:p>
          <w:p w14:paraId="32E944B0" w14:textId="0F232BF4" w:rsidR="00FD4AE9" w:rsidRDefault="000A1F74" w:rsidP="002F7D66">
            <w:pPr>
              <w:pBdr>
                <w:bottom w:val="single" w:sz="6" w:space="1" w:color="auto"/>
              </w:pBdr>
              <w:spacing w:before="240" w:line="360" w:lineRule="auto"/>
              <w:jc w:val="both"/>
              <w:rPr>
                <w:rFonts w:ascii="Tahoma" w:eastAsia="Tahoma" w:hAnsi="Tahoma" w:cs="Tahoma"/>
                <w:color w:val="747678"/>
                <w:sz w:val="18"/>
                <w:szCs w:val="18"/>
              </w:rPr>
            </w:pPr>
            <w:r>
              <w:rPr>
                <w:rFonts w:ascii="Tahoma" w:hAnsi="Tahoma"/>
                <w:color w:val="747678"/>
                <w:sz w:val="18"/>
              </w:rPr>
              <w:t>Budimex Group intends to create a network of publicly accessible electric vehicle charging stations located throughout the country. In order to provide its partners with the proper level of service, Budimex Mobility started cooperation with Elocity, which is one of the most advanced EV platforms in Poland. The company is also developing networks of electric vehicle charging stations organically; that is, by conducting a comprehensive development process.</w:t>
            </w:r>
          </w:p>
          <w:p w14:paraId="3557F666" w14:textId="77777777" w:rsidR="00AC4057" w:rsidRPr="00AD6A2F" w:rsidRDefault="00AC4057" w:rsidP="00AC4057">
            <w:pPr>
              <w:pBdr>
                <w:bottom w:val="single" w:sz="6" w:space="1" w:color="auto"/>
              </w:pBdr>
              <w:spacing w:line="360" w:lineRule="auto"/>
              <w:jc w:val="both"/>
              <w:rPr>
                <w:rFonts w:ascii="Tahoma" w:eastAsia="Tahoma" w:hAnsi="Tahoma" w:cs="Tahoma"/>
                <w:color w:val="747678"/>
                <w:sz w:val="18"/>
                <w:szCs w:val="18"/>
              </w:rPr>
            </w:pPr>
          </w:p>
          <w:p w14:paraId="5D9AEC0C" w14:textId="77777777" w:rsidR="00734D0A" w:rsidRDefault="00734D0A" w:rsidP="00734D0A">
            <w:pPr>
              <w:spacing w:line="360" w:lineRule="auto"/>
              <w:ind w:right="1"/>
              <w:jc w:val="both"/>
              <w:rPr>
                <w:rFonts w:ascii="Tahoma" w:eastAsia="Tahoma" w:hAnsi="Tahoma" w:cs="Tahoma"/>
                <w:color w:val="808080"/>
                <w:sz w:val="18"/>
                <w:szCs w:val="18"/>
              </w:rPr>
            </w:pPr>
          </w:p>
          <w:p w14:paraId="6423CFDF" w14:textId="77777777" w:rsidR="00A525EF" w:rsidRPr="00A525EF" w:rsidRDefault="00A525EF" w:rsidP="00A525EF">
            <w:pPr>
              <w:ind w:right="1"/>
              <w:jc w:val="both"/>
              <w:rPr>
                <w:rFonts w:ascii="Tahoma" w:eastAsia="Tahoma" w:hAnsi="Tahoma" w:cs="Tahoma"/>
                <w:bCs/>
                <w:iCs/>
                <w:color w:val="808080"/>
                <w:sz w:val="16"/>
                <w:szCs w:val="16"/>
              </w:rPr>
            </w:pPr>
            <w:r w:rsidRPr="00A525EF">
              <w:rPr>
                <w:rFonts w:ascii="Tahoma" w:eastAsia="Tahoma" w:hAnsi="Tahoma" w:cs="Tahoma"/>
                <w:b/>
                <w:bCs/>
                <w:iCs/>
                <w:color w:val="808080"/>
                <w:sz w:val="16"/>
                <w:szCs w:val="16"/>
              </w:rPr>
              <w:t xml:space="preserve">BUDIMEX SA </w:t>
            </w:r>
            <w:r w:rsidRPr="00A525EF">
              <w:rPr>
                <w:rFonts w:ascii="Tahoma" w:eastAsia="Tahoma" w:hAnsi="Tahoma" w:cs="Tahoma"/>
                <w:bCs/>
                <w:iCs/>
                <w:color w:val="808080"/>
                <w:sz w:val="16"/>
                <w:szCs w:val="16"/>
              </w:rPr>
              <w:t xml:space="preserve">is a company with over fifty years of tradition, which has a significant contribution to the economic development of Poland. With our work, we improve the quality of life of millions of Poles. During the 50 years of our existence, we have completed thousands of modern infrastructure, construction and industrial investments. The culture of innovation, improvement and following the principles of sustainable development allowed us to gain the position of a leader in the Polish construction market. Not only are we present on the Polish market, but also abroad. We gradually increase our involvement in the facility management (operation of real estate and infrastructure facilities) and waste management sectors. Since 1995, our company has been listed on the Warsaw Stock Exchange, and since 2011 it has been </w:t>
            </w:r>
            <w:r w:rsidRPr="00A525EF">
              <w:rPr>
                <w:rFonts w:ascii="Tahoma" w:eastAsia="Tahoma" w:hAnsi="Tahoma" w:cs="Tahoma"/>
                <w:bCs/>
                <w:iCs/>
                <w:color w:val="808080"/>
                <w:sz w:val="16"/>
                <w:szCs w:val="16"/>
              </w:rPr>
              <w:lastRenderedPageBreak/>
              <w:t xml:space="preserve">included in the ESG index – gathering the most responsible companies on the stock exchange. Its strategic investor is a Spanish company with global reach – </w:t>
            </w:r>
            <w:proofErr w:type="spellStart"/>
            <w:r w:rsidRPr="00A525EF">
              <w:rPr>
                <w:rFonts w:ascii="Tahoma" w:eastAsia="Tahoma" w:hAnsi="Tahoma" w:cs="Tahoma"/>
                <w:bCs/>
                <w:iCs/>
                <w:color w:val="808080"/>
                <w:sz w:val="16"/>
                <w:szCs w:val="16"/>
              </w:rPr>
              <w:t>Ferrovial</w:t>
            </w:r>
            <w:proofErr w:type="spellEnd"/>
            <w:r w:rsidRPr="00A525EF">
              <w:rPr>
                <w:rFonts w:ascii="Tahoma" w:eastAsia="Tahoma" w:hAnsi="Tahoma" w:cs="Tahoma"/>
                <w:bCs/>
                <w:iCs/>
                <w:color w:val="808080"/>
                <w:sz w:val="16"/>
                <w:szCs w:val="16"/>
              </w:rPr>
              <w:t xml:space="preserve">. The group includes: </w:t>
            </w:r>
            <w:proofErr w:type="spellStart"/>
            <w:r w:rsidRPr="00A525EF">
              <w:rPr>
                <w:rFonts w:ascii="Tahoma" w:eastAsia="Tahoma" w:hAnsi="Tahoma" w:cs="Tahoma"/>
                <w:bCs/>
                <w:iCs/>
                <w:color w:val="808080"/>
                <w:sz w:val="16"/>
                <w:szCs w:val="16"/>
              </w:rPr>
              <w:t>Mostostal</w:t>
            </w:r>
            <w:proofErr w:type="spellEnd"/>
            <w:r w:rsidRPr="00A525EF">
              <w:rPr>
                <w:rFonts w:ascii="Tahoma" w:eastAsia="Tahoma" w:hAnsi="Tahoma" w:cs="Tahoma"/>
                <w:bCs/>
                <w:iCs/>
                <w:color w:val="808080"/>
                <w:sz w:val="16"/>
                <w:szCs w:val="16"/>
              </w:rPr>
              <w:t xml:space="preserve"> </w:t>
            </w:r>
            <w:proofErr w:type="spellStart"/>
            <w:r w:rsidRPr="00A525EF">
              <w:rPr>
                <w:rFonts w:ascii="Tahoma" w:eastAsia="Tahoma" w:hAnsi="Tahoma" w:cs="Tahoma"/>
                <w:bCs/>
                <w:iCs/>
                <w:color w:val="808080"/>
                <w:sz w:val="16"/>
                <w:szCs w:val="16"/>
              </w:rPr>
              <w:t>Kraków</w:t>
            </w:r>
            <w:proofErr w:type="spellEnd"/>
            <w:r w:rsidRPr="00A525EF">
              <w:rPr>
                <w:rFonts w:ascii="Tahoma" w:eastAsia="Tahoma" w:hAnsi="Tahoma" w:cs="Tahoma"/>
                <w:bCs/>
                <w:iCs/>
                <w:color w:val="808080"/>
                <w:sz w:val="16"/>
                <w:szCs w:val="16"/>
              </w:rPr>
              <w:t xml:space="preserve"> and </w:t>
            </w:r>
            <w:proofErr w:type="spellStart"/>
            <w:r w:rsidRPr="00A525EF">
              <w:rPr>
                <w:rFonts w:ascii="Tahoma" w:eastAsia="Tahoma" w:hAnsi="Tahoma" w:cs="Tahoma"/>
                <w:bCs/>
                <w:iCs/>
                <w:color w:val="808080"/>
                <w:sz w:val="16"/>
                <w:szCs w:val="16"/>
              </w:rPr>
              <w:t>FBSerwis</w:t>
            </w:r>
            <w:proofErr w:type="spellEnd"/>
            <w:r w:rsidRPr="00A525EF">
              <w:rPr>
                <w:rFonts w:ascii="Tahoma" w:eastAsia="Tahoma" w:hAnsi="Tahoma" w:cs="Tahoma"/>
                <w:bCs/>
                <w:iCs/>
                <w:color w:val="808080"/>
                <w:sz w:val="16"/>
                <w:szCs w:val="16"/>
              </w:rPr>
              <w:t>.</w:t>
            </w:r>
          </w:p>
          <w:p w14:paraId="4CEA9B37" w14:textId="77777777" w:rsidR="00A525EF" w:rsidRPr="00A525EF" w:rsidRDefault="00A525EF" w:rsidP="00A525EF">
            <w:pPr>
              <w:ind w:right="1"/>
              <w:jc w:val="both"/>
              <w:rPr>
                <w:rFonts w:ascii="Tahoma" w:eastAsia="Tahoma" w:hAnsi="Tahoma" w:cs="Tahoma"/>
                <w:bCs/>
                <w:iCs/>
                <w:color w:val="808080"/>
                <w:sz w:val="16"/>
                <w:szCs w:val="16"/>
              </w:rPr>
            </w:pPr>
          </w:p>
          <w:p w14:paraId="5F517AD3" w14:textId="77777777" w:rsidR="00A525EF" w:rsidRPr="00A525EF" w:rsidRDefault="00A525EF" w:rsidP="00A525EF">
            <w:pPr>
              <w:ind w:right="1"/>
              <w:jc w:val="both"/>
              <w:rPr>
                <w:rFonts w:ascii="Tahoma" w:eastAsia="Tahoma" w:hAnsi="Tahoma" w:cs="Tahoma"/>
                <w:bCs/>
                <w:iCs/>
                <w:color w:val="808080"/>
                <w:sz w:val="16"/>
                <w:szCs w:val="16"/>
              </w:rPr>
            </w:pPr>
            <w:r w:rsidRPr="00A525EF">
              <w:rPr>
                <w:rFonts w:ascii="Tahoma" w:eastAsia="Tahoma" w:hAnsi="Tahoma" w:cs="Tahoma"/>
                <w:bCs/>
                <w:iCs/>
                <w:color w:val="808080"/>
                <w:sz w:val="16"/>
                <w:szCs w:val="16"/>
              </w:rPr>
              <w:t>We are one of the signatories of the Agreement for Safety in Construction – an initiative established in 2010, bringing together the largest general contractors in Poland in order to improve occupational safety in the construction industry.</w:t>
            </w:r>
          </w:p>
          <w:p w14:paraId="53E1D56E" w14:textId="77777777" w:rsidR="00A525EF" w:rsidRPr="00A525EF" w:rsidRDefault="00A525EF" w:rsidP="00A525EF">
            <w:pPr>
              <w:ind w:right="1"/>
              <w:jc w:val="both"/>
              <w:rPr>
                <w:rFonts w:ascii="Tahoma" w:eastAsia="Tahoma" w:hAnsi="Tahoma" w:cs="Tahoma"/>
                <w:bCs/>
                <w:iCs/>
                <w:color w:val="808080"/>
                <w:sz w:val="16"/>
                <w:szCs w:val="16"/>
              </w:rPr>
            </w:pPr>
          </w:p>
          <w:p w14:paraId="7937A80F" w14:textId="19C5C291" w:rsidR="00A525EF" w:rsidRPr="00A525EF" w:rsidRDefault="00A525EF" w:rsidP="00A525EF">
            <w:pPr>
              <w:spacing w:line="360" w:lineRule="auto"/>
              <w:ind w:right="1"/>
              <w:jc w:val="both"/>
              <w:rPr>
                <w:rFonts w:ascii="Tahoma" w:eastAsia="Tahoma" w:hAnsi="Tahoma" w:cs="Tahoma"/>
                <w:color w:val="808080"/>
                <w:sz w:val="18"/>
                <w:szCs w:val="18"/>
              </w:rPr>
            </w:pPr>
            <w:r w:rsidRPr="00A525EF">
              <w:rPr>
                <w:rFonts w:ascii="Tahoma" w:eastAsia="Tahoma" w:hAnsi="Tahoma" w:cs="Tahoma"/>
                <w:bCs/>
                <w:iCs/>
                <w:color w:val="808080"/>
                <w:sz w:val="16"/>
                <w:szCs w:val="16"/>
              </w:rPr>
              <w:t>More information is available at www.budimex.pl/en</w:t>
            </w:r>
          </w:p>
          <w:p w14:paraId="67373D89" w14:textId="77777777" w:rsidR="00A525EF" w:rsidRPr="00A525EF" w:rsidRDefault="00A525EF" w:rsidP="00A525EF">
            <w:pPr>
              <w:spacing w:line="360" w:lineRule="auto"/>
              <w:ind w:right="1"/>
              <w:jc w:val="both"/>
              <w:rPr>
                <w:rFonts w:ascii="Tahoma" w:eastAsia="Tahoma" w:hAnsi="Tahoma" w:cs="Tahoma"/>
                <w:color w:val="808080"/>
                <w:sz w:val="18"/>
                <w:szCs w:val="18"/>
              </w:rPr>
            </w:pPr>
          </w:p>
          <w:p w14:paraId="4D4094CC" w14:textId="77777777" w:rsidR="00A525EF" w:rsidRPr="00A525EF" w:rsidRDefault="00A525EF" w:rsidP="00A525EF">
            <w:pPr>
              <w:spacing w:line="360" w:lineRule="auto"/>
              <w:ind w:right="1"/>
              <w:jc w:val="both"/>
              <w:rPr>
                <w:rFonts w:ascii="Tahoma" w:eastAsia="Tahoma" w:hAnsi="Tahoma" w:cs="Tahoma"/>
                <w:color w:val="808080"/>
                <w:sz w:val="18"/>
                <w:szCs w:val="18"/>
              </w:rPr>
            </w:pPr>
          </w:p>
          <w:p w14:paraId="3F31773A" w14:textId="77777777" w:rsidR="003B1DAE" w:rsidRDefault="003B1DAE" w:rsidP="00A525EF">
            <w:pPr>
              <w:spacing w:line="360" w:lineRule="auto"/>
              <w:ind w:right="1"/>
              <w:jc w:val="both"/>
              <w:rPr>
                <w:rFonts w:ascii="Tahoma" w:eastAsia="Tahoma" w:hAnsi="Tahoma" w:cs="Tahoma"/>
                <w:b/>
                <w:color w:val="FFC000"/>
              </w:rPr>
            </w:pPr>
          </w:p>
        </w:tc>
        <w:tc>
          <w:tcPr>
            <w:tcW w:w="3118" w:type="dxa"/>
          </w:tcPr>
          <w:p w14:paraId="67B7D26C" w14:textId="77777777" w:rsidR="003B1DAE" w:rsidRDefault="003B1DAE">
            <w:pPr>
              <w:spacing w:line="360" w:lineRule="auto"/>
              <w:jc w:val="center"/>
              <w:rPr>
                <w:rFonts w:ascii="Tahoma" w:eastAsia="Tahoma" w:hAnsi="Tahoma" w:cs="Tahoma"/>
                <w:b/>
                <w:color w:val="FFC000"/>
              </w:rPr>
            </w:pPr>
          </w:p>
          <w:p w14:paraId="121057B9" w14:textId="77777777" w:rsidR="003B1DAE" w:rsidRDefault="003B1DAE">
            <w:pPr>
              <w:spacing w:line="360" w:lineRule="auto"/>
              <w:jc w:val="center"/>
              <w:rPr>
                <w:rFonts w:ascii="Tahoma" w:eastAsia="Tahoma" w:hAnsi="Tahoma" w:cs="Tahoma"/>
                <w:b/>
                <w:color w:val="FFC000"/>
              </w:rPr>
            </w:pPr>
          </w:p>
          <w:p w14:paraId="1802098F" w14:textId="77777777" w:rsidR="003B1DAE" w:rsidRDefault="003B1DAE">
            <w:pPr>
              <w:spacing w:line="360" w:lineRule="auto"/>
              <w:jc w:val="center"/>
              <w:rPr>
                <w:rFonts w:ascii="Tahoma" w:eastAsia="Tahoma" w:hAnsi="Tahoma" w:cs="Tahoma"/>
                <w:b/>
                <w:color w:val="FFC000"/>
              </w:rPr>
            </w:pPr>
          </w:p>
          <w:p w14:paraId="21357304" w14:textId="77777777" w:rsidR="003B1DAE" w:rsidRDefault="003B1DAE">
            <w:pPr>
              <w:spacing w:line="360" w:lineRule="auto"/>
              <w:jc w:val="center"/>
              <w:rPr>
                <w:rFonts w:ascii="Tahoma" w:eastAsia="Tahoma" w:hAnsi="Tahoma" w:cs="Tahoma"/>
                <w:b/>
                <w:color w:val="FFC000"/>
              </w:rPr>
            </w:pPr>
          </w:p>
          <w:p w14:paraId="1A8A1F8C" w14:textId="77777777" w:rsidR="003B1DAE" w:rsidRDefault="003B1DAE">
            <w:pPr>
              <w:spacing w:line="360" w:lineRule="auto"/>
              <w:jc w:val="center"/>
              <w:rPr>
                <w:rFonts w:ascii="Tahoma" w:eastAsia="Tahoma" w:hAnsi="Tahoma" w:cs="Tahoma"/>
                <w:b/>
                <w:color w:val="FFC000"/>
              </w:rPr>
            </w:pPr>
          </w:p>
          <w:p w14:paraId="3FE8EF16" w14:textId="77777777" w:rsidR="003B1DAE" w:rsidRDefault="003B1DAE">
            <w:pPr>
              <w:spacing w:line="360" w:lineRule="auto"/>
              <w:jc w:val="center"/>
              <w:rPr>
                <w:rFonts w:ascii="Tahoma" w:eastAsia="Tahoma" w:hAnsi="Tahoma" w:cs="Tahoma"/>
                <w:b/>
                <w:color w:val="FFC000"/>
              </w:rPr>
            </w:pPr>
          </w:p>
          <w:p w14:paraId="662905CB" w14:textId="77777777" w:rsidR="003B1DAE" w:rsidRDefault="003B1DAE">
            <w:pPr>
              <w:spacing w:after="120" w:line="360" w:lineRule="auto"/>
              <w:rPr>
                <w:rFonts w:ascii="Verdana" w:eastAsia="Verdana" w:hAnsi="Verdana" w:cs="Verdana"/>
                <w:b/>
                <w:color w:val="FFC000"/>
                <w:sz w:val="20"/>
                <w:szCs w:val="20"/>
              </w:rPr>
            </w:pPr>
          </w:p>
          <w:p w14:paraId="4ED01EAD" w14:textId="77777777" w:rsidR="003B1DAE" w:rsidRDefault="009967C2">
            <w:pPr>
              <w:spacing w:after="120" w:line="360" w:lineRule="auto"/>
              <w:rPr>
                <w:rFonts w:ascii="Verdana" w:eastAsia="Verdana" w:hAnsi="Verdana" w:cs="Verdana"/>
                <w:b/>
                <w:color w:val="FFC000"/>
                <w:sz w:val="20"/>
                <w:szCs w:val="20"/>
              </w:rPr>
            </w:pPr>
            <w:r>
              <w:rPr>
                <w:rFonts w:ascii="Verdana" w:hAnsi="Verdana"/>
                <w:b/>
                <w:color w:val="FFC000"/>
                <w:sz w:val="20"/>
              </w:rPr>
              <w:t xml:space="preserve">Contact: </w:t>
            </w:r>
          </w:p>
          <w:p w14:paraId="2135BC33" w14:textId="77777777" w:rsidR="003B1DAE" w:rsidRDefault="009967C2">
            <w:pPr>
              <w:spacing w:after="120" w:line="360" w:lineRule="auto"/>
              <w:rPr>
                <w:rFonts w:ascii="Verdana" w:eastAsia="Verdana" w:hAnsi="Verdana" w:cs="Verdana"/>
                <w:color w:val="808080"/>
                <w:sz w:val="18"/>
                <w:szCs w:val="18"/>
              </w:rPr>
            </w:pPr>
            <w:r>
              <w:rPr>
                <w:rFonts w:ascii="Verdana" w:hAnsi="Verdana"/>
                <w:color w:val="808080"/>
                <w:sz w:val="18"/>
              </w:rPr>
              <w:t>Michał Wrzosek – Spokesman</w:t>
            </w:r>
          </w:p>
          <w:p w14:paraId="2581B2D7" w14:textId="77777777" w:rsidR="003B1DAE" w:rsidRDefault="009967C2">
            <w:pPr>
              <w:spacing w:line="360" w:lineRule="auto"/>
              <w:rPr>
                <w:rFonts w:ascii="Verdana" w:eastAsia="Verdana" w:hAnsi="Verdana" w:cs="Verdana"/>
                <w:color w:val="808080"/>
                <w:sz w:val="18"/>
                <w:szCs w:val="18"/>
              </w:rPr>
            </w:pPr>
            <w:r>
              <w:rPr>
                <w:rFonts w:ascii="Verdana" w:hAnsi="Verdana"/>
                <w:color w:val="808080"/>
                <w:sz w:val="18"/>
              </w:rPr>
              <w:t xml:space="preserve">phone (22) 62 36 164, 512 478 522, </w:t>
            </w:r>
          </w:p>
          <w:p w14:paraId="7BB6B26D" w14:textId="77777777" w:rsidR="003B1DAE" w:rsidRDefault="00DD3F8D">
            <w:pPr>
              <w:spacing w:line="360" w:lineRule="auto"/>
              <w:rPr>
                <w:rFonts w:ascii="Verdana" w:eastAsia="Verdana" w:hAnsi="Verdana" w:cs="Verdana"/>
                <w:color w:val="808080"/>
                <w:sz w:val="18"/>
                <w:szCs w:val="18"/>
              </w:rPr>
            </w:pPr>
            <w:hyperlink r:id="rId13">
              <w:r w:rsidR="00563A61">
                <w:rPr>
                  <w:rFonts w:ascii="Verdana" w:hAnsi="Verdana"/>
                  <w:color w:val="808080"/>
                  <w:sz w:val="18"/>
                  <w:u w:val="single"/>
                </w:rPr>
                <w:t>michal.wrzosek@budimex.pl</w:t>
              </w:r>
            </w:hyperlink>
          </w:p>
          <w:p w14:paraId="2AE7F503" w14:textId="77777777" w:rsidR="003B1DAE" w:rsidRDefault="00DD3F8D">
            <w:pPr>
              <w:spacing w:before="280" w:after="280" w:line="360" w:lineRule="auto"/>
              <w:jc w:val="both"/>
              <w:rPr>
                <w:rFonts w:ascii="Tahoma" w:eastAsia="Tahoma" w:hAnsi="Tahoma" w:cs="Tahoma"/>
                <w:color w:val="7F7F7F"/>
                <w:sz w:val="18"/>
                <w:szCs w:val="18"/>
              </w:rPr>
            </w:pPr>
            <w:hyperlink r:id="rId14">
              <w:r w:rsidR="00563A61">
                <w:rPr>
                  <w:rFonts w:ascii="Tahoma" w:hAnsi="Tahoma"/>
                  <w:color w:val="7F7F7F"/>
                  <w:sz w:val="18"/>
                  <w:u w:val="single"/>
                </w:rPr>
                <w:t>www.media.budimex.pl</w:t>
              </w:r>
            </w:hyperlink>
          </w:p>
          <w:p w14:paraId="1FAF3FD8" w14:textId="77777777" w:rsidR="003B1DAE" w:rsidRDefault="003B1DAE">
            <w:pPr>
              <w:spacing w:line="360" w:lineRule="auto"/>
              <w:jc w:val="center"/>
              <w:rPr>
                <w:rFonts w:ascii="Tahoma" w:eastAsia="Tahoma" w:hAnsi="Tahoma" w:cs="Tahoma"/>
                <w:b/>
                <w:color w:val="FFC000"/>
              </w:rPr>
            </w:pPr>
          </w:p>
          <w:p w14:paraId="21310D73" w14:textId="77777777" w:rsidR="003B1DAE" w:rsidRDefault="003B1DAE">
            <w:pPr>
              <w:spacing w:line="360" w:lineRule="auto"/>
              <w:jc w:val="center"/>
              <w:rPr>
                <w:rFonts w:ascii="Tahoma" w:eastAsia="Tahoma" w:hAnsi="Tahoma" w:cs="Tahoma"/>
                <w:b/>
                <w:color w:val="FFC000"/>
              </w:rPr>
            </w:pPr>
          </w:p>
          <w:p w14:paraId="71DDAF4B" w14:textId="77777777" w:rsidR="003B1DAE" w:rsidRDefault="003B1DAE">
            <w:pPr>
              <w:spacing w:line="360" w:lineRule="auto"/>
              <w:jc w:val="center"/>
              <w:rPr>
                <w:rFonts w:ascii="Tahoma" w:eastAsia="Tahoma" w:hAnsi="Tahoma" w:cs="Tahoma"/>
                <w:b/>
                <w:color w:val="FFC000"/>
              </w:rPr>
            </w:pPr>
          </w:p>
          <w:p w14:paraId="609ACB20" w14:textId="77777777" w:rsidR="003B1DAE" w:rsidRDefault="003B1DAE">
            <w:pPr>
              <w:spacing w:line="360" w:lineRule="auto"/>
              <w:jc w:val="center"/>
              <w:rPr>
                <w:rFonts w:ascii="Tahoma" w:eastAsia="Tahoma" w:hAnsi="Tahoma" w:cs="Tahoma"/>
                <w:b/>
                <w:color w:val="FFC000"/>
              </w:rPr>
            </w:pPr>
          </w:p>
        </w:tc>
      </w:tr>
    </w:tbl>
    <w:p w14:paraId="2A8CBFEE" w14:textId="77777777" w:rsidR="003B1DAE" w:rsidRDefault="003B1DAE">
      <w:pPr>
        <w:spacing w:line="360" w:lineRule="auto"/>
        <w:ind w:right="1"/>
        <w:jc w:val="both"/>
        <w:rPr>
          <w:rFonts w:ascii="Tahoma" w:eastAsia="Tahoma" w:hAnsi="Tahoma" w:cs="Tahoma"/>
          <w:color w:val="808080"/>
          <w:sz w:val="18"/>
          <w:szCs w:val="18"/>
        </w:rPr>
      </w:pPr>
    </w:p>
    <w:sectPr w:rsidR="003B1DAE">
      <w:headerReference w:type="even" r:id="rId15"/>
      <w:headerReference w:type="default" r:id="rId16"/>
      <w:footerReference w:type="even" r:id="rId17"/>
      <w:footerReference w:type="default" r:id="rId18"/>
      <w:headerReference w:type="first" r:id="rId19"/>
      <w:footerReference w:type="first" r:id="rId20"/>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DBBE7" w14:textId="77777777" w:rsidR="00DD3F8D" w:rsidRDefault="00DD3F8D">
      <w:pPr>
        <w:spacing w:after="0" w:line="240" w:lineRule="auto"/>
      </w:pPr>
      <w:r>
        <w:separator/>
      </w:r>
    </w:p>
  </w:endnote>
  <w:endnote w:type="continuationSeparator" w:id="0">
    <w:p w14:paraId="52FABE4E" w14:textId="77777777" w:rsidR="00DD3F8D" w:rsidRDefault="00DD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D47EC"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F70EE"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4A64"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571E2" w14:textId="77777777" w:rsidR="00DD3F8D" w:rsidRDefault="00DD3F8D">
      <w:pPr>
        <w:spacing w:after="0" w:line="240" w:lineRule="auto"/>
      </w:pPr>
      <w:r>
        <w:separator/>
      </w:r>
    </w:p>
  </w:footnote>
  <w:footnote w:type="continuationSeparator" w:id="0">
    <w:p w14:paraId="53F0637B" w14:textId="77777777" w:rsidR="00DD3F8D" w:rsidRDefault="00DD3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50B18"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9826" w14:textId="77777777" w:rsidR="003B1DAE" w:rsidRDefault="009967C2">
    <w:pPr>
      <w:pBdr>
        <w:top w:val="nil"/>
        <w:left w:val="nil"/>
        <w:bottom w:val="nil"/>
        <w:right w:val="nil"/>
        <w:between w:val="nil"/>
      </w:pBdr>
      <w:tabs>
        <w:tab w:val="center" w:pos="4536"/>
        <w:tab w:val="right" w:pos="9072"/>
        <w:tab w:val="left" w:pos="785"/>
        <w:tab w:val="left" w:pos="3828"/>
      </w:tabs>
      <w:spacing w:after="0" w:line="240" w:lineRule="auto"/>
      <w:rPr>
        <w:rFonts w:ascii="Tahoma" w:eastAsia="Tahoma" w:hAnsi="Tahoma" w:cs="Tahoma"/>
        <w:b/>
        <w:color w:val="808080"/>
        <w:sz w:val="28"/>
        <w:szCs w:val="28"/>
      </w:rPr>
    </w:pPr>
    <w:r>
      <w:rPr>
        <w:noProof/>
        <w:lang w:val="pl-PL"/>
      </w:rPr>
      <w:drawing>
        <wp:anchor distT="0" distB="0" distL="114300" distR="114300" simplePos="0" relativeHeight="251658240" behindDoc="0" locked="0" layoutInCell="1" hidden="0" allowOverlap="1" wp14:anchorId="7C60455E" wp14:editId="145225DB">
          <wp:simplePos x="0" y="0"/>
          <wp:positionH relativeFrom="column">
            <wp:posOffset>761</wp:posOffset>
          </wp:positionH>
          <wp:positionV relativeFrom="paragraph">
            <wp:posOffset>693</wp:posOffset>
          </wp:positionV>
          <wp:extent cx="1396800" cy="478800"/>
          <wp:effectExtent l="0" t="0" r="0" b="0"/>
          <wp:wrapNone/>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6800" cy="478800"/>
                  </a:xfrm>
                  <a:prstGeom prst="rect">
                    <a:avLst/>
                  </a:prstGeom>
                  <a:ln/>
                </pic:spPr>
              </pic:pic>
            </a:graphicData>
          </a:graphic>
        </wp:anchor>
      </w:drawing>
    </w:r>
  </w:p>
  <w:p w14:paraId="7282C477" w14:textId="77777777" w:rsidR="003B1DAE" w:rsidRDefault="009967C2">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r>
      <w:rPr>
        <w:rFonts w:ascii="Tahoma" w:hAnsi="Tahoma"/>
        <w:b/>
        <w:color w:val="808080"/>
        <w:sz w:val="28"/>
      </w:rPr>
      <w:t>Press release</w:t>
    </w:r>
  </w:p>
  <w:p w14:paraId="1DB80131" w14:textId="77777777" w:rsidR="003B1DAE" w:rsidRDefault="003B1DAE">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CD600"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03AD7"/>
    <w:multiLevelType w:val="hybridMultilevel"/>
    <w:tmpl w:val="0D5CBDA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51E639EB"/>
    <w:multiLevelType w:val="multilevel"/>
    <w:tmpl w:val="5B12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A94AF0"/>
    <w:multiLevelType w:val="multilevel"/>
    <w:tmpl w:val="4C548C0A"/>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AE"/>
    <w:rsid w:val="00005967"/>
    <w:rsid w:val="000312A5"/>
    <w:rsid w:val="00035098"/>
    <w:rsid w:val="00042571"/>
    <w:rsid w:val="0004417E"/>
    <w:rsid w:val="00045270"/>
    <w:rsid w:val="0005748E"/>
    <w:rsid w:val="000A1F74"/>
    <w:rsid w:val="00122EF2"/>
    <w:rsid w:val="00125D50"/>
    <w:rsid w:val="00141E0D"/>
    <w:rsid w:val="0015128F"/>
    <w:rsid w:val="00153DB6"/>
    <w:rsid w:val="00157BCF"/>
    <w:rsid w:val="00170C68"/>
    <w:rsid w:val="00172D1D"/>
    <w:rsid w:val="0017439C"/>
    <w:rsid w:val="00192890"/>
    <w:rsid w:val="001A4445"/>
    <w:rsid w:val="001A5983"/>
    <w:rsid w:val="001C6758"/>
    <w:rsid w:val="001C6FB2"/>
    <w:rsid w:val="001E103E"/>
    <w:rsid w:val="001F0F39"/>
    <w:rsid w:val="00203086"/>
    <w:rsid w:val="00216B58"/>
    <w:rsid w:val="00227424"/>
    <w:rsid w:val="00233426"/>
    <w:rsid w:val="002342F3"/>
    <w:rsid w:val="00237B08"/>
    <w:rsid w:val="002653BF"/>
    <w:rsid w:val="00271280"/>
    <w:rsid w:val="002738C7"/>
    <w:rsid w:val="0027391F"/>
    <w:rsid w:val="00285560"/>
    <w:rsid w:val="002B0328"/>
    <w:rsid w:val="002E37BE"/>
    <w:rsid w:val="002E660F"/>
    <w:rsid w:val="002F7D66"/>
    <w:rsid w:val="00307758"/>
    <w:rsid w:val="0032012B"/>
    <w:rsid w:val="00333A8B"/>
    <w:rsid w:val="0036050F"/>
    <w:rsid w:val="003B0035"/>
    <w:rsid w:val="003B1DAE"/>
    <w:rsid w:val="003E3E21"/>
    <w:rsid w:val="003E6001"/>
    <w:rsid w:val="00425428"/>
    <w:rsid w:val="004317A0"/>
    <w:rsid w:val="004475F1"/>
    <w:rsid w:val="00463DB1"/>
    <w:rsid w:val="00473F87"/>
    <w:rsid w:val="00474646"/>
    <w:rsid w:val="004753E7"/>
    <w:rsid w:val="00482FFC"/>
    <w:rsid w:val="0048734C"/>
    <w:rsid w:val="0049557E"/>
    <w:rsid w:val="004A64EF"/>
    <w:rsid w:val="004B0E48"/>
    <w:rsid w:val="004B3484"/>
    <w:rsid w:val="004B36C2"/>
    <w:rsid w:val="004B3AF7"/>
    <w:rsid w:val="004C281E"/>
    <w:rsid w:val="004C6F43"/>
    <w:rsid w:val="004D1A6E"/>
    <w:rsid w:val="004D23DB"/>
    <w:rsid w:val="004D2CB9"/>
    <w:rsid w:val="004E2352"/>
    <w:rsid w:val="004E3D03"/>
    <w:rsid w:val="004F28EB"/>
    <w:rsid w:val="00507926"/>
    <w:rsid w:val="00531141"/>
    <w:rsid w:val="00556EBD"/>
    <w:rsid w:val="00563A61"/>
    <w:rsid w:val="005723C6"/>
    <w:rsid w:val="005745A8"/>
    <w:rsid w:val="00580DBC"/>
    <w:rsid w:val="00583A28"/>
    <w:rsid w:val="00591F2A"/>
    <w:rsid w:val="005A0D5A"/>
    <w:rsid w:val="005B2870"/>
    <w:rsid w:val="005C68E3"/>
    <w:rsid w:val="005C7B13"/>
    <w:rsid w:val="005E5391"/>
    <w:rsid w:val="0060483B"/>
    <w:rsid w:val="006069D2"/>
    <w:rsid w:val="00617FB9"/>
    <w:rsid w:val="00620E70"/>
    <w:rsid w:val="00621025"/>
    <w:rsid w:val="006334DF"/>
    <w:rsid w:val="00662395"/>
    <w:rsid w:val="00664B42"/>
    <w:rsid w:val="00676294"/>
    <w:rsid w:val="006774E1"/>
    <w:rsid w:val="006A749C"/>
    <w:rsid w:val="006B23E5"/>
    <w:rsid w:val="006B4229"/>
    <w:rsid w:val="006B73ED"/>
    <w:rsid w:val="00733A2E"/>
    <w:rsid w:val="00734D0A"/>
    <w:rsid w:val="00753410"/>
    <w:rsid w:val="00760345"/>
    <w:rsid w:val="007619F3"/>
    <w:rsid w:val="00764B40"/>
    <w:rsid w:val="00765894"/>
    <w:rsid w:val="0077467C"/>
    <w:rsid w:val="007B1336"/>
    <w:rsid w:val="007C1DC5"/>
    <w:rsid w:val="007C3A96"/>
    <w:rsid w:val="007E18DE"/>
    <w:rsid w:val="007F3184"/>
    <w:rsid w:val="007F3CC7"/>
    <w:rsid w:val="00800D2C"/>
    <w:rsid w:val="00815A09"/>
    <w:rsid w:val="00821D89"/>
    <w:rsid w:val="00845EC4"/>
    <w:rsid w:val="00845ED3"/>
    <w:rsid w:val="008470B4"/>
    <w:rsid w:val="008717D3"/>
    <w:rsid w:val="008745A4"/>
    <w:rsid w:val="00876DE2"/>
    <w:rsid w:val="00885B0E"/>
    <w:rsid w:val="008D42A6"/>
    <w:rsid w:val="008D5767"/>
    <w:rsid w:val="008E6A30"/>
    <w:rsid w:val="00900FB4"/>
    <w:rsid w:val="00910344"/>
    <w:rsid w:val="00917CB0"/>
    <w:rsid w:val="00932589"/>
    <w:rsid w:val="00932B4B"/>
    <w:rsid w:val="00935737"/>
    <w:rsid w:val="00935855"/>
    <w:rsid w:val="00935DD8"/>
    <w:rsid w:val="00960B50"/>
    <w:rsid w:val="00965150"/>
    <w:rsid w:val="009709D2"/>
    <w:rsid w:val="00973866"/>
    <w:rsid w:val="00990EE6"/>
    <w:rsid w:val="00994841"/>
    <w:rsid w:val="009967C2"/>
    <w:rsid w:val="009A2909"/>
    <w:rsid w:val="009B3D65"/>
    <w:rsid w:val="009B421B"/>
    <w:rsid w:val="009B4890"/>
    <w:rsid w:val="009F1401"/>
    <w:rsid w:val="00A0236D"/>
    <w:rsid w:val="00A02805"/>
    <w:rsid w:val="00A12650"/>
    <w:rsid w:val="00A1571C"/>
    <w:rsid w:val="00A1757B"/>
    <w:rsid w:val="00A44C8F"/>
    <w:rsid w:val="00A51B54"/>
    <w:rsid w:val="00A525EF"/>
    <w:rsid w:val="00A60D9C"/>
    <w:rsid w:val="00A62C3A"/>
    <w:rsid w:val="00A751EB"/>
    <w:rsid w:val="00A86731"/>
    <w:rsid w:val="00A912EE"/>
    <w:rsid w:val="00A95F3C"/>
    <w:rsid w:val="00AB13B2"/>
    <w:rsid w:val="00AB41A5"/>
    <w:rsid w:val="00AC4057"/>
    <w:rsid w:val="00AD373B"/>
    <w:rsid w:val="00AD6A2F"/>
    <w:rsid w:val="00AE517C"/>
    <w:rsid w:val="00AF7CB0"/>
    <w:rsid w:val="00B06DE6"/>
    <w:rsid w:val="00B12F71"/>
    <w:rsid w:val="00B37986"/>
    <w:rsid w:val="00B54E6D"/>
    <w:rsid w:val="00B738C4"/>
    <w:rsid w:val="00B96E92"/>
    <w:rsid w:val="00BA765F"/>
    <w:rsid w:val="00BA7C09"/>
    <w:rsid w:val="00BC2B62"/>
    <w:rsid w:val="00BE004B"/>
    <w:rsid w:val="00C353E3"/>
    <w:rsid w:val="00C448E6"/>
    <w:rsid w:val="00C712F5"/>
    <w:rsid w:val="00C71E0D"/>
    <w:rsid w:val="00C74D83"/>
    <w:rsid w:val="00CA3C4C"/>
    <w:rsid w:val="00CE5E73"/>
    <w:rsid w:val="00CE6127"/>
    <w:rsid w:val="00D06806"/>
    <w:rsid w:val="00D25679"/>
    <w:rsid w:val="00D269A5"/>
    <w:rsid w:val="00D34275"/>
    <w:rsid w:val="00D40B49"/>
    <w:rsid w:val="00D62673"/>
    <w:rsid w:val="00D65E13"/>
    <w:rsid w:val="00D67D0B"/>
    <w:rsid w:val="00D73CE0"/>
    <w:rsid w:val="00D87525"/>
    <w:rsid w:val="00D90C0F"/>
    <w:rsid w:val="00D94B29"/>
    <w:rsid w:val="00DB27C9"/>
    <w:rsid w:val="00DB43CD"/>
    <w:rsid w:val="00DC033A"/>
    <w:rsid w:val="00DD04AA"/>
    <w:rsid w:val="00DD0A38"/>
    <w:rsid w:val="00DD3F8D"/>
    <w:rsid w:val="00DD67EE"/>
    <w:rsid w:val="00DE3C90"/>
    <w:rsid w:val="00DF25E5"/>
    <w:rsid w:val="00DF4138"/>
    <w:rsid w:val="00E208A1"/>
    <w:rsid w:val="00E2090D"/>
    <w:rsid w:val="00E24F1A"/>
    <w:rsid w:val="00E31E81"/>
    <w:rsid w:val="00E43C68"/>
    <w:rsid w:val="00E9022E"/>
    <w:rsid w:val="00EB6077"/>
    <w:rsid w:val="00EC75C0"/>
    <w:rsid w:val="00ED4BD3"/>
    <w:rsid w:val="00ED5AE6"/>
    <w:rsid w:val="00ED77BB"/>
    <w:rsid w:val="00F1073B"/>
    <w:rsid w:val="00F22264"/>
    <w:rsid w:val="00F24ED0"/>
    <w:rsid w:val="00F2654B"/>
    <w:rsid w:val="00F33A2C"/>
    <w:rsid w:val="00F479B6"/>
    <w:rsid w:val="00F70BEA"/>
    <w:rsid w:val="00FA2365"/>
    <w:rsid w:val="00FB12A7"/>
    <w:rsid w:val="00FD2F0C"/>
    <w:rsid w:val="00FD4AE9"/>
    <w:rsid w:val="00FD6290"/>
    <w:rsid w:val="00FF1E47"/>
    <w:rsid w:val="00FF46F8"/>
    <w:rsid w:val="00FF65FC"/>
    <w:rsid w:val="00FF6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B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560"/>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6"/>
    <w:pPr>
      <w:spacing w:after="0" w:line="240" w:lineRule="auto"/>
    </w:pPr>
    <w:tblPr>
      <w:tblStyleRowBandSize w:val="1"/>
      <w:tblStyleColBandSize w:val="1"/>
      <w:tblCellMar>
        <w:left w:w="255" w:type="dxa"/>
        <w:right w:w="108" w:type="dxa"/>
      </w:tblCellMar>
    </w:tblPr>
  </w:style>
  <w:style w:type="table" w:customStyle="1" w:styleId="a1">
    <w:basedOn w:val="TableNormal6"/>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4"/>
    <w:pPr>
      <w:spacing w:after="0" w:line="240" w:lineRule="auto"/>
    </w:pPr>
    <w:tblPr>
      <w:tblStyleRowBandSize w:val="1"/>
      <w:tblStyleColBandSize w:val="1"/>
      <w:tblCellMar>
        <w:left w:w="255" w:type="dxa"/>
        <w:right w:w="108" w:type="dxa"/>
      </w:tblCellMar>
    </w:tblPr>
  </w:style>
  <w:style w:type="table" w:customStyle="1" w:styleId="a3">
    <w:basedOn w:val="TableNormal3"/>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2"/>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1"/>
    <w:pPr>
      <w:spacing w:after="0" w:line="240" w:lineRule="auto"/>
    </w:pPr>
    <w:tblPr>
      <w:tblStyleRowBandSize w:val="1"/>
      <w:tblStyleColBandSize w:val="1"/>
      <w:tblCellMar>
        <w:left w:w="255" w:type="dxa"/>
        <w:right w:w="108" w:type="dxa"/>
      </w:tblCellMar>
    </w:tblPr>
  </w:style>
  <w:style w:type="table" w:customStyle="1" w:styleId="a6">
    <w:basedOn w:val="TableNormal0"/>
    <w:pPr>
      <w:spacing w:after="0" w:line="240" w:lineRule="auto"/>
    </w:pPr>
    <w:tblPr>
      <w:tblStyleRowBandSize w:val="1"/>
      <w:tblStyleColBandSize w:val="1"/>
      <w:tblCellMar>
        <w:left w:w="255" w:type="dxa"/>
        <w:right w:w="108" w:type="dxa"/>
      </w:tblCellMar>
    </w:tblPr>
  </w:style>
  <w:style w:type="character" w:styleId="Hipercze">
    <w:name w:val="Hyperlink"/>
    <w:basedOn w:val="Domylnaczcionkaakapitu"/>
    <w:uiPriority w:val="99"/>
    <w:unhideWhenUsed/>
    <w:rsid w:val="00617FB9"/>
    <w:rPr>
      <w:color w:val="0000FF" w:themeColor="hyperlink"/>
      <w:u w:val="single"/>
    </w:rPr>
  </w:style>
  <w:style w:type="paragraph" w:styleId="NormalnyWeb">
    <w:name w:val="Normal (Web)"/>
    <w:basedOn w:val="Normalny"/>
    <w:uiPriority w:val="99"/>
    <w:semiHidden/>
    <w:unhideWhenUsed/>
    <w:rsid w:val="00463DB1"/>
    <w:rPr>
      <w:rFonts w:ascii="Times New Roman" w:hAnsi="Times New Roman" w:cs="Times New Roman"/>
      <w:sz w:val="24"/>
      <w:szCs w:val="24"/>
    </w:rPr>
  </w:style>
  <w:style w:type="character" w:styleId="Uwydatnienie">
    <w:name w:val="Emphasis"/>
    <w:basedOn w:val="Domylnaczcionkaakapitu"/>
    <w:uiPriority w:val="20"/>
    <w:qFormat/>
    <w:rsid w:val="0049557E"/>
    <w:rPr>
      <w:i/>
      <w:iCs/>
    </w:rPr>
  </w:style>
  <w:style w:type="paragraph" w:styleId="Tekstprzypisukocowego">
    <w:name w:val="endnote text"/>
    <w:basedOn w:val="Normalny"/>
    <w:link w:val="TekstprzypisukocowegoZnak"/>
    <w:uiPriority w:val="99"/>
    <w:semiHidden/>
    <w:unhideWhenUsed/>
    <w:rsid w:val="00B12F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F71"/>
    <w:rPr>
      <w:sz w:val="20"/>
      <w:szCs w:val="20"/>
    </w:rPr>
  </w:style>
  <w:style w:type="character" w:styleId="Odwoanieprzypisukocowego">
    <w:name w:val="endnote reference"/>
    <w:basedOn w:val="Domylnaczcionkaakapitu"/>
    <w:uiPriority w:val="99"/>
    <w:semiHidden/>
    <w:unhideWhenUsed/>
    <w:rsid w:val="00B12F71"/>
    <w:rPr>
      <w:vertAlign w:val="superscript"/>
    </w:rPr>
  </w:style>
  <w:style w:type="paragraph" w:styleId="Poprawka">
    <w:name w:val="Revision"/>
    <w:hidden/>
    <w:uiPriority w:val="99"/>
    <w:semiHidden/>
    <w:rsid w:val="003B0035"/>
    <w:pPr>
      <w:spacing w:after="0" w:line="240" w:lineRule="auto"/>
    </w:pPr>
  </w:style>
  <w:style w:type="character" w:customStyle="1" w:styleId="Nierozpoznanawzmianka1">
    <w:name w:val="Nierozpoznana wzmianka1"/>
    <w:basedOn w:val="Domylnaczcionkaakapitu"/>
    <w:uiPriority w:val="99"/>
    <w:semiHidden/>
    <w:unhideWhenUsed/>
    <w:rsid w:val="004E3D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560"/>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6"/>
    <w:pPr>
      <w:spacing w:after="0" w:line="240" w:lineRule="auto"/>
    </w:pPr>
    <w:tblPr>
      <w:tblStyleRowBandSize w:val="1"/>
      <w:tblStyleColBandSize w:val="1"/>
      <w:tblCellMar>
        <w:left w:w="255" w:type="dxa"/>
        <w:right w:w="108" w:type="dxa"/>
      </w:tblCellMar>
    </w:tblPr>
  </w:style>
  <w:style w:type="table" w:customStyle="1" w:styleId="a1">
    <w:basedOn w:val="TableNormal6"/>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4"/>
    <w:pPr>
      <w:spacing w:after="0" w:line="240" w:lineRule="auto"/>
    </w:pPr>
    <w:tblPr>
      <w:tblStyleRowBandSize w:val="1"/>
      <w:tblStyleColBandSize w:val="1"/>
      <w:tblCellMar>
        <w:left w:w="255" w:type="dxa"/>
        <w:right w:w="108" w:type="dxa"/>
      </w:tblCellMar>
    </w:tblPr>
  </w:style>
  <w:style w:type="table" w:customStyle="1" w:styleId="a3">
    <w:basedOn w:val="TableNormal3"/>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2"/>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1"/>
    <w:pPr>
      <w:spacing w:after="0" w:line="240" w:lineRule="auto"/>
    </w:pPr>
    <w:tblPr>
      <w:tblStyleRowBandSize w:val="1"/>
      <w:tblStyleColBandSize w:val="1"/>
      <w:tblCellMar>
        <w:left w:w="255" w:type="dxa"/>
        <w:right w:w="108" w:type="dxa"/>
      </w:tblCellMar>
    </w:tblPr>
  </w:style>
  <w:style w:type="table" w:customStyle="1" w:styleId="a6">
    <w:basedOn w:val="TableNormal0"/>
    <w:pPr>
      <w:spacing w:after="0" w:line="240" w:lineRule="auto"/>
    </w:pPr>
    <w:tblPr>
      <w:tblStyleRowBandSize w:val="1"/>
      <w:tblStyleColBandSize w:val="1"/>
      <w:tblCellMar>
        <w:left w:w="255" w:type="dxa"/>
        <w:right w:w="108" w:type="dxa"/>
      </w:tblCellMar>
    </w:tblPr>
  </w:style>
  <w:style w:type="character" w:styleId="Hipercze">
    <w:name w:val="Hyperlink"/>
    <w:basedOn w:val="Domylnaczcionkaakapitu"/>
    <w:uiPriority w:val="99"/>
    <w:unhideWhenUsed/>
    <w:rsid w:val="00617FB9"/>
    <w:rPr>
      <w:color w:val="0000FF" w:themeColor="hyperlink"/>
      <w:u w:val="single"/>
    </w:rPr>
  </w:style>
  <w:style w:type="paragraph" w:styleId="NormalnyWeb">
    <w:name w:val="Normal (Web)"/>
    <w:basedOn w:val="Normalny"/>
    <w:uiPriority w:val="99"/>
    <w:semiHidden/>
    <w:unhideWhenUsed/>
    <w:rsid w:val="00463DB1"/>
    <w:rPr>
      <w:rFonts w:ascii="Times New Roman" w:hAnsi="Times New Roman" w:cs="Times New Roman"/>
      <w:sz w:val="24"/>
      <w:szCs w:val="24"/>
    </w:rPr>
  </w:style>
  <w:style w:type="character" w:styleId="Uwydatnienie">
    <w:name w:val="Emphasis"/>
    <w:basedOn w:val="Domylnaczcionkaakapitu"/>
    <w:uiPriority w:val="20"/>
    <w:qFormat/>
    <w:rsid w:val="0049557E"/>
    <w:rPr>
      <w:i/>
      <w:iCs/>
    </w:rPr>
  </w:style>
  <w:style w:type="paragraph" w:styleId="Tekstprzypisukocowego">
    <w:name w:val="endnote text"/>
    <w:basedOn w:val="Normalny"/>
    <w:link w:val="TekstprzypisukocowegoZnak"/>
    <w:uiPriority w:val="99"/>
    <w:semiHidden/>
    <w:unhideWhenUsed/>
    <w:rsid w:val="00B12F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F71"/>
    <w:rPr>
      <w:sz w:val="20"/>
      <w:szCs w:val="20"/>
    </w:rPr>
  </w:style>
  <w:style w:type="character" w:styleId="Odwoanieprzypisukocowego">
    <w:name w:val="endnote reference"/>
    <w:basedOn w:val="Domylnaczcionkaakapitu"/>
    <w:uiPriority w:val="99"/>
    <w:semiHidden/>
    <w:unhideWhenUsed/>
    <w:rsid w:val="00B12F71"/>
    <w:rPr>
      <w:vertAlign w:val="superscript"/>
    </w:rPr>
  </w:style>
  <w:style w:type="paragraph" w:styleId="Poprawka">
    <w:name w:val="Revision"/>
    <w:hidden/>
    <w:uiPriority w:val="99"/>
    <w:semiHidden/>
    <w:rsid w:val="003B0035"/>
    <w:pPr>
      <w:spacing w:after="0" w:line="240" w:lineRule="auto"/>
    </w:pPr>
  </w:style>
  <w:style w:type="character" w:customStyle="1" w:styleId="Nierozpoznanawzmianka1">
    <w:name w:val="Nierozpoznana wzmianka1"/>
    <w:basedOn w:val="Domylnaczcionkaakapitu"/>
    <w:uiPriority w:val="99"/>
    <w:semiHidden/>
    <w:unhideWhenUsed/>
    <w:rsid w:val="004E3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9102">
      <w:bodyDiv w:val="1"/>
      <w:marLeft w:val="0"/>
      <w:marRight w:val="0"/>
      <w:marTop w:val="0"/>
      <w:marBottom w:val="0"/>
      <w:divBdr>
        <w:top w:val="none" w:sz="0" w:space="0" w:color="auto"/>
        <w:left w:val="none" w:sz="0" w:space="0" w:color="auto"/>
        <w:bottom w:val="none" w:sz="0" w:space="0" w:color="auto"/>
        <w:right w:val="none" w:sz="0" w:space="0" w:color="auto"/>
      </w:divBdr>
    </w:div>
    <w:div w:id="102188668">
      <w:bodyDiv w:val="1"/>
      <w:marLeft w:val="0"/>
      <w:marRight w:val="0"/>
      <w:marTop w:val="0"/>
      <w:marBottom w:val="0"/>
      <w:divBdr>
        <w:top w:val="none" w:sz="0" w:space="0" w:color="auto"/>
        <w:left w:val="none" w:sz="0" w:space="0" w:color="auto"/>
        <w:bottom w:val="none" w:sz="0" w:space="0" w:color="auto"/>
        <w:right w:val="none" w:sz="0" w:space="0" w:color="auto"/>
      </w:divBdr>
    </w:div>
    <w:div w:id="537860120">
      <w:bodyDiv w:val="1"/>
      <w:marLeft w:val="0"/>
      <w:marRight w:val="0"/>
      <w:marTop w:val="0"/>
      <w:marBottom w:val="0"/>
      <w:divBdr>
        <w:top w:val="none" w:sz="0" w:space="0" w:color="auto"/>
        <w:left w:val="none" w:sz="0" w:space="0" w:color="auto"/>
        <w:bottom w:val="none" w:sz="0" w:space="0" w:color="auto"/>
        <w:right w:val="none" w:sz="0" w:space="0" w:color="auto"/>
      </w:divBdr>
    </w:div>
    <w:div w:id="541939076">
      <w:bodyDiv w:val="1"/>
      <w:marLeft w:val="0"/>
      <w:marRight w:val="0"/>
      <w:marTop w:val="0"/>
      <w:marBottom w:val="0"/>
      <w:divBdr>
        <w:top w:val="none" w:sz="0" w:space="0" w:color="auto"/>
        <w:left w:val="none" w:sz="0" w:space="0" w:color="auto"/>
        <w:bottom w:val="none" w:sz="0" w:space="0" w:color="auto"/>
        <w:right w:val="none" w:sz="0" w:space="0" w:color="auto"/>
      </w:divBdr>
    </w:div>
    <w:div w:id="557086440">
      <w:bodyDiv w:val="1"/>
      <w:marLeft w:val="0"/>
      <w:marRight w:val="0"/>
      <w:marTop w:val="0"/>
      <w:marBottom w:val="0"/>
      <w:divBdr>
        <w:top w:val="none" w:sz="0" w:space="0" w:color="auto"/>
        <w:left w:val="none" w:sz="0" w:space="0" w:color="auto"/>
        <w:bottom w:val="none" w:sz="0" w:space="0" w:color="auto"/>
        <w:right w:val="none" w:sz="0" w:space="0" w:color="auto"/>
      </w:divBdr>
      <w:divsChild>
        <w:div w:id="693729933">
          <w:marLeft w:val="0"/>
          <w:marRight w:val="0"/>
          <w:marTop w:val="0"/>
          <w:marBottom w:val="240"/>
          <w:divBdr>
            <w:top w:val="none" w:sz="0" w:space="0" w:color="auto"/>
            <w:left w:val="none" w:sz="0" w:space="0" w:color="auto"/>
            <w:bottom w:val="none" w:sz="0" w:space="0" w:color="auto"/>
            <w:right w:val="none" w:sz="0" w:space="0" w:color="auto"/>
          </w:divBdr>
        </w:div>
      </w:divsChild>
    </w:div>
    <w:div w:id="591859675">
      <w:bodyDiv w:val="1"/>
      <w:marLeft w:val="0"/>
      <w:marRight w:val="0"/>
      <w:marTop w:val="0"/>
      <w:marBottom w:val="0"/>
      <w:divBdr>
        <w:top w:val="none" w:sz="0" w:space="0" w:color="auto"/>
        <w:left w:val="none" w:sz="0" w:space="0" w:color="auto"/>
        <w:bottom w:val="none" w:sz="0" w:space="0" w:color="auto"/>
        <w:right w:val="none" w:sz="0" w:space="0" w:color="auto"/>
      </w:divBdr>
    </w:div>
    <w:div w:id="621694524">
      <w:bodyDiv w:val="1"/>
      <w:marLeft w:val="0"/>
      <w:marRight w:val="0"/>
      <w:marTop w:val="0"/>
      <w:marBottom w:val="0"/>
      <w:divBdr>
        <w:top w:val="none" w:sz="0" w:space="0" w:color="auto"/>
        <w:left w:val="none" w:sz="0" w:space="0" w:color="auto"/>
        <w:bottom w:val="none" w:sz="0" w:space="0" w:color="auto"/>
        <w:right w:val="none" w:sz="0" w:space="0" w:color="auto"/>
      </w:divBdr>
    </w:div>
    <w:div w:id="738141087">
      <w:bodyDiv w:val="1"/>
      <w:marLeft w:val="0"/>
      <w:marRight w:val="0"/>
      <w:marTop w:val="0"/>
      <w:marBottom w:val="0"/>
      <w:divBdr>
        <w:top w:val="none" w:sz="0" w:space="0" w:color="auto"/>
        <w:left w:val="none" w:sz="0" w:space="0" w:color="auto"/>
        <w:bottom w:val="none" w:sz="0" w:space="0" w:color="auto"/>
        <w:right w:val="none" w:sz="0" w:space="0" w:color="auto"/>
      </w:divBdr>
    </w:div>
    <w:div w:id="966665738">
      <w:bodyDiv w:val="1"/>
      <w:marLeft w:val="0"/>
      <w:marRight w:val="0"/>
      <w:marTop w:val="0"/>
      <w:marBottom w:val="0"/>
      <w:divBdr>
        <w:top w:val="none" w:sz="0" w:space="0" w:color="auto"/>
        <w:left w:val="none" w:sz="0" w:space="0" w:color="auto"/>
        <w:bottom w:val="none" w:sz="0" w:space="0" w:color="auto"/>
        <w:right w:val="none" w:sz="0" w:space="0" w:color="auto"/>
      </w:divBdr>
    </w:div>
    <w:div w:id="1040400261">
      <w:bodyDiv w:val="1"/>
      <w:marLeft w:val="0"/>
      <w:marRight w:val="0"/>
      <w:marTop w:val="0"/>
      <w:marBottom w:val="0"/>
      <w:divBdr>
        <w:top w:val="none" w:sz="0" w:space="0" w:color="auto"/>
        <w:left w:val="none" w:sz="0" w:space="0" w:color="auto"/>
        <w:bottom w:val="none" w:sz="0" w:space="0" w:color="auto"/>
        <w:right w:val="none" w:sz="0" w:space="0" w:color="auto"/>
      </w:divBdr>
    </w:div>
    <w:div w:id="1075861079">
      <w:bodyDiv w:val="1"/>
      <w:marLeft w:val="0"/>
      <w:marRight w:val="0"/>
      <w:marTop w:val="0"/>
      <w:marBottom w:val="0"/>
      <w:divBdr>
        <w:top w:val="none" w:sz="0" w:space="0" w:color="auto"/>
        <w:left w:val="none" w:sz="0" w:space="0" w:color="auto"/>
        <w:bottom w:val="none" w:sz="0" w:space="0" w:color="auto"/>
        <w:right w:val="none" w:sz="0" w:space="0" w:color="auto"/>
      </w:divBdr>
    </w:div>
    <w:div w:id="1374423656">
      <w:bodyDiv w:val="1"/>
      <w:marLeft w:val="0"/>
      <w:marRight w:val="0"/>
      <w:marTop w:val="0"/>
      <w:marBottom w:val="0"/>
      <w:divBdr>
        <w:top w:val="none" w:sz="0" w:space="0" w:color="auto"/>
        <w:left w:val="none" w:sz="0" w:space="0" w:color="auto"/>
        <w:bottom w:val="none" w:sz="0" w:space="0" w:color="auto"/>
        <w:right w:val="none" w:sz="0" w:space="0" w:color="auto"/>
      </w:divBdr>
    </w:div>
    <w:div w:id="1527254199">
      <w:bodyDiv w:val="1"/>
      <w:marLeft w:val="0"/>
      <w:marRight w:val="0"/>
      <w:marTop w:val="0"/>
      <w:marBottom w:val="0"/>
      <w:divBdr>
        <w:top w:val="none" w:sz="0" w:space="0" w:color="auto"/>
        <w:left w:val="none" w:sz="0" w:space="0" w:color="auto"/>
        <w:bottom w:val="none" w:sz="0" w:space="0" w:color="auto"/>
        <w:right w:val="none" w:sz="0" w:space="0" w:color="auto"/>
      </w:divBdr>
    </w:div>
    <w:div w:id="1966959200">
      <w:bodyDiv w:val="1"/>
      <w:marLeft w:val="0"/>
      <w:marRight w:val="0"/>
      <w:marTop w:val="0"/>
      <w:marBottom w:val="0"/>
      <w:divBdr>
        <w:top w:val="none" w:sz="0" w:space="0" w:color="auto"/>
        <w:left w:val="none" w:sz="0" w:space="0" w:color="auto"/>
        <w:bottom w:val="none" w:sz="0" w:space="0" w:color="auto"/>
        <w:right w:val="none" w:sz="0" w:space="0" w:color="auto"/>
      </w:divBdr>
      <w:divsChild>
        <w:div w:id="2088381860">
          <w:marLeft w:val="0"/>
          <w:marRight w:val="0"/>
          <w:marTop w:val="0"/>
          <w:marBottom w:val="0"/>
          <w:divBdr>
            <w:top w:val="none" w:sz="0" w:space="0" w:color="auto"/>
            <w:left w:val="none" w:sz="0" w:space="0" w:color="auto"/>
            <w:bottom w:val="none" w:sz="0" w:space="0" w:color="auto"/>
            <w:right w:val="none" w:sz="0" w:space="0" w:color="auto"/>
          </w:divBdr>
        </w:div>
      </w:divsChild>
    </w:div>
    <w:div w:id="1969243139">
      <w:bodyDiv w:val="1"/>
      <w:marLeft w:val="0"/>
      <w:marRight w:val="0"/>
      <w:marTop w:val="0"/>
      <w:marBottom w:val="0"/>
      <w:divBdr>
        <w:top w:val="none" w:sz="0" w:space="0" w:color="auto"/>
        <w:left w:val="none" w:sz="0" w:space="0" w:color="auto"/>
        <w:bottom w:val="none" w:sz="0" w:space="0" w:color="auto"/>
        <w:right w:val="none" w:sz="0" w:space="0" w:color="auto"/>
      </w:divBdr>
    </w:div>
    <w:div w:id="198642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al.wrzosek@budimex.p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edia.budimex.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3XfVOTsnrrJMgr+04bwcsmgMmQ==">AMUW2mWYt16ubMZyE8Wtf8CF+UtafYBsC7aOFa7h+Y64RCObJN0iJqsvX7WfAKlGlRNg8VvVH/heBOMuOudwz6IkWrX+3+z8AA8BCUA8skPW3WO86Lr2evH2F/dN4jxiAz+u98gsxIbLEadMp/UBxoBMnBCK+35TjEXURRnhwfJl6dEBUsUuvc0bhX4ACn13VVbCSgu4A2dxhPv5LxscoE53y3eAG1y09IZgx7lmFhAaihi0uzquaC6EjuJKYNkmIKu+rx4yDrUMml23TIak+fZZyUxzRpLfI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E250AD-FC77-4046-AED0-653FCF283904}">
  <ds:schemaRefs>
    <ds:schemaRef ds:uri="http://schemas.openxmlformats.org/officeDocument/2006/bibliography"/>
  </ds:schemaRefs>
</ds:datastoreItem>
</file>

<file path=docMetadata/LabelInfo.xml><?xml version="1.0" encoding="utf-8"?>
<clbl:labelList xmlns:clbl="http://schemas.microsoft.com/office/2020/mipLabelMetadata">
  <clbl:label id="{b05923b3-4e86-4aa9-9018-d7e3c1e08536}" enabled="1" method="Standard" siteId="{66a13ed4-5c17-4ee8-ba28-778da8cdd7d4}" removed="0"/>
</clbl:labelList>
</file>

<file path=docProps/app.xml><?xml version="1.0" encoding="utf-8"?>
<Properties xmlns="http://schemas.openxmlformats.org/officeDocument/2006/extended-properties" xmlns:vt="http://schemas.openxmlformats.org/officeDocument/2006/docPropsVTypes">
  <Template>Normal</Template>
  <TotalTime>87</TotalTime>
  <Pages>2</Pages>
  <Words>450</Words>
  <Characters>2705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Wójcik</dc:creator>
  <cp:lastModifiedBy>Zuzanna Karasiewicz</cp:lastModifiedBy>
  <cp:revision>88</cp:revision>
  <dcterms:created xsi:type="dcterms:W3CDTF">2023-02-15T14:01:00Z</dcterms:created>
  <dcterms:modified xsi:type="dcterms:W3CDTF">2023-02-20T09:50:00Z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5923b3-4e86-4aa9-9018-d7e3c1e08536_Enabled">
    <vt:lpwstr>true</vt:lpwstr>
  </property>
  <property fmtid="{D5CDD505-2E9C-101B-9397-08002B2CF9AE}" pid="3" name="MSIP_Label_b05923b3-4e86-4aa9-9018-d7e3c1e08536_SetDate">
    <vt:lpwstr>2022-11-24T09:42:54Z</vt:lpwstr>
  </property>
  <property fmtid="{D5CDD505-2E9C-101B-9397-08002B2CF9AE}" pid="4" name="MSIP_Label_b05923b3-4e86-4aa9-9018-d7e3c1e08536_Method">
    <vt:lpwstr>Standard</vt:lpwstr>
  </property>
  <property fmtid="{D5CDD505-2E9C-101B-9397-08002B2CF9AE}" pid="5" name="MSIP_Label_b05923b3-4e86-4aa9-9018-d7e3c1e08536_Name">
    <vt:lpwstr>Wewnętrzna 2</vt:lpwstr>
  </property>
  <property fmtid="{D5CDD505-2E9C-101B-9397-08002B2CF9AE}" pid="6" name="MSIP_Label_b05923b3-4e86-4aa9-9018-d7e3c1e08536_SiteId">
    <vt:lpwstr>66a13ed4-5c17-4ee8-ba28-778da8cdd7d4</vt:lpwstr>
  </property>
  <property fmtid="{D5CDD505-2E9C-101B-9397-08002B2CF9AE}" pid="7" name="MSIP_Label_b05923b3-4e86-4aa9-9018-d7e3c1e08536_ActionId">
    <vt:lpwstr>91135e52-3dc7-459e-a4e1-5b350c7b8d8c</vt:lpwstr>
  </property>
  <property fmtid="{D5CDD505-2E9C-101B-9397-08002B2CF9AE}" pid="8" name="MSIP_Label_b05923b3-4e86-4aa9-9018-d7e3c1e08536_ContentBits">
    <vt:lpwstr>0</vt:lpwstr>
  </property>
</Properties>
</file>