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62F088DB" w:rsidR="00D824D3" w:rsidRPr="001F77AB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FF0000"/>
          <w:sz w:val="20"/>
          <w:szCs w:val="20"/>
          <w:highlight w:val="white"/>
        </w:rPr>
      </w:pPr>
      <w:r w:rsidRPr="006B3CBD">
        <w:rPr>
          <w:rFonts w:ascii="Tahoma" w:eastAsia="Tahoma" w:hAnsi="Tahoma" w:cs="Tahoma"/>
          <w:color w:val="808080"/>
          <w:sz w:val="20"/>
          <w:szCs w:val="20"/>
        </w:rPr>
        <w:tab/>
      </w:r>
      <w:r w:rsidRPr="006B3CBD">
        <w:rPr>
          <w:rFonts w:ascii="Tahoma" w:eastAsia="Tahoma" w:hAnsi="Tahoma" w:cs="Tahoma"/>
          <w:color w:val="808080"/>
          <w:sz w:val="20"/>
          <w:szCs w:val="20"/>
        </w:rPr>
        <w:tab/>
        <w:t>Warszawa,</w:t>
      </w:r>
      <w:r w:rsidR="00DA12A6" w:rsidRPr="006B3CBD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C22973" w:rsidRPr="00504191">
        <w:rPr>
          <w:rFonts w:ascii="Tahoma" w:eastAsia="Tahoma" w:hAnsi="Tahoma" w:cs="Tahoma"/>
          <w:color w:val="808080"/>
          <w:sz w:val="20"/>
          <w:szCs w:val="20"/>
        </w:rPr>
        <w:t>2</w:t>
      </w:r>
      <w:r w:rsidR="00F63E39">
        <w:rPr>
          <w:rFonts w:ascii="Tahoma" w:eastAsia="Tahoma" w:hAnsi="Tahoma" w:cs="Tahoma"/>
          <w:color w:val="808080"/>
          <w:sz w:val="20"/>
          <w:szCs w:val="20"/>
        </w:rPr>
        <w:t>8</w:t>
      </w:r>
      <w:r w:rsidR="00D46F70" w:rsidRPr="00504191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504191" w:rsidRPr="00504191">
        <w:rPr>
          <w:rFonts w:ascii="Tahoma" w:eastAsia="Tahoma" w:hAnsi="Tahoma" w:cs="Tahoma"/>
          <w:color w:val="808080"/>
          <w:sz w:val="20"/>
          <w:szCs w:val="20"/>
        </w:rPr>
        <w:t>lutego</w:t>
      </w:r>
      <w:r w:rsidR="00D46F70" w:rsidRPr="00504191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 w:rsidRPr="00504191">
        <w:rPr>
          <w:rFonts w:ascii="Tahoma" w:eastAsia="Tahoma" w:hAnsi="Tahoma" w:cs="Tahoma"/>
          <w:color w:val="808080"/>
          <w:sz w:val="20"/>
          <w:szCs w:val="20"/>
        </w:rPr>
        <w:t>202</w:t>
      </w:r>
      <w:r w:rsidR="00504191" w:rsidRPr="00504191">
        <w:rPr>
          <w:rFonts w:ascii="Tahoma" w:eastAsia="Tahoma" w:hAnsi="Tahoma" w:cs="Tahoma"/>
          <w:color w:val="808080"/>
          <w:sz w:val="20"/>
          <w:szCs w:val="20"/>
        </w:rPr>
        <w:t>3</w:t>
      </w:r>
      <w:r w:rsidR="00B63B5B" w:rsidRPr="00504191">
        <w:rPr>
          <w:rFonts w:ascii="Tahoma" w:eastAsia="Tahoma" w:hAnsi="Tahoma" w:cs="Tahoma"/>
          <w:color w:val="808080"/>
          <w:sz w:val="20"/>
          <w:szCs w:val="20"/>
        </w:rPr>
        <w:t xml:space="preserve"> r.</w:t>
      </w:r>
    </w:p>
    <w:p w14:paraId="09B71CDC" w14:textId="1E19A203" w:rsidR="00D824D3" w:rsidRPr="006B3CBD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 w:rsidRPr="006B3CBD"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2D5C56E0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B3CBD"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B3CBD"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938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820"/>
        <w:gridCol w:w="3118"/>
      </w:tblGrid>
      <w:tr w:rsidR="00D824D3" w:rsidRPr="006B3CBD" w14:paraId="18FE4A91" w14:textId="77777777" w:rsidTr="006252BE">
        <w:tc>
          <w:tcPr>
            <w:tcW w:w="7820" w:type="dxa"/>
          </w:tcPr>
          <w:p w14:paraId="50DAD41A" w14:textId="5A044020" w:rsidR="00D824D3" w:rsidRPr="006B3CBD" w:rsidRDefault="00F65CEF">
            <w:pPr>
              <w:spacing w:line="360" w:lineRule="auto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  <w:r w:rsidRPr="006B3CBD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#</w:t>
            </w:r>
            <w:r w:rsidR="00775CAB" w:rsidRPr="006B3CBD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>wynikifinansowe</w:t>
            </w:r>
            <w:r w:rsidR="004E7219" w:rsidRPr="006B3CBD"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  <w:t xml:space="preserve"> </w:t>
            </w:r>
          </w:p>
          <w:p w14:paraId="7607BB6A" w14:textId="77777777" w:rsidR="00D824D3" w:rsidRPr="006B3CBD" w:rsidRDefault="00D824D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24"/>
                <w:szCs w:val="24"/>
              </w:rPr>
            </w:pPr>
          </w:p>
          <w:p w14:paraId="3D71A51E" w14:textId="44072B44" w:rsidR="00D51FBF" w:rsidRPr="006B3CBD" w:rsidRDefault="00775CA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6B3CBD">
              <w:rPr>
                <w:rFonts w:ascii="Tahoma" w:eastAsia="Tahoma" w:hAnsi="Tahoma" w:cs="Tahoma"/>
                <w:b/>
                <w:color w:val="7F7F7F" w:themeColor="text1" w:themeTint="80"/>
              </w:rPr>
              <w:t>Komentarz prezesa Zarządu Budimeksu SA</w:t>
            </w:r>
          </w:p>
          <w:p w14:paraId="4136047E" w14:textId="4475F46E" w:rsidR="00D51FBF" w:rsidRPr="006B3CBD" w:rsidRDefault="00AA6F3B" w:rsidP="00D51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7F7F7F" w:themeColor="text1" w:themeTint="80"/>
              </w:rPr>
            </w:pPr>
            <w:r w:rsidRPr="006B3CBD">
              <w:rPr>
                <w:rFonts w:ascii="Tahoma" w:eastAsia="Tahoma" w:hAnsi="Tahoma" w:cs="Tahoma"/>
                <w:b/>
                <w:color w:val="7F7F7F" w:themeColor="text1" w:themeTint="80"/>
              </w:rPr>
              <w:t>Artura Popko</w:t>
            </w:r>
          </w:p>
          <w:p w14:paraId="372F032E" w14:textId="77777777" w:rsidR="00A74904" w:rsidRPr="00B84905" w:rsidRDefault="00A74904" w:rsidP="00A7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B84905">
              <w:rPr>
                <w:rFonts w:ascii="Tahoma" w:eastAsia="Tahoma" w:hAnsi="Tahoma" w:cs="Tahoma"/>
                <w:b/>
                <w:color w:val="FFC000"/>
              </w:rPr>
              <w:t>do wybranych danych finansowych</w:t>
            </w:r>
          </w:p>
          <w:p w14:paraId="2199C4FE" w14:textId="2AD5BA1F" w:rsidR="00A74904" w:rsidRDefault="00A74904" w:rsidP="00A74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  <w:r w:rsidRPr="00B84905">
              <w:rPr>
                <w:rFonts w:ascii="Tahoma" w:eastAsia="Tahoma" w:hAnsi="Tahoma" w:cs="Tahoma"/>
                <w:b/>
                <w:color w:val="FFC000"/>
              </w:rPr>
              <w:t>ze skonsolidowanego sprawozdania finansowego</w:t>
            </w:r>
            <w:r>
              <w:rPr>
                <w:rFonts w:ascii="Tahoma" w:eastAsia="Tahoma" w:hAnsi="Tahoma" w:cs="Tahoma"/>
                <w:b/>
                <w:color w:val="FFC00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FFC000"/>
              </w:rPr>
              <w:br/>
            </w:r>
            <w:r w:rsidRPr="00B84905">
              <w:rPr>
                <w:rFonts w:ascii="Tahoma" w:eastAsia="Tahoma" w:hAnsi="Tahoma" w:cs="Tahoma"/>
                <w:b/>
                <w:color w:val="FFC000"/>
              </w:rPr>
              <w:t>Grupy Budimex za rok 202</w:t>
            </w:r>
            <w:r>
              <w:rPr>
                <w:rFonts w:ascii="Tahoma" w:eastAsia="Tahoma" w:hAnsi="Tahoma" w:cs="Tahoma"/>
                <w:b/>
                <w:color w:val="FFC000"/>
              </w:rPr>
              <w:t>2</w:t>
            </w:r>
          </w:p>
          <w:p w14:paraId="2D0A5BC2" w14:textId="77777777" w:rsidR="00A9414D" w:rsidRPr="006B3CBD" w:rsidRDefault="00A9414D" w:rsidP="00B849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6075F24" w14:textId="2293A308" w:rsidR="009A2A41" w:rsidRPr="00C81018" w:rsidRDefault="00A74904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Przychody ze sprzedaży Grupy Budimex w</w:t>
            </w:r>
            <w:r w:rsidR="009A2A41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2022 roku wyniosły </w:t>
            </w:r>
            <w:r w:rsidR="00366B19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</w:t>
            </w:r>
            <w:r w:rsidR="00E137C2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 </w:t>
            </w:r>
            <w:r w:rsidR="00FF61D8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mld </w:t>
            </w:r>
            <w:r w:rsidR="00366B19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619</w:t>
            </w:r>
            <w:r w:rsidR="00E137C2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9A2A41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milionów złotych (</w:t>
            </w:r>
            <w:r w:rsidR="000C0857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+</w:t>
            </w:r>
            <w:r w:rsidR="00366B19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8,9</w:t>
            </w:r>
            <w:r w:rsidR="009A2A41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 r/r)</w:t>
            </w:r>
            <w:r w:rsidR="00CA1A74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="009A2A41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a zysk netto</w:t>
            </w:r>
            <w:r w:rsidR="0050419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*</w:t>
            </w:r>
            <w:r w:rsidR="009A2A41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osiągnął poziom </w:t>
            </w:r>
            <w:r w:rsidR="00366B19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534,4</w:t>
            </w:r>
            <w:r w:rsidR="009A2A41" w:rsidRPr="00C81018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milionów złotych</w:t>
            </w:r>
          </w:p>
          <w:p w14:paraId="11CFD5AD" w14:textId="238F1D2F" w:rsidR="0087588D" w:rsidRPr="00136E8F" w:rsidRDefault="009A2A41" w:rsidP="000C08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3F602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 w:rsidR="000C0857" w:rsidRPr="003F602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operacyjna</w:t>
            </w:r>
            <w:r w:rsidRPr="003F602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Grupy osiągnęła poziom</w:t>
            </w:r>
            <w:r w:rsidR="003F602C" w:rsidRPr="003F602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6,5</w:t>
            </w:r>
            <w:r w:rsidRPr="003F602C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%</w:t>
            </w:r>
            <w:r w:rsidR="00BD66EA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BD66EA" w:rsidRPr="00136E8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i była porównywalna do roku poprzedniego</w:t>
            </w:r>
            <w:r w:rsidR="0087588D" w:rsidRPr="00136E8F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</w:p>
          <w:p w14:paraId="03CEF873" w14:textId="47C769C0" w:rsidR="00B60995" w:rsidRPr="003878B7" w:rsidRDefault="00B60995" w:rsidP="00B609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Rentowność </w:t>
            </w:r>
            <w:r w:rsidR="004E0543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zysku </w:t>
            </w:r>
            <w:r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brutto Grupy wyniosła </w:t>
            </w:r>
            <w:r w:rsidR="003878B7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7,5</w:t>
            </w:r>
            <w:r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w porównaniu do </w:t>
            </w:r>
            <w:r w:rsidR="003878B7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7,0</w:t>
            </w:r>
            <w:r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</w:t>
            </w:r>
            <w:r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="00A74904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 roku</w:t>
            </w:r>
            <w:r w:rsidR="00D96546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A5688E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2021 </w:t>
            </w:r>
            <w:r w:rsidR="004E799B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(</w:t>
            </w:r>
            <w:r w:rsidR="003878B7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6,2</w:t>
            </w:r>
            <w:r w:rsidR="004E799B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% po wyłączeniu efektu </w:t>
            </w:r>
            <w:r w:rsidR="004E799B" w:rsidRPr="003878B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sprzedaży </w:t>
            </w:r>
            <w:r w:rsidR="006E0023" w:rsidRPr="003878B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spółki </w:t>
            </w:r>
            <w:r w:rsidR="004E799B" w:rsidRPr="003878B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Nieruchomości</w:t>
            </w:r>
            <w:r w:rsidR="00CA1A74" w:rsidRPr="003878B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*</w:t>
            </w:r>
            <w:r w:rsidR="00405427" w:rsidRPr="003878B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*</w:t>
            </w:r>
            <w:r w:rsidR="004E799B" w:rsidRPr="003878B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</w:t>
            </w:r>
            <w:r w:rsidR="00456600" w:rsidRPr="003878B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drugim</w:t>
            </w:r>
            <w:r w:rsidR="004E799B" w:rsidRPr="003878B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kwartale 2021 roku</w:t>
            </w:r>
            <w:r w:rsidR="004E799B" w:rsidRPr="003878B7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)</w:t>
            </w:r>
          </w:p>
          <w:p w14:paraId="1CF9C9E7" w14:textId="26EDF4D0" w:rsidR="009A2A41" w:rsidRPr="00827982" w:rsidRDefault="0087588D" w:rsidP="009A2A4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Wartość kontraktów pozyskanych w </w:t>
            </w:r>
            <w:r w:rsidR="00A74904"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2022</w:t>
            </w:r>
            <w:r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roku </w:t>
            </w:r>
            <w:r w:rsidR="0000037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wyniosła</w:t>
            </w:r>
            <w:r w:rsidR="0000037E"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827982"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7,</w:t>
            </w:r>
            <w:r w:rsidR="0000037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9</w:t>
            </w:r>
            <w:r w:rsidR="0000037E"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miliard</w:t>
            </w:r>
            <w:r w:rsidR="008A765A"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a</w:t>
            </w:r>
            <w:r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złotych</w:t>
            </w:r>
            <w:r w:rsidR="00CA1A74"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</w:t>
            </w:r>
            <w:r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50419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br/>
            </w:r>
            <w:r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a portfel osiągną</w:t>
            </w:r>
            <w:r w:rsidR="00CA1A74"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ł</w:t>
            </w:r>
            <w:r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poziom </w:t>
            </w:r>
            <w:r w:rsidR="00827982"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13,3 </w:t>
            </w:r>
            <w:r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miliarda złotych</w:t>
            </w:r>
            <w:r w:rsidR="009A2A41" w:rsidRPr="00827982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</w:p>
          <w:p w14:paraId="22B5F062" w14:textId="184E693C" w:rsidR="00775CAB" w:rsidRPr="00093B38" w:rsidRDefault="00775CAB" w:rsidP="007D0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  <w:highlight w:val="yellow"/>
              </w:rPr>
            </w:pPr>
          </w:p>
          <w:p w14:paraId="61886233" w14:textId="77777777" w:rsidR="00C47A3A" w:rsidRPr="00093B38" w:rsidRDefault="00C47A3A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1E3CF452" w14:textId="77777777" w:rsidR="00355A2C" w:rsidRDefault="00275C75" w:rsidP="000E2F84">
            <w:pPr>
              <w:spacing w:after="200"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75C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Grupa Budimex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zanotowała</w:t>
            </w:r>
            <w:r w:rsidR="007E5E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2022 roku</w:t>
            </w:r>
            <w:r w:rsidRPr="00275C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wzrost przychodów ze sprzedaży na poziomie 8,9%</w:t>
            </w:r>
            <w:r w:rsidR="007E5E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Pr="00275C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E5E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</w:t>
            </w:r>
            <w:r w:rsidRPr="00275C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łównie ‎dzięki większej skali realizowanej sprzedaży w segmencie budowlanym, w  szczególności ‎w obszarze budownictwa kubaturowego, infrastrukturalnego oraz w spółce Mostostal ‎Kraków. W części usługowej przychody 2022 r. wzrosły o 4,9% w porównaniu do roku ‎ubiegłego. </w:t>
            </w:r>
          </w:p>
          <w:p w14:paraId="511BAC17" w14:textId="0AC6F213" w:rsidR="00DF6A22" w:rsidRPr="006B3CBD" w:rsidRDefault="00184033" w:rsidP="00136E8F">
            <w:pPr>
              <w:spacing w:after="200"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AA2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Grupa Budimex wypracowała </w:t>
            </w:r>
            <w:r w:rsidR="00355A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</w:t>
            </w:r>
            <w:r w:rsidRPr="00AA2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ysk operacyjny</w:t>
            </w:r>
            <w:r w:rsidR="00355A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AA2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355A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który </w:t>
            </w:r>
            <w:r w:rsidR="007E5E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wyniósł </w:t>
            </w:r>
            <w:r w:rsidR="00AA27DC" w:rsidRPr="00AA2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562</w:t>
            </w:r>
            <w:r w:rsidRPr="00AA2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</w:t>
            </w:r>
            <w:r w:rsidR="007E5E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Pr="00AA2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</w:t>
            </w:r>
            <w:r w:rsidR="004A2737" w:rsidRPr="00AA2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przy rentowności </w:t>
            </w:r>
            <w:r w:rsidR="00D96546" w:rsidRPr="00AA27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6,5</w:t>
            </w:r>
            <w:r w:rsidR="004A2737" w:rsidRPr="006F668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C7694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136E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F6A22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Zysk brutto Grupy Budimex wyniósł </w:t>
            </w:r>
            <w:r w:rsidR="00BA7C1B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649 </w:t>
            </w:r>
            <w:r w:rsidR="00DF6A22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milion</w:t>
            </w:r>
            <w:r w:rsidR="00D96546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="00DF6A22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 przy rentowności </w:t>
            </w:r>
            <w:r w:rsidR="00D96546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7,</w:t>
            </w:r>
            <w:r w:rsidR="00534628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5</w:t>
            </w:r>
            <w:r w:rsidR="00DF6A22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6C0DB9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DF6A22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Rentowność na poziomie zysku brutto wspierana </w:t>
            </w:r>
            <w:r w:rsidR="00B31685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była</w:t>
            </w:r>
            <w:r w:rsidR="00DF6A22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znaczną poprawę wyniku na działalności finansowej</w:t>
            </w:r>
            <w:r w:rsidR="00D96546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szczególnie w </w:t>
            </w:r>
            <w:r w:rsidR="005041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drugiej połowie</w:t>
            </w:r>
            <w:r w:rsidR="00534628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2022 r.</w:t>
            </w:r>
            <w:r w:rsidR="00DF6A22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co jest efektem wzrostu średniego poziomu oprocentowania </w:t>
            </w:r>
            <w:r w:rsidR="00456600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środków pieniężnych</w:t>
            </w:r>
            <w:r w:rsidR="00DF6A22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lokowan</w:t>
            </w:r>
            <w:r w:rsidR="006C0DB9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ych</w:t>
            </w:r>
            <w:r w:rsidR="00DF6A22" w:rsidRPr="005346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przez Grupę Budimex.</w:t>
            </w:r>
            <w:r w:rsidR="00DF6A22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2F4EAE4D" w14:textId="15740604" w:rsidR="00BA17E4" w:rsidRDefault="00BA17E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F1787D2" w14:textId="64C237E3" w:rsidR="003F602C" w:rsidRDefault="003F602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9E6ECF0" w14:textId="7B1C751F" w:rsidR="003F602C" w:rsidRDefault="003F602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DC62079" w14:textId="04D87F54" w:rsidR="003F602C" w:rsidRDefault="003F602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09963EE" w14:textId="179B4D99" w:rsidR="003F602C" w:rsidRDefault="003F602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BFC9989" w14:textId="649AEF87" w:rsidR="003F602C" w:rsidRDefault="003F602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6E3EC9B" w14:textId="77777777" w:rsidR="003F602C" w:rsidRPr="006B3CBD" w:rsidRDefault="003F602C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p w14:paraId="5BE726B7" w14:textId="77777777" w:rsidR="00BA17E4" w:rsidRPr="006B3CBD" w:rsidRDefault="00BA17E4" w:rsidP="005B039B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</w:pPr>
          </w:p>
          <w:tbl>
            <w:tblPr>
              <w:tblW w:w="76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1420"/>
              <w:gridCol w:w="1440"/>
              <w:gridCol w:w="1240"/>
              <w:gridCol w:w="180"/>
            </w:tblGrid>
            <w:tr w:rsidR="006252BE" w:rsidRPr="006252BE" w14:paraId="059F1BFA" w14:textId="77777777" w:rsidTr="006252BE">
              <w:trPr>
                <w:trHeight w:val="349"/>
              </w:trPr>
              <w:tc>
                <w:tcPr>
                  <w:tcW w:w="3342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02DBF819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Grupa Budimex</w:t>
                  </w: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br/>
                    <w:t>(mln zł.)</w:t>
                  </w:r>
                </w:p>
              </w:tc>
              <w:tc>
                <w:tcPr>
                  <w:tcW w:w="410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4BC9798C" w14:textId="77777777" w:rsidR="006252BE" w:rsidRPr="006252BE" w:rsidRDefault="006252BE" w:rsidP="006252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  <w:tc>
                <w:tcPr>
                  <w:tcW w:w="18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0B48DEFC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7D7A0F72" w14:textId="77777777" w:rsidTr="006252BE">
              <w:trPr>
                <w:trHeight w:val="540"/>
              </w:trPr>
              <w:tc>
                <w:tcPr>
                  <w:tcW w:w="3342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440102AA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75CFFA1D" w14:textId="77777777" w:rsidR="006252BE" w:rsidRPr="006252BE" w:rsidRDefault="006252BE" w:rsidP="006252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46BB19E1" w14:textId="77777777" w:rsidR="006252BE" w:rsidRPr="006252BE" w:rsidRDefault="006252BE" w:rsidP="006252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2021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12DCA395" w14:textId="77777777" w:rsidR="006252BE" w:rsidRPr="006252BE" w:rsidRDefault="006252BE" w:rsidP="006252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357C529D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7E4C7F96" w14:textId="77777777" w:rsidTr="006252BE">
              <w:trPr>
                <w:trHeight w:val="420"/>
              </w:trPr>
              <w:tc>
                <w:tcPr>
                  <w:tcW w:w="3342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EAF9461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0DC32C4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8 619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A9467C3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7 911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FFC000"/>
                  </w:tcBorders>
                  <w:shd w:val="clear" w:color="000000" w:fill="FFC000"/>
                  <w:noWrap/>
                  <w:vAlign w:val="center"/>
                  <w:hideMark/>
                </w:tcPr>
                <w:p w14:paraId="0A5D8686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8,9%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40FE7E9F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607339BC" w14:textId="77777777" w:rsidTr="006252BE">
              <w:trPr>
                <w:trHeight w:val="420"/>
              </w:trPr>
              <w:tc>
                <w:tcPr>
                  <w:tcW w:w="3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7C797ED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F1C3172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562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7A1ADCB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587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095143F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-4,2%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62368402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77B3B0A8" w14:textId="77777777" w:rsidTr="006252BE">
              <w:trPr>
                <w:trHeight w:val="252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F7AC88C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46C883C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6,5%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2B35CC9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7,4%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5FB4F95" w14:textId="54022179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-0,9 pp.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3528C253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1BABE434" w14:textId="77777777" w:rsidTr="006252BE">
              <w:trPr>
                <w:trHeight w:val="420"/>
              </w:trPr>
              <w:tc>
                <w:tcPr>
                  <w:tcW w:w="3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38D1A50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7373D84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649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D3FAB3F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554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9975DD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17,0%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704B814A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4894E08E" w14:textId="77777777" w:rsidTr="006252BE">
              <w:trPr>
                <w:trHeight w:val="252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C5E5D28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B289F33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7,5%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0702EF0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7,0%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AC564A3" w14:textId="70CB0083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0,5 pp.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51B28493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7A11929F" w14:textId="77777777" w:rsidTr="006252BE">
              <w:trPr>
                <w:trHeight w:val="525"/>
              </w:trPr>
              <w:tc>
                <w:tcPr>
                  <w:tcW w:w="334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127789AC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 xml:space="preserve">Zysk netto* </w:t>
                  </w: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br/>
                  </w:r>
                  <w:r w:rsidRPr="006252BE">
                    <w:rPr>
                      <w:rFonts w:ascii="Tahoma" w:eastAsia="Times New Roman" w:hAnsi="Tahoma" w:cs="Tahoma"/>
                      <w:color w:val="404040"/>
                      <w:sz w:val="16"/>
                      <w:szCs w:val="16"/>
                    </w:rPr>
                    <w:t>z działalności kontynuowanej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EE9360C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534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CB246E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451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3416109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18,5%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3E345E47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6AE4175F" w14:textId="77777777" w:rsidTr="006252BE">
              <w:trPr>
                <w:trHeight w:val="252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F32CCE2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AEABBF7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6,2%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A39BF9C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5,7%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4788515" w14:textId="36DF8E76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0,5 pp.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7E96666B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279EBEC8" w14:textId="77777777" w:rsidTr="006252BE">
              <w:trPr>
                <w:trHeight w:val="255"/>
              </w:trPr>
              <w:tc>
                <w:tcPr>
                  <w:tcW w:w="3342" w:type="dxa"/>
                  <w:tcBorders>
                    <w:top w:val="single" w:sz="4" w:space="0" w:color="000000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hideMark/>
                </w:tcPr>
                <w:p w14:paraId="4B618522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14"/>
                      <w:szCs w:val="14"/>
                    </w:rPr>
                    <w:t>*przypadający akcjonariuszom Jednostki Dominującej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773D394C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02CC118C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69C9E1ED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00ED388A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6252BE" w:rsidRPr="006252BE" w14:paraId="1C5A0B3A" w14:textId="77777777" w:rsidTr="006252BE">
              <w:trPr>
                <w:trHeight w:val="255"/>
              </w:trPr>
              <w:tc>
                <w:tcPr>
                  <w:tcW w:w="3342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009BE6D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działalność zaniechana</w:t>
                  </w:r>
                </w:p>
              </w:tc>
              <w:tc>
                <w:tcPr>
                  <w:tcW w:w="142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0DB0A50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2795C9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  <w:t>521</w:t>
                  </w:r>
                </w:p>
              </w:tc>
              <w:tc>
                <w:tcPr>
                  <w:tcW w:w="1240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FAA25C5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</w:rPr>
                    <w:t>n/a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center"/>
                  <w:hideMark/>
                </w:tcPr>
                <w:p w14:paraId="1D77EA09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</w:tbl>
          <w:p w14:paraId="5805A72A" w14:textId="1D3E380D" w:rsidR="00221758" w:rsidRPr="006B3CBD" w:rsidRDefault="00221758" w:rsidP="00107A4A">
            <w:pPr>
              <w:spacing w:line="360" w:lineRule="auto"/>
              <w:jc w:val="center"/>
              <w:rPr>
                <w:rFonts w:ascii="Tahoma" w:eastAsia="Tahoma" w:hAnsi="Tahoma" w:cs="Tahoma"/>
                <w:color w:val="808080"/>
                <w:sz w:val="18"/>
                <w:szCs w:val="18"/>
                <w:highlight w:val="yellow"/>
              </w:rPr>
            </w:pPr>
          </w:p>
          <w:p w14:paraId="22E5508A" w14:textId="4B8E8316" w:rsidR="00136D8F" w:rsidRDefault="007143D6" w:rsidP="00355A2C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  <w:highlight w:val="yellow"/>
              </w:rPr>
              <w:br/>
            </w:r>
            <w:r w:rsidR="00EC76D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</w:t>
            </w:r>
            <w:r w:rsidR="00775CAB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rodukcja budowlano-montażowa </w:t>
            </w:r>
            <w:r w:rsidR="00326202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 </w:t>
            </w:r>
            <w:r w:rsidR="00EC76D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202</w:t>
            </w:r>
            <w:r w:rsidR="00C21BFC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2</w:t>
            </w:r>
            <w:r w:rsidR="00EC76D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roku</w:t>
            </w:r>
            <w:r w:rsidR="00E50E54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775CAB" w:rsidRPr="00865026">
              <w:rPr>
                <w:rFonts w:ascii="Tahoma" w:eastAsia="Tahoma" w:hAnsi="Tahoma" w:cs="Tahoma"/>
                <w:color w:val="808080"/>
                <w:sz w:val="18"/>
                <w:szCs w:val="18"/>
              </w:rPr>
              <w:t>(w</w:t>
            </w:r>
            <w:r w:rsidR="00CF7695" w:rsidRPr="00865026">
              <w:t> </w:t>
            </w:r>
            <w:r w:rsidR="00775CAB" w:rsidRPr="00865026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cenach bieżących)</w:t>
            </w:r>
            <w:r w:rsidR="00775CAB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EC76D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wzrosła rok do roku o </w:t>
            </w:r>
            <w:r w:rsidR="00865026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19,9</w:t>
            </w:r>
            <w:r w:rsidR="00DB1CB7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%</w:t>
            </w:r>
            <w:r w:rsidR="00EC76D5" w:rsidRPr="00865026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EC76D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z poziomu </w:t>
            </w:r>
            <w:r w:rsidR="00865026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117,1</w:t>
            </w:r>
            <w:r w:rsidR="00EC76D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405427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mld </w:t>
            </w:r>
            <w:r w:rsidR="00EC76D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złotych</w:t>
            </w:r>
            <w:r w:rsidR="00F87957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CF769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 roku 2021 </w:t>
            </w:r>
            <w:r w:rsidR="00EC76D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do</w:t>
            </w:r>
            <w:r w:rsidR="002A6649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865026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140,4</w:t>
            </w:r>
            <w:r w:rsidR="00EF26DC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</w:t>
            </w:r>
            <w:r w:rsidR="00405427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mld </w:t>
            </w:r>
            <w:r w:rsidR="0080729F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złotych</w:t>
            </w:r>
            <w:r w:rsidR="00CF769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w</w:t>
            </w:r>
            <w:r w:rsidR="00950532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 </w:t>
            </w:r>
            <w:r w:rsidR="00CF7695" w:rsidRPr="00865026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2022</w:t>
            </w:r>
            <w:r w:rsidR="00775CAB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F87957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75CAB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segmencie budynków produkcja </w:t>
            </w:r>
            <w:r w:rsidR="0080729F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sprzedana </w:t>
            </w:r>
            <w:r w:rsidR="00EC76D5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wzrosła</w:t>
            </w:r>
            <w:r w:rsidR="00775CAB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B1CB7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aż </w:t>
            </w:r>
            <w:r w:rsidR="00775CAB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</w:t>
            </w:r>
            <w:r w:rsidR="00865026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24,6</w:t>
            </w:r>
            <w:r w:rsidR="00AB5794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 w:rsidR="00DB1CB7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</w:t>
            </w:r>
            <w:r w:rsidR="00B86B9D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natomiast w</w:t>
            </w:r>
            <w:r w:rsidR="009505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  </w:t>
            </w:r>
            <w:r w:rsidR="0080729F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obszarze infrastrukturalnym wzros</w:t>
            </w:r>
            <w:r w:rsidR="00B86B9D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 wyniósł</w:t>
            </w:r>
            <w:r w:rsidR="00DB1CB7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65026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15,5</w:t>
            </w:r>
            <w:r w:rsidR="0080729F" w:rsidRPr="0086502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%.</w:t>
            </w:r>
            <w:r w:rsidR="0080729F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5041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Warto jednocześnie zaznaczyć, że dynamika wzrostu produkcji w cenach stałych (bez efektu wzrostu cen produkcji budowlano-montażowej) była znacznie niższa – wyniosła 6,2%</w:t>
            </w:r>
            <w:r w:rsidR="00415D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7B9D7688" w14:textId="77777777" w:rsidR="00136D8F" w:rsidRPr="006B3CBD" w:rsidRDefault="00136D8F" w:rsidP="00FE4F78">
            <w:pPr>
              <w:spacing w:line="360" w:lineRule="auto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tbl>
            <w:tblPr>
              <w:tblW w:w="69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1386"/>
              <w:gridCol w:w="1701"/>
              <w:gridCol w:w="1559"/>
            </w:tblGrid>
            <w:tr w:rsidR="006252BE" w:rsidRPr="006252BE" w14:paraId="6748F8FC" w14:textId="77777777" w:rsidTr="006252BE">
              <w:trPr>
                <w:trHeight w:val="349"/>
              </w:trPr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777984F7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  <w:t>Sektor budownictwa</w:t>
                  </w:r>
                </w:p>
              </w:tc>
              <w:tc>
                <w:tcPr>
                  <w:tcW w:w="46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0BEEE80D" w14:textId="77777777" w:rsidR="006252BE" w:rsidRPr="006252BE" w:rsidRDefault="006252BE" w:rsidP="006252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Dane statystyczne</w:t>
                  </w: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 xml:space="preserve"> (mld zł)</w:t>
                  </w:r>
                </w:p>
              </w:tc>
            </w:tr>
            <w:tr w:rsidR="006252BE" w:rsidRPr="006252BE" w14:paraId="0C43FAA4" w14:textId="77777777" w:rsidTr="006252BE">
              <w:trPr>
                <w:trHeight w:val="540"/>
              </w:trPr>
              <w:tc>
                <w:tcPr>
                  <w:tcW w:w="2340" w:type="dxa"/>
                  <w:vMerge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584D993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2F2F2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049BCA2D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1-12 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7A7D7DE" w14:textId="77777777" w:rsidR="006252BE" w:rsidRPr="006252BE" w:rsidRDefault="006252BE" w:rsidP="006252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1-12 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2D115058" w14:textId="77777777" w:rsidR="006252BE" w:rsidRPr="006252BE" w:rsidRDefault="006252BE" w:rsidP="006252B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6252BE" w:rsidRPr="006252BE" w14:paraId="2EE12490" w14:textId="77777777" w:rsidTr="006252BE">
              <w:trPr>
                <w:trHeight w:val="660"/>
              </w:trPr>
              <w:tc>
                <w:tcPr>
                  <w:tcW w:w="2340" w:type="dxa"/>
                  <w:tcBorders>
                    <w:top w:val="nil"/>
                    <w:left w:val="single" w:sz="8" w:space="0" w:color="FFC000"/>
                    <w:bottom w:val="single" w:sz="8" w:space="0" w:color="auto"/>
                    <w:right w:val="nil"/>
                  </w:tcBorders>
                  <w:shd w:val="clear" w:color="000000" w:fill="FFC000"/>
                  <w:vAlign w:val="center"/>
                  <w:hideMark/>
                </w:tcPr>
                <w:p w14:paraId="26F321AC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 xml:space="preserve">Produkcja </w:t>
                  </w: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br/>
                    <w:t>sprzedana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85F90E2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140,4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546204A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117,1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4E51B031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19,9%</w:t>
                  </w:r>
                </w:p>
              </w:tc>
            </w:tr>
            <w:tr w:rsidR="006252BE" w:rsidRPr="006252BE" w14:paraId="218B9B0F" w14:textId="77777777" w:rsidTr="006252BE">
              <w:trPr>
                <w:trHeight w:val="40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E447D36" w14:textId="77777777" w:rsidR="006252BE" w:rsidRPr="006252BE" w:rsidRDefault="006252BE" w:rsidP="006252B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Budynki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4842C5F" w14:textId="77777777" w:rsidR="006252BE" w:rsidRPr="006252BE" w:rsidRDefault="006252BE" w:rsidP="006252B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69,7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DA73BB7" w14:textId="77777777" w:rsidR="006252BE" w:rsidRPr="006252BE" w:rsidRDefault="006252BE" w:rsidP="006252B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56,0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3AA910D" w14:textId="77777777" w:rsidR="006252BE" w:rsidRPr="006252BE" w:rsidRDefault="006252BE" w:rsidP="006252B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24,6%</w:t>
                  </w:r>
                </w:p>
              </w:tc>
            </w:tr>
            <w:tr w:rsidR="006252BE" w:rsidRPr="006252BE" w14:paraId="7330127E" w14:textId="77777777" w:rsidTr="006252BE">
              <w:trPr>
                <w:trHeight w:val="28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3C8412E" w14:textId="77777777" w:rsidR="006252BE" w:rsidRPr="006252BE" w:rsidRDefault="006252BE" w:rsidP="006252B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4793410" w14:textId="77777777" w:rsidR="006252BE" w:rsidRPr="006252BE" w:rsidRDefault="006252BE" w:rsidP="006252B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49,7%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8CF260D" w14:textId="77777777" w:rsidR="006252BE" w:rsidRPr="006252BE" w:rsidRDefault="006252BE" w:rsidP="006252B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47,8%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DF38B34" w14:textId="77777777" w:rsidR="006252BE" w:rsidRPr="006252BE" w:rsidRDefault="006252BE" w:rsidP="006252BE">
                  <w:pPr>
                    <w:spacing w:after="0" w:line="240" w:lineRule="auto"/>
                    <w:outlineLvl w:val="0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1,9%</w:t>
                  </w:r>
                </w:p>
              </w:tc>
            </w:tr>
            <w:tr w:rsidR="006252BE" w:rsidRPr="006252BE" w14:paraId="136440B9" w14:textId="77777777" w:rsidTr="006252BE">
              <w:trPr>
                <w:trHeight w:val="405"/>
              </w:trPr>
              <w:tc>
                <w:tcPr>
                  <w:tcW w:w="2340" w:type="dxa"/>
                  <w:tcBorders>
                    <w:top w:val="single" w:sz="4" w:space="0" w:color="000000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6426C5A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Inżynieria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D4386D9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70,6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298F79D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61,1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160387E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15,5%</w:t>
                  </w:r>
                </w:p>
              </w:tc>
            </w:tr>
            <w:tr w:rsidR="006252BE" w:rsidRPr="006252BE" w14:paraId="483C7645" w14:textId="77777777" w:rsidTr="006252BE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0813B1EE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drogi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769DBE31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26,9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1C9649A0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21,9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4C934149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22,8%</w:t>
                  </w:r>
                </w:p>
              </w:tc>
            </w:tr>
            <w:tr w:rsidR="006252BE" w:rsidRPr="006252BE" w14:paraId="7D35378E" w14:textId="77777777" w:rsidTr="006252BE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52920C5B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w tym: koleje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47F0F05A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8,4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014178C0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tted" w:sz="4" w:space="0" w:color="808080"/>
                    <w:right w:val="nil"/>
                  </w:tcBorders>
                  <w:shd w:val="clear" w:color="000000" w:fill="F9F9F9"/>
                  <w:noWrap/>
                  <w:vAlign w:val="center"/>
                  <w:hideMark/>
                </w:tcPr>
                <w:p w14:paraId="47C21F3D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</w:pPr>
                  <w:r w:rsidRPr="006252BE">
                    <w:rPr>
                      <w:rFonts w:ascii="Tahoma" w:eastAsia="Times New Roman" w:hAnsi="Tahoma" w:cs="Tahoma"/>
                      <w:i/>
                      <w:iCs/>
                      <w:color w:val="404040"/>
                      <w:sz w:val="20"/>
                      <w:szCs w:val="20"/>
                    </w:rPr>
                    <w:t>7,4%</w:t>
                  </w:r>
                </w:p>
              </w:tc>
            </w:tr>
            <w:tr w:rsidR="006252BE" w:rsidRPr="006252BE" w14:paraId="56C3A558" w14:textId="77777777" w:rsidTr="006252BE">
              <w:trPr>
                <w:trHeight w:val="28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DA14A6D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udział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FB143F1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50,3%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E883045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52,2%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9B097FE" w14:textId="77777777" w:rsidR="006252BE" w:rsidRPr="006252BE" w:rsidRDefault="006252BE" w:rsidP="006252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-1,9%</w:t>
                  </w:r>
                </w:p>
              </w:tc>
            </w:tr>
          </w:tbl>
          <w:p w14:paraId="67A447BE" w14:textId="7188718E" w:rsidR="00D660C1" w:rsidRPr="006B3CBD" w:rsidRDefault="00D660C1" w:rsidP="006252BE">
            <w:pPr>
              <w:spacing w:line="360" w:lineRule="auto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yellow"/>
              </w:rPr>
            </w:pPr>
          </w:p>
          <w:p w14:paraId="7E5371A6" w14:textId="6FA671F2" w:rsidR="00355A2C" w:rsidRDefault="00355A2C" w:rsidP="00415D2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5F6E492C" w14:textId="24FA0B5B" w:rsidR="002B2953" w:rsidRDefault="002B2953" w:rsidP="00415D2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27926AE4" w14:textId="371B7596" w:rsidR="002B2953" w:rsidRDefault="002B2953" w:rsidP="00415D2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337ABD48" w14:textId="06BC3911" w:rsidR="002B2953" w:rsidRDefault="002B2953" w:rsidP="00415D2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7DE606B5" w14:textId="77777777" w:rsidR="002B2953" w:rsidRDefault="002B2953" w:rsidP="00415D2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0CE0DD6C" w14:textId="0F425214" w:rsidR="00415D20" w:rsidRPr="00726F91" w:rsidRDefault="00415D20" w:rsidP="00415D2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726F91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lastRenderedPageBreak/>
              <w:t>Sprzedaż segmentu budowlanego Grupy Budimex wyniosła 7 mld 821 milionów złotych.</w:t>
            </w:r>
          </w:p>
          <w:p w14:paraId="299B4244" w14:textId="77777777" w:rsidR="00415D20" w:rsidRPr="00726F91" w:rsidRDefault="00415D20" w:rsidP="00415D20">
            <w:pPr>
              <w:spacing w:line="360" w:lineRule="auto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tbl>
            <w:tblPr>
              <w:tblW w:w="7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0"/>
              <w:gridCol w:w="1510"/>
              <w:gridCol w:w="1531"/>
              <w:gridCol w:w="1319"/>
            </w:tblGrid>
            <w:tr w:rsidR="00415D20" w:rsidRPr="00726F91" w14:paraId="50179330" w14:textId="77777777" w:rsidTr="00EC72E3">
              <w:trPr>
                <w:trHeight w:val="362"/>
              </w:trPr>
              <w:tc>
                <w:tcPr>
                  <w:tcW w:w="2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4449EFDD" w14:textId="77777777" w:rsidR="00415D20" w:rsidRPr="00726F91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r w:rsidRPr="00726F91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budowlany</w:t>
                  </w:r>
                  <w:r w:rsidRPr="00726F91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zł.)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383BDDC" w14:textId="77777777" w:rsidR="00415D20" w:rsidRPr="00726F91" w:rsidRDefault="00415D20" w:rsidP="00415D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726F91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</w:tr>
            <w:tr w:rsidR="00415D20" w:rsidRPr="00093B38" w14:paraId="67030308" w14:textId="77777777" w:rsidTr="00EC72E3">
              <w:trPr>
                <w:trHeight w:val="561"/>
              </w:trPr>
              <w:tc>
                <w:tcPr>
                  <w:tcW w:w="2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76725A" w14:textId="77777777" w:rsidR="00415D20" w:rsidRPr="00726F91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620DBF55" w14:textId="77777777" w:rsidR="00415D20" w:rsidRPr="00726F91" w:rsidRDefault="00415D20" w:rsidP="00415D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26F91">
                    <w:rPr>
                      <w:rFonts w:ascii="Tahoma" w:hAnsi="Tahoma" w:cs="Tahoma"/>
                      <w:color w:val="000000"/>
                    </w:rPr>
                    <w:t>2022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44721B83" w14:textId="77777777" w:rsidR="00415D20" w:rsidRPr="00726F91" w:rsidRDefault="00415D20" w:rsidP="00415D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26F91">
                    <w:rPr>
                      <w:rFonts w:ascii="Tahoma" w:hAnsi="Tahoma" w:cs="Tahoma"/>
                      <w:color w:val="000000"/>
                    </w:rPr>
                    <w:t>2021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8963F30" w14:textId="77777777" w:rsidR="00415D20" w:rsidRPr="00726F91" w:rsidRDefault="00415D20" w:rsidP="00415D2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726F91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</w:tr>
            <w:tr w:rsidR="00415D20" w:rsidRPr="00093B38" w14:paraId="1083E9C1" w14:textId="77777777" w:rsidTr="00EC72E3">
              <w:trPr>
                <w:trHeight w:val="436"/>
              </w:trPr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99827A3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5D35A155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7 821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D7B234D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7 282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2806309E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7,4%</w:t>
                  </w:r>
                </w:p>
              </w:tc>
            </w:tr>
            <w:tr w:rsidR="00415D20" w:rsidRPr="00093B38" w14:paraId="31A79952" w14:textId="77777777" w:rsidTr="00EC72E3">
              <w:trPr>
                <w:trHeight w:val="436"/>
              </w:trPr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FAB481D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5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8FA4073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471</w:t>
                  </w:r>
                </w:p>
              </w:tc>
              <w:tc>
                <w:tcPr>
                  <w:tcW w:w="153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387534C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446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9934414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5,8%</w:t>
                  </w:r>
                </w:p>
              </w:tc>
            </w:tr>
            <w:tr w:rsidR="00415D20" w:rsidRPr="00093B38" w14:paraId="3D9004C0" w14:textId="77777777" w:rsidTr="00EC72E3">
              <w:trPr>
                <w:trHeight w:val="26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5B1A167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A89B241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6,0%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F88262D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6,1%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52D7FE4" w14:textId="059F68F5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-0,1 pp.</w:t>
                  </w:r>
                </w:p>
              </w:tc>
            </w:tr>
            <w:tr w:rsidR="00415D20" w:rsidRPr="00093B38" w14:paraId="500677E9" w14:textId="77777777" w:rsidTr="00EC72E3">
              <w:trPr>
                <w:trHeight w:val="436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913190F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CB53016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552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E029B73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410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512745A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34,6%</w:t>
                  </w:r>
                </w:p>
              </w:tc>
            </w:tr>
            <w:tr w:rsidR="00415D20" w:rsidRPr="00093B38" w14:paraId="617DBC0E" w14:textId="77777777" w:rsidTr="00EC72E3">
              <w:trPr>
                <w:trHeight w:val="262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3330FF8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8F86D44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7,1%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D84B12D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5,6%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68E05B5" w14:textId="1E6ABBAB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1,</w:t>
                  </w:r>
                  <w:r w:rsidR="009C3DE9">
                    <w:rPr>
                      <w:rFonts w:ascii="Tahoma" w:hAnsi="Tahoma" w:cs="Tahoma"/>
                      <w:color w:val="404040"/>
                    </w:rPr>
                    <w:t>5</w:t>
                  </w:r>
                  <w:r>
                    <w:rPr>
                      <w:rFonts w:ascii="Tahoma" w:hAnsi="Tahoma" w:cs="Tahoma"/>
                      <w:color w:val="404040"/>
                    </w:rPr>
                    <w:t xml:space="preserve"> pp.</w:t>
                  </w:r>
                </w:p>
              </w:tc>
            </w:tr>
            <w:tr w:rsidR="00415D20" w:rsidRPr="00093B38" w14:paraId="6D696FDF" w14:textId="77777777" w:rsidTr="00EC72E3">
              <w:trPr>
                <w:trHeight w:val="523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vAlign w:val="center"/>
                  <w:hideMark/>
                </w:tcPr>
                <w:p w14:paraId="2FA453FB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Portfel zamówień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36976E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13 290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F5C293C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12 977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DA6A735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2,4%</w:t>
                  </w:r>
                </w:p>
              </w:tc>
            </w:tr>
            <w:tr w:rsidR="00415D20" w:rsidRPr="00093B38" w14:paraId="02E73448" w14:textId="77777777" w:rsidTr="00EC72E3">
              <w:trPr>
                <w:trHeight w:val="523"/>
              </w:trPr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0F5B321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404040"/>
                    </w:rPr>
                    <w:t>Kontraktacja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CE5A8DD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7 879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18C291D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7 002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9120218" w14:textId="77777777" w:rsidR="00415D20" w:rsidRPr="00093B38" w:rsidRDefault="00415D20" w:rsidP="00415D2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highlight w:val="green"/>
                    </w:rPr>
                  </w:pPr>
                  <w:r>
                    <w:rPr>
                      <w:rFonts w:ascii="Tahoma" w:hAnsi="Tahoma" w:cs="Tahoma"/>
                      <w:color w:val="404040"/>
                    </w:rPr>
                    <w:t>12,5%</w:t>
                  </w:r>
                </w:p>
              </w:tc>
            </w:tr>
          </w:tbl>
          <w:p w14:paraId="7ACD4E4C" w14:textId="77777777" w:rsidR="00415D20" w:rsidRPr="00093B38" w:rsidRDefault="00415D20" w:rsidP="00415D2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green"/>
              </w:rPr>
            </w:pPr>
          </w:p>
          <w:p w14:paraId="3141B6E5" w14:textId="77777777" w:rsidR="00415D20" w:rsidRPr="00093B38" w:rsidRDefault="00415D20" w:rsidP="00415D20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  <w:highlight w:val="green"/>
              </w:rPr>
            </w:pPr>
          </w:p>
          <w:p w14:paraId="41122E5B" w14:textId="77777777" w:rsidR="00415D20" w:rsidRPr="00726F91" w:rsidRDefault="00415D20" w:rsidP="00415D20">
            <w:pPr>
              <w:spacing w:line="360" w:lineRule="auto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W roku 2022 branża budowlana znajdowała się pod silną presją szeregu niekorzystnych czynników zewnętrznych. Jednak p</w:t>
            </w:r>
            <w:r w:rsidRPr="00726F91">
              <w:rPr>
                <w:rFonts w:ascii="Tahoma" w:eastAsia="Tahoma" w:hAnsi="Tahoma" w:cs="Tahoma"/>
                <w:color w:val="808080"/>
                <w:sz w:val="18"/>
                <w:szCs w:val="18"/>
              </w:rPr>
              <w:t>omimo trudności rynkowych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, takich jak przerwane łańcuchy dostaw materiałów, niedobór pracowników budowlanych, wyraźne</w:t>
            </w:r>
            <w:r w:rsidRPr="006B3618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spowolnieni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e </w:t>
            </w:r>
            <w:r w:rsidRPr="006B3618">
              <w:rPr>
                <w:rFonts w:ascii="Tahoma" w:eastAsia="Tahoma" w:hAnsi="Tahoma" w:cs="Tahoma"/>
                <w:color w:val="808080"/>
                <w:sz w:val="18"/>
                <w:szCs w:val="18"/>
              </w:rPr>
              <w:t>inwestycji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</w:t>
            </w:r>
            <w:r w:rsidRPr="006B3618">
              <w:rPr>
                <w:rFonts w:ascii="Tahoma" w:eastAsia="Tahoma" w:hAnsi="Tahoma" w:cs="Tahoma"/>
                <w:color w:val="808080"/>
                <w:sz w:val="18"/>
                <w:szCs w:val="18"/>
              </w:rPr>
              <w:t>mieszk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a</w:t>
            </w:r>
            <w:r w:rsidRPr="006B3618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niowych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oraz</w:t>
            </w:r>
            <w:r w:rsidRPr="006B3618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s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a</w:t>
            </w:r>
            <w:r w:rsidRPr="006B3618">
              <w:rPr>
                <w:rFonts w:ascii="Tahoma" w:eastAsia="Tahoma" w:hAnsi="Tahoma" w:cs="Tahoma"/>
                <w:color w:val="808080"/>
                <w:sz w:val="18"/>
                <w:szCs w:val="18"/>
              </w:rPr>
              <w:t>morządowych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,</w:t>
            </w:r>
            <w:r w:rsidRPr="00726F9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sprzedaż w ‎segmencie budowlanym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Grupy Budimex </w:t>
            </w:r>
            <w:r w:rsidRPr="00726F9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była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zauważalnie</w:t>
            </w:r>
            <w:r w:rsidRPr="00726F9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wyższa, niż w analogicznym okresie roku ‎poprzedniego. Wysoki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i dobrze zdywersyfikowany </w:t>
            </w:r>
            <w:r w:rsidRPr="00726F91">
              <w:rPr>
                <w:rFonts w:ascii="Tahoma" w:eastAsia="Tahoma" w:hAnsi="Tahoma" w:cs="Tahoma"/>
                <w:color w:val="808080"/>
                <w:sz w:val="18"/>
                <w:szCs w:val="18"/>
              </w:rPr>
              <w:t>portfel zamówień na początku 2022 roku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 jak również </w:t>
            </w:r>
            <w:r w:rsidRPr="00726F9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przemyślana ‎polityka zakupowa oraz sprzyjające warunki pogodowe pozwoliły na ‎zwiększenie przychodów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ze sprzedaży </w:t>
            </w:r>
            <w:r w:rsidRPr="00726F91">
              <w:rPr>
                <w:rFonts w:ascii="Tahoma" w:eastAsia="Tahoma" w:hAnsi="Tahoma" w:cs="Tahoma"/>
                <w:color w:val="808080"/>
                <w:sz w:val="18"/>
                <w:szCs w:val="18"/>
              </w:rPr>
              <w:t xml:space="preserve">o ponad 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7</w:t>
            </w:r>
            <w:r w:rsidRPr="00726F91">
              <w:rPr>
                <w:rFonts w:ascii="Tahoma" w:eastAsia="Tahoma" w:hAnsi="Tahoma" w:cs="Tahoma"/>
                <w:color w:val="808080"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.</w:t>
            </w:r>
          </w:p>
          <w:p w14:paraId="7189379E" w14:textId="77777777" w:rsidR="00415D20" w:rsidRPr="00726F91" w:rsidRDefault="00415D20" w:rsidP="00415D2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66075AE" w14:textId="5EFCBADD" w:rsidR="00BD291B" w:rsidRDefault="00415D20" w:rsidP="00415D2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‎W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drugim półroczu 2022 </w:t>
            </w: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obserwowaliśmy stabilizację cen kluczowych ‎asortymentów</w:t>
            </w:r>
            <w:r w:rsidR="00583F6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C750C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 niektórych przypadkach (m.in. stal) obniżenie cen, ‎w porównaniu do poziomów odnotowanych kilka tygodni po wybuchu wojny.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Efekt wzrostów </w:t>
            </w:r>
            <w:r w:rsidR="00C750C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kosztów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został częściowo  zredukowany dzięki zwiększeniu poziomu waloryzacji na </w:t>
            </w:r>
            <w:r w:rsidR="00416E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kontraktach budowalnych</w:t>
            </w:r>
            <w:r w:rsidR="003A606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Odpowiedzialna strategia kontraktacji oraz dopasowana </w:t>
            </w:r>
            <w:r w:rsidR="00AC6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polityka </w:t>
            </w: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zakupowa ‎pozwoliła nam na ograniczenie strat związanych z  aktualną sytuacją rynkową ‎do minimum. </w:t>
            </w:r>
          </w:p>
          <w:p w14:paraId="08833D2F" w14:textId="77777777" w:rsidR="00BD291B" w:rsidRDefault="00BD291B" w:rsidP="00415D2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00F60A5" w14:textId="2099A626" w:rsidR="00415D20" w:rsidRDefault="008349A3" w:rsidP="00415D2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Na </w:t>
            </w:r>
            <w:r w:rsidR="00A379C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utrzymanie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rentowności wpłynęł</w:t>
            </w:r>
            <w:r w:rsidR="00A44A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też </w:t>
            </w:r>
            <w:r w:rsidR="0052598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wyższe przychody z odsetek </w:t>
            </w:r>
            <w:r w:rsidR="00415D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wypracowan</w:t>
            </w:r>
            <w:r w:rsidR="0052598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ych</w:t>
            </w:r>
            <w:r w:rsidR="00415D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działalności finansowej</w:t>
            </w:r>
            <w:r w:rsidR="002F05B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415D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48FB86BD" w14:textId="77777777" w:rsidR="00415D20" w:rsidRPr="00726F91" w:rsidRDefault="00415D20" w:rsidP="00415D2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46CD09B" w14:textId="5F3A58D6" w:rsidR="00415D20" w:rsidRDefault="008C3B72" w:rsidP="00415D2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Utrzymaliśmy również stabilną pozyc</w:t>
            </w:r>
            <w:r w:rsidR="00F34CD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ję na rynku poprzez i</w:t>
            </w:r>
            <w:r w:rsidR="004C0D54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ntensywn</w:t>
            </w:r>
            <w:r w:rsidR="00F34CD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ą</w:t>
            </w:r>
            <w:r w:rsidR="004C0D54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prac</w:t>
            </w:r>
            <w:r w:rsidR="00F34CD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ę</w:t>
            </w:r>
            <w:r w:rsidR="004C0D54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nad akwizycją nowych </w:t>
            </w:r>
            <w:r w:rsidR="00F34CD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kontraktów.</w:t>
            </w:r>
            <w:r w:rsidR="004C0D54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‎</w:t>
            </w:r>
            <w:r w:rsidR="00F34CD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 w:rsidR="004C0D54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artość projektów </w:t>
            </w:r>
            <w:r w:rsidR="004C0D54" w:rsidRPr="00506A5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podpisanych w styczniu 2023 roku oraz</w:t>
            </w:r>
            <w:r w:rsidR="004C0D54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C0D54" w:rsidRPr="001F53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oczekujących na podpisanie to </w:t>
            </w:r>
            <w:r w:rsidR="00EB634C" w:rsidRPr="00AC6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blisko 6 miliardów</w:t>
            </w:r>
            <w:r w:rsidR="004C0D54" w:rsidRPr="001F53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złotych, co powinno pozwolić zapewnić stabilność portfela zamówień. ‎Do tych kontraktów zalicza się m.in. linia kolejowa 201 Kościerzyna-Somonin</w:t>
            </w:r>
            <w:r w:rsidR="00AC6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</w:t>
            </w:r>
            <w:r w:rsidR="004C0D54" w:rsidRPr="001F53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(1 284 miliony złotych), </w:t>
            </w:r>
            <w:r w:rsidR="000C3C66" w:rsidRPr="001F53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Obwodnica Zabierzowa (549 milionów złotych), </w:t>
            </w:r>
            <w:r w:rsidR="004C0D54" w:rsidRPr="001F53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droga I75 </w:t>
            </w:r>
            <w:proofErr w:type="spellStart"/>
            <w:r w:rsidR="004C0D54" w:rsidRPr="001F53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Šaľa</w:t>
            </w:r>
            <w:proofErr w:type="spellEnd"/>
            <w:r w:rsidR="004C0D54" w:rsidRPr="001F53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Słowacji (374 miliony złotych), czy linia kolejowa 104 Chabówka-Nowy Sącz (366 milionów </w:t>
            </w:r>
            <w:r w:rsidR="004C0D54" w:rsidRPr="001F530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złotych). </w:t>
            </w:r>
            <w:r w:rsidR="00415D20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2022 roku pozyskaliśmy kontrakty o wartości </w:t>
            </w:r>
            <w:r w:rsidR="002C5FC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blisko </w:t>
            </w:r>
            <w:r w:rsidR="00415D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7,</w:t>
            </w:r>
            <w:r w:rsidR="002C5FC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9 </w:t>
            </w:r>
            <w:r w:rsidR="00415D20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‎miliarda złotych</w:t>
            </w:r>
            <w:r w:rsidR="004C0D5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</w:t>
            </w:r>
            <w:r w:rsidR="00415D20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C0D5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</w:t>
            </w:r>
            <w:r w:rsidR="00415D20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ortfel zamówień Grupy Budimex na koniec 2022 ‎roku wyniósł 1</w:t>
            </w:r>
            <w:r w:rsidR="00415D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="00415D20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415D2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3</w:t>
            </w:r>
            <w:r w:rsidR="00415D20"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miliarda złotych</w:t>
            </w:r>
            <w:r w:rsidR="004C0D5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5213F3AC" w14:textId="77777777" w:rsidR="00834C94" w:rsidRDefault="00834C94" w:rsidP="00415D20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2A8B0CA" w14:textId="0050535E" w:rsidR="00834C94" w:rsidRPr="00726F91" w:rsidRDefault="00415D20" w:rsidP="00834C9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Grupa Budimex zakończyła 2022 rok z pozycją gotówkową ‎netto na poziomie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przekraczającym 3</w:t>
            </w: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</w:t>
            </w: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mld złotych</w:t>
            </w:r>
            <w:r w:rsidR="00C2766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co </w:t>
            </w:r>
            <w:r w:rsidR="00F57C7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jest naszą </w:t>
            </w:r>
            <w:r w:rsidR="006570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przewagą na rynku firm budowlanych a jednocześnie sprawia, że w czasach trudnych dla tego rynku</w:t>
            </w:r>
            <w:r w:rsidR="009B090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mimo wszystko</w:t>
            </w:r>
            <w:r w:rsidR="006570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jesteśmy gotowi inwestować w </w:t>
            </w:r>
            <w:r w:rsidR="0044227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rozwój Grupy i </w:t>
            </w:r>
            <w:r w:rsidR="0061413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angażować się również jako Inwestor w nowe przedsięwzięcia</w:t>
            </w:r>
            <w:r w:rsidRPr="00726F9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czerwcu 2022 r. wypłaciliśmy ‎pozostałą dywidendę za rok 2021 w wysokości 23,47 zł w przeliczeniu na ‎jedną akcję. Tym samym łączna dywidenda za rok 2021 przypadająca na ‎jedną akcję wyniosła rekordowe 38,37 zł.</w:t>
            </w:r>
            <w:r w:rsid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D2F95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tabilna sytuacja finansowa </w:t>
            </w:r>
            <w:r w:rsidR="002E6591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 wysokie zasoby gotówki 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Grupy Budimex sprzyjał</w:t>
            </w:r>
            <w:r w:rsidR="002E6591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6B703B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wysokim </w:t>
            </w:r>
            <w:r w:rsidR="006D2F95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inwestycjom 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modernizację</w:t>
            </w:r>
            <w:r w:rsidR="006D2F95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poszerz</w:t>
            </w:r>
            <w:r w:rsidR="007A7C81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nie zaplecza sprzętowego, zarówno w Budimex SA, jak również</w:t>
            </w:r>
            <w:r w:rsidR="00B0709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pozostałych spółkach z Grupy. Przedmiotem inwestycji był </w:t>
            </w:r>
            <w:r w:rsidR="006D2F95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m.in. 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nowoczesny</w:t>
            </w:r>
            <w:r w:rsidR="006D2F95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sprzęt </w:t>
            </w:r>
            <w:r w:rsidR="006D2F95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kolejowy, </w:t>
            </w:r>
            <w:r w:rsidR="00834C94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maszyny budowlane</w:t>
            </w:r>
            <w:r w:rsidR="006D2F95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oraz baza maszyn przeznaczona </w:t>
            </w:r>
            <w:r w:rsidR="008F23CB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do realizacji</w:t>
            </w:r>
            <w:r w:rsidR="008763FD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F23CB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kontraktów </w:t>
            </w:r>
            <w:r w:rsidR="006D2F95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utrzymaniowych</w:t>
            </w:r>
            <w:r w:rsidR="008763FD" w:rsidRPr="00F5408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9402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segmentu usługowego. </w:t>
            </w:r>
          </w:p>
          <w:p w14:paraId="23AEB0E0" w14:textId="637EBC90" w:rsidR="009C59A0" w:rsidRPr="006B3CBD" w:rsidRDefault="0001727E" w:rsidP="00D4399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8B69C2" wp14:editId="12BB66F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9931207</wp:posOffset>
                      </wp:positionV>
                      <wp:extent cx="6487795" cy="244475"/>
                      <wp:effectExtent l="0" t="0" r="0" b="31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779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C54039" w14:textId="77777777" w:rsidR="0001727E" w:rsidRPr="002B1C9B" w:rsidRDefault="0001727E" w:rsidP="0001727E">
                                  <w:pP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2B1C9B"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*dane pro-forma, sporządzone przy założeniu konsolidacji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Grupy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FBSerwis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i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 xml:space="preserve"> od 01.01.2019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B69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left:0;text-align:left;margin-left:0;margin-top:782pt;width:510.85pt;height:19.2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x6FwIAACwEAAAOAAAAZHJzL2Uyb0RvYy54bWysU8tu2zAQvBfoPxC815JdOU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9vstvZ7G5KCcfYJMuy2TSUSS5/G+v8dwENCUZBLdIS&#10;0WKHtfN96iklNNOwqpWK1ChNWuzwdZrGH84RLK409rjMGizfbbthgS2UR9zLQk+5M3xVY/M1c/6F&#10;WeQYV0Hd+mc8pAJsAoNFSQX219/uQz5Cj1FKWtRMQd3PPbOCEvVDIyl34ywLIotONp1N0LHXke11&#10;RO+bB0BZjvGFGB7NkO/VyZQWmneU9zJ0xRDTHHsX1J/MB98rGZ8HF8tlTEJZGebXemN4KB3gDNC+&#10;du/MmgF/j8w9wUldLP9AQ5/bE7Hce5B15CgA3KM64I6SjCwPzydo/tqPWZdHvvgNAAD//wMAUEsD&#10;BBQABgAIAAAAIQCwAiio4QAAAAsBAAAPAAAAZHJzL2Rvd25yZXYueG1sTI/NTsMwEITvSLyDtZW4&#10;UbsRCVWIU1WRKiQEh5ZeuDnxNonqnxC7beDp2Z7obXZnNftNsZqsYWccQ++dhMVcAEPXeN27VsL+&#10;c/O4BBaicloZ71DCDwZYlfd3hcq1v7gtnnexZRTiQq4kdDEOOeeh6dCqMPcDOvIOfrQq0ji2XI/q&#10;QuHW8ESIjFvVO/rQqQGrDpvj7mQlvFWbD7WtE7v8NdXr+2E9fO+/UikfZtP6BVjEKf4fwxWf0KEk&#10;ptqfnA7MSKAikbZp9kTq6otk8QysJpWJJAVeFvy2Q/kHAAD//wMAUEsBAi0AFAAGAAgAAAAhALaD&#10;OJL+AAAA4QEAABMAAAAAAAAAAAAAAAAAAAAAAFtDb250ZW50X1R5cGVzXS54bWxQSwECLQAUAAYA&#10;CAAAACEAOP0h/9YAAACUAQAACwAAAAAAAAAAAAAAAAAvAQAAX3JlbHMvLnJlbHNQSwECLQAUAAYA&#10;CAAAACEAUFN8ehcCAAAsBAAADgAAAAAAAAAAAAAAAAAuAgAAZHJzL2Uyb0RvYy54bWxQSwECLQAU&#10;AAYACAAAACEAsAIoqOEAAAALAQAADwAAAAAAAAAAAAAAAABxBAAAZHJzL2Rvd25yZXYueG1sUEsF&#10;BgAAAAAEAAQA8wAAAH8FAAAAAA==&#10;" filled="f" stroked="f" strokeweight=".5pt">
                      <v:textbox>
                        <w:txbxContent>
                          <w:p w14:paraId="40C54039" w14:textId="77777777" w:rsidR="0001727E" w:rsidRPr="002B1C9B" w:rsidRDefault="0001727E" w:rsidP="0001727E">
                            <w:pP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2B1C9B"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*dane pro-forma, sporządzone przy założeniu konsolidacji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Grupy FBSerwis od 01.01.2019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14:paraId="4C20D3F6" w14:textId="41CE892F" w:rsidR="004C0D54" w:rsidRDefault="004C0D54" w:rsidP="004C0D54">
            <w:pPr>
              <w:spacing w:line="360" w:lineRule="auto"/>
              <w:jc w:val="both"/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W 2022 roku</w:t>
            </w:r>
            <w:r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C81C5B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segment usługowy odnotował</w:t>
            </w:r>
            <w:r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C81C5B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zwiększenie poziomu przychodów</w:t>
            </w:r>
            <w:r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89402B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z</w:t>
            </w:r>
            <w:r w:rsidR="00910B86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 </w:t>
            </w:r>
            <w:r w:rsidR="0089402B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10B86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jednoczesną </w:t>
            </w:r>
            <w:r w:rsidR="0089402B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>poprawą</w:t>
            </w:r>
            <w:r w:rsidRPr="006B3CBD">
              <w:rPr>
                <w:rFonts w:ascii="Tahoma" w:eastAsia="Tahoma" w:hAnsi="Tahoma" w:cs="Tahoma"/>
                <w:b/>
                <w:noProof/>
                <w:color w:val="808080"/>
                <w:sz w:val="18"/>
                <w:szCs w:val="18"/>
              </w:rPr>
              <w:t xml:space="preserve"> rentowności</w:t>
            </w:r>
          </w:p>
          <w:p w14:paraId="22706C85" w14:textId="77777777" w:rsidR="004C0D54" w:rsidRPr="006B3CBD" w:rsidRDefault="004C0D54" w:rsidP="004C0D54">
            <w:pPr>
              <w:spacing w:line="360" w:lineRule="auto"/>
              <w:jc w:val="both"/>
              <w:rPr>
                <w:rStyle w:val="Odwoaniedokomentarza"/>
              </w:rPr>
            </w:pPr>
          </w:p>
          <w:tbl>
            <w:tblPr>
              <w:tblW w:w="77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1778"/>
              <w:gridCol w:w="1559"/>
              <w:gridCol w:w="1559"/>
              <w:gridCol w:w="142"/>
              <w:gridCol w:w="38"/>
              <w:gridCol w:w="142"/>
            </w:tblGrid>
            <w:tr w:rsidR="004C0D54" w:rsidRPr="006252BE" w14:paraId="3F193A85" w14:textId="77777777" w:rsidTr="00EC72E3">
              <w:trPr>
                <w:trHeight w:val="349"/>
              </w:trPr>
              <w:tc>
                <w:tcPr>
                  <w:tcW w:w="2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95959"/>
                  <w:vAlign w:val="center"/>
                  <w:hideMark/>
                </w:tcPr>
                <w:p w14:paraId="4DFFF039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t>Segment usługowy</w:t>
                  </w: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  <w:br/>
                    <w:t>(mln zł.)</w:t>
                  </w:r>
                </w:p>
              </w:tc>
              <w:tc>
                <w:tcPr>
                  <w:tcW w:w="5038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EAFA69A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Rachunek zysków i strat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6397515D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4C0D54" w:rsidRPr="006252BE" w14:paraId="330545C6" w14:textId="77777777" w:rsidTr="00EC72E3">
              <w:trPr>
                <w:gridAfter w:val="1"/>
                <w:wAfter w:w="142" w:type="dxa"/>
                <w:trHeight w:val="525"/>
              </w:trPr>
              <w:tc>
                <w:tcPr>
                  <w:tcW w:w="2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E6E312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45A212D0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75B89744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45900683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r/r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14:paraId="41569E57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</w:tr>
            <w:tr w:rsidR="004C0D54" w:rsidRPr="006252BE" w14:paraId="64450CCF" w14:textId="77777777" w:rsidTr="00EC72E3">
              <w:trPr>
                <w:gridAfter w:val="1"/>
                <w:wAfter w:w="142" w:type="dxa"/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6C52926C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Sprzedaż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36C81CBD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360360E4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783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3AA8E9B0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4,9%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center"/>
                  <w:hideMark/>
                </w:tcPr>
                <w:p w14:paraId="7D19DD20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 </w:t>
                  </w:r>
                </w:p>
              </w:tc>
            </w:tr>
            <w:tr w:rsidR="004C0D54" w:rsidRPr="006252BE" w14:paraId="67F6006B" w14:textId="77777777" w:rsidTr="00EC72E3">
              <w:trPr>
                <w:gridAfter w:val="1"/>
                <w:wAfter w:w="142" w:type="dxa"/>
                <w:trHeight w:val="420"/>
              </w:trPr>
              <w:tc>
                <w:tcPr>
                  <w:tcW w:w="25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8094886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operacyjny</w:t>
                  </w:r>
                </w:p>
              </w:tc>
              <w:tc>
                <w:tcPr>
                  <w:tcW w:w="177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7302907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DA2BE0B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761974B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12,8%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5F5F648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 </w:t>
                  </w:r>
                </w:p>
              </w:tc>
            </w:tr>
            <w:tr w:rsidR="004C0D54" w:rsidRPr="006252BE" w14:paraId="5CB21F33" w14:textId="77777777" w:rsidTr="00EC72E3">
              <w:trPr>
                <w:gridAfter w:val="1"/>
                <w:wAfter w:w="142" w:type="dxa"/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37B0806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01EFB164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11,2%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374E952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10,4%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727DE23" w14:textId="625EF438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0,8</w:t>
                  </w:r>
                  <w:r w:rsidR="00B07092">
                    <w:rPr>
                      <w:rFonts w:ascii="Tahoma" w:eastAsia="Times New Roman" w:hAnsi="Tahoma" w:cs="Tahoma"/>
                      <w:color w:val="404040"/>
                    </w:rPr>
                    <w:t xml:space="preserve"> </w:t>
                  </w: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pp.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F81AC0B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  <w:tr w:rsidR="004C0D54" w:rsidRPr="006252BE" w14:paraId="6AA90BF4" w14:textId="77777777" w:rsidTr="00EC72E3">
              <w:trPr>
                <w:gridAfter w:val="1"/>
                <w:wAfter w:w="142" w:type="dxa"/>
                <w:trHeight w:val="420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863D573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Zysk brutto</w:t>
                  </w:r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9006229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4EC2A060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B8F68C8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17,9%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7B37554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b/>
                      <w:bCs/>
                      <w:color w:val="404040"/>
                    </w:rPr>
                    <w:t> </w:t>
                  </w:r>
                </w:p>
              </w:tc>
            </w:tr>
            <w:tr w:rsidR="004C0D54" w:rsidRPr="006252BE" w14:paraId="707A00F6" w14:textId="77777777" w:rsidTr="00EC72E3">
              <w:trPr>
                <w:gridAfter w:val="1"/>
                <w:wAfter w:w="142" w:type="dxa"/>
                <w:trHeight w:val="252"/>
              </w:trPr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723C73D1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% sprzedaży</w:t>
                  </w:r>
                </w:p>
              </w:tc>
              <w:tc>
                <w:tcPr>
                  <w:tcW w:w="17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4341383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12,1%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2CDD425C" w14:textId="77777777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10,7%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F479EFC" w14:textId="0B04AD6E" w:rsidR="004C0D54" w:rsidRPr="006252BE" w:rsidRDefault="004C0D54" w:rsidP="004C0D5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1,3 pp.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39AB020A" w14:textId="77777777" w:rsidR="004C0D54" w:rsidRPr="006252BE" w:rsidRDefault="004C0D54" w:rsidP="004C0D5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</w:rPr>
                  </w:pPr>
                  <w:r w:rsidRPr="006252BE">
                    <w:rPr>
                      <w:rFonts w:ascii="Tahoma" w:eastAsia="Times New Roman" w:hAnsi="Tahoma" w:cs="Tahoma"/>
                      <w:color w:val="404040"/>
                    </w:rPr>
                    <w:t> </w:t>
                  </w:r>
                </w:p>
              </w:tc>
            </w:tr>
          </w:tbl>
          <w:p w14:paraId="1383DA93" w14:textId="77777777" w:rsidR="004C0D54" w:rsidRPr="006B3CBD" w:rsidRDefault="004C0D54" w:rsidP="004C0D5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bookmarkStart w:id="0" w:name="_Hlk116458715"/>
            <w:bookmarkStart w:id="1" w:name="_Hlk100758814"/>
          </w:p>
          <w:p w14:paraId="446500F5" w14:textId="282C4B78" w:rsidR="004C0D54" w:rsidRPr="006B3CBD" w:rsidRDefault="004C0D54" w:rsidP="004C0D5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Przychody Grupy </w:t>
            </w:r>
            <w:proofErr w:type="spellStart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będącej kluczowym aktywem w ramach segmentu usługowego (wyniki części usługowej obejmują również działalności kilku mniejszych spółek, w tym Budimex Parking Wrocław), wyniosły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818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ów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co przekłada się na wzrost o 4,8% w</w:t>
            </w:r>
            <w:r w:rsidR="0089273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porównaniu do roku ubiegłego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bookmarkStart w:id="2" w:name="_Hlk108780487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Zysk operacyjny Grupy </w:t>
            </w:r>
            <w:proofErr w:type="spellStart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FBSerwis</w:t>
            </w:r>
            <w:proofErr w:type="spellEnd"/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wyniósł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93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miliony złotych przy rentowności 11,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4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%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bookmarkEnd w:id="0"/>
          <w:bookmarkEnd w:id="1"/>
          <w:bookmarkEnd w:id="2"/>
          <w:p w14:paraId="5C3A0B5F" w14:textId="77777777" w:rsidR="003F5AEC" w:rsidRPr="006B3CBD" w:rsidRDefault="003F5AEC" w:rsidP="004C0D54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</w:p>
          <w:p w14:paraId="270C9027" w14:textId="77777777" w:rsidR="004C0D54" w:rsidRPr="006B3CBD" w:rsidRDefault="004C0D54" w:rsidP="004C0D54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Perspektywy rynkowe</w:t>
            </w:r>
          </w:p>
          <w:p w14:paraId="2802F220" w14:textId="77777777" w:rsidR="004C0D54" w:rsidRPr="006B3CBD" w:rsidRDefault="004C0D54" w:rsidP="004C0D5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D23B2B3" w14:textId="225CA0E7" w:rsidR="00F544A6" w:rsidRDefault="004C0D54" w:rsidP="00E83CD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Cały sektor </w:t>
            </w:r>
            <w:r w:rsidR="004441E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budowlany w zeszłym roku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zmagał się z drastycznymi wzrostami cen materiałów, energii i paliw oraz z rosnącym poziomem inflacji. </w:t>
            </w:r>
            <w:r w:rsidR="00465D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Jej wskaźniki</w:t>
            </w:r>
            <w:r w:rsidR="00E155DA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pozostają</w:t>
            </w:r>
            <w:r w:rsidR="00465D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nadal</w:t>
            </w:r>
            <w:r w:rsidR="00E155DA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wysokie</w:t>
            </w:r>
            <w:r w:rsidR="00E155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pomimo faktu, że </w:t>
            </w:r>
            <w:r w:rsidR="00E155DA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większość prognoz na najbliższe kwartały ulega rewizji w </w:t>
            </w:r>
            <w:r w:rsidR="00E155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dół a ich rozpiętość i niepewność ciągle jest na wysokim poziomie</w:t>
            </w:r>
            <w:r w:rsidR="00E155DA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E155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155DA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Dlatego tak ważna jest dalsza praca nad mechanizmami waloryzacji</w:t>
            </w:r>
            <w:r w:rsidR="00E155D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E155DA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długoterminowych zleceń. </w:t>
            </w:r>
          </w:p>
          <w:p w14:paraId="34EBEC43" w14:textId="5B519866" w:rsidR="006C53CF" w:rsidRDefault="006C53CF" w:rsidP="00E83CD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0B7D82C" w14:textId="57AEE294" w:rsidR="00B56F45" w:rsidRPr="00B56F45" w:rsidRDefault="00B56F45" w:rsidP="00B56F4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B56F4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 xml:space="preserve">Mając świadomość mechanizmów rządzących dziś rynkami w Polsce i na świecie, uważnie obserwujemy otoczenie i sukcesywnie rozwijamy naszą strategię biznesową. Korzystając </w:t>
            </w:r>
            <w:r w:rsidRPr="00B56F4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br/>
              <w:t xml:space="preserve">z doświadczeń, które przyniosła nam pandemia COVID-19 wiemy, że jedynym sposobem na pomyślne wyjście ze stagnacji jest ciągły rozwój. Wydarzenia, których jesteśmy dziś świadkami, co potwierdzają również agendy unijne m.in. Fit for 55, nie wstrzymują europejskich gospodarek przed podążaniem w kierunku trendów wyznaczanych w ostatnich latach. Po każdym kryzysie następuje „odbicie” i przyspieszenie, co pokazał nam początek 2022 roku. </w:t>
            </w:r>
          </w:p>
          <w:p w14:paraId="323EE96B" w14:textId="7D694092" w:rsidR="00E155DA" w:rsidRDefault="00E155DA" w:rsidP="004C0D5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88ABC77" w14:textId="12233BC3" w:rsidR="0010161C" w:rsidRPr="00180C6A" w:rsidRDefault="0010161C" w:rsidP="0010161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Zaangażowanie w zrównoważony rozwój traktujemy jako obowiązek firmy wpływającej na warunki życia lokalnych społeczności oraz współtworzącej krajową gospodarkę. </w:t>
            </w:r>
            <w:r w:rsidR="0047134A" w:rsidRPr="0040098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Rynek energii jest dziś w procesie transformacji, który umożliwia udział firm z innych sektorów gospodarki, co jeszcze dwa lata temu wydawało się niemożliwe. </w:t>
            </w:r>
            <w:r w:rsidR="0047134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związku z tym i</w:t>
            </w:r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ntensywnie pracujemy nad poprawą efektywności energetycznej w bieżącej działalności naszej Grupy. </w:t>
            </w:r>
            <w:bookmarkStart w:id="3" w:name="_Hlk128403329"/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We współpracy z partnerami oraz w ramach procesów wewnętrznych, poszukujemy innowacji i technologii, podnoszących neutralność środowiskową i efektywność prowadzonych przez nas procesów budowlanych. Sukcesywnie zwiększamy udział ponownego wykorzystania odpadów, który obecnie </w:t>
            </w:r>
            <w:r w:rsidRPr="00355A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jest już na poziomie 50 proc</w:t>
            </w:r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Wprowadzamy rozwiązania z zakresu oszczędzania energii oraz OZE na swoich budowach. Śledzimy także rozwój technologii w obszarze energooszczędnego budownictwa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</w:t>
            </w:r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do wdrażania ich na etapach projektowych zachęcamy inwestorów. </w:t>
            </w:r>
          </w:p>
          <w:bookmarkEnd w:id="3"/>
          <w:p w14:paraId="3DC7F03F" w14:textId="77777777" w:rsidR="00132F8C" w:rsidRDefault="00132F8C" w:rsidP="00132F8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CC41DE8" w14:textId="69EB0D67" w:rsidR="009860DB" w:rsidRDefault="00132F8C" w:rsidP="00132F8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zielonym filarze kompetencyjnym naszej Grupy Kapitałowej</w:t>
            </w:r>
            <w:r w:rsidR="001E6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jako Inwestor</w:t>
            </w: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posiadamy</w:t>
            </w: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spółkę Magnolia Energy i </w:t>
            </w:r>
            <w:proofErr w:type="spellStart"/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Fotowoltaika</w:t>
            </w:r>
            <w:proofErr w:type="spellEnd"/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które </w:t>
            </w:r>
            <w:r w:rsidR="000E6B3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realizują</w:t>
            </w: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budowę farmy wiatrowej i fotowoltaicznej o łączonej mocy ponad 20</w:t>
            </w:r>
            <w:r w:rsidR="000D2CD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MW. </w:t>
            </w:r>
            <w:r w:rsidR="000F524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EC4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2022 roku jako generalny wykonawc</w:t>
            </w:r>
            <w:r w:rsidR="001E6EA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 zrealizowaliśmy </w:t>
            </w:r>
            <w:r w:rsidR="00EC408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farmę wiatrową w Drachowie. </w:t>
            </w:r>
            <w:r w:rsidR="00AC6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</w:t>
            </w: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iskoemisyjny transport </w:t>
            </w:r>
            <w:r w:rsidR="00A67F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wymaga odpowiedniej infrastruktury</w:t>
            </w:r>
            <w:r w:rsidR="000D03E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="00A67F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804E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by móc rozwijać się na rynku polskim. D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latego powołana</w:t>
            </w:r>
            <w:r w:rsidR="009804E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Grupie Budimex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spółka </w:t>
            </w: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Budimex </w:t>
            </w:r>
            <w:proofErr w:type="spellStart"/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Mobility</w:t>
            </w:r>
            <w:proofErr w:type="spellEnd"/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niespełna rok</w:t>
            </w:r>
            <w:r w:rsidR="00AC671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za</w:t>
            </w:r>
            <w:r w:rsidR="00404F7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inwestowała w</w:t>
            </w: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109 ładowarek elektrycznych i zamierza je uruchomić w pierwszym kwartale 2023 roku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920F1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w: </w:t>
            </w:r>
            <w:r w:rsidR="00920F14" w:rsidRPr="003F06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Szczecinie, Poznaniu, Bydgoszczy i Gorzowie Wielkopolskim</w:t>
            </w: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705B43A4" w14:textId="77777777" w:rsidR="009860DB" w:rsidRDefault="009860DB" w:rsidP="00132F8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9AA7D47" w14:textId="3803442D" w:rsidR="00132F8C" w:rsidRPr="0040098B" w:rsidRDefault="00132F8C" w:rsidP="00132F8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40098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Jesteśmy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również</w:t>
            </w:r>
            <w:r w:rsidRPr="0040098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obecni w procesie przygotowywania inwestycji w energetykę jądrową z partnerami strategicznymi jak </w:t>
            </w:r>
            <w:proofErr w:type="spellStart"/>
            <w:r w:rsidRPr="0040098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Westinghouse</w:t>
            </w:r>
            <w:proofErr w:type="spellEnd"/>
            <w:r w:rsidRPr="0040098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ze Stanów Zjednoczonych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Pr="0040098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2A037398" w14:textId="77777777" w:rsidR="009860DB" w:rsidRDefault="009860DB" w:rsidP="00132F8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C94E057" w14:textId="28323AB8" w:rsidR="00132F8C" w:rsidRDefault="00132F8C" w:rsidP="00132F8C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0D768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Udział Grupy Budimex w rynku OZE postrzegamy jako element wzmacniania efektywności energetycznej oraz portfela biznesowego spółki. Zielona energia to obszar, który będzie wymagać w najbliższych latach ogromnych inwestycji, a my jako firma posiadamy kapitał, który pozwoli na ich realizację w niezbędnej skali.</w:t>
            </w:r>
          </w:p>
          <w:p w14:paraId="5630C846" w14:textId="0E9C7B15" w:rsidR="000C2208" w:rsidRDefault="000C2208" w:rsidP="00180C6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D562DE1" w14:textId="3F943BF0" w:rsidR="0040098B" w:rsidRDefault="00180C6A" w:rsidP="00180C6A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21A3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Krok po kroku budujemy naszą pozycję w państwach ościennych. </w:t>
            </w:r>
            <w:r w:rsidR="00B101BD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</w:t>
            </w:r>
            <w:r w:rsidR="00175396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rynku słowackim</w:t>
            </w:r>
            <w:r w:rsidR="00825F7A" w:rsidRPr="00521A3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pozyskaliśmy i rozpoczęliśmy realizację </w:t>
            </w:r>
            <w:r w:rsidR="00A13C13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kontraktu</w:t>
            </w:r>
            <w:r w:rsidR="006A681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budowy</w:t>
            </w:r>
            <w:r w:rsidR="00A13C13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1688E" w:rsidRPr="00815CE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autostrady</w:t>
            </w:r>
            <w:r w:rsidR="0041688E" w:rsidRPr="0041688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41688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(</w:t>
            </w:r>
            <w:r w:rsidR="00576F77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formule „</w:t>
            </w:r>
            <w:proofErr w:type="spellStart"/>
            <w:r w:rsidR="00576F77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redesign</w:t>
            </w:r>
            <w:proofErr w:type="spellEnd"/>
            <w:r w:rsidR="00576F77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and </w:t>
            </w:r>
            <w:proofErr w:type="spellStart"/>
            <w:r w:rsidR="00576F77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build</w:t>
            </w:r>
            <w:proofErr w:type="spellEnd"/>
            <w:r w:rsidR="00576F77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”</w:t>
            </w:r>
            <w:r w:rsidR="0041688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)</w:t>
            </w:r>
            <w:r w:rsidR="00175396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E7F07" w:rsidRPr="00F33EB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</w:t>
            </w:r>
            <w:r w:rsidR="007E7F07" w:rsidRPr="00521A3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największej wartości na</w:t>
            </w:r>
            <w:r w:rsidR="007E7F07" w:rsidRPr="00F33EB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tym</w:t>
            </w:r>
            <w:r w:rsidR="007E7F07" w:rsidRPr="00521A3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rynku</w:t>
            </w:r>
            <w:r w:rsidR="007E7F0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czyli kontraktu</w:t>
            </w:r>
            <w:r w:rsidR="007E7F07" w:rsidRPr="00521A3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D06152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D1 Bratysława-</w:t>
            </w:r>
            <w:proofErr w:type="spellStart"/>
            <w:r w:rsidR="00D06152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Triblavina</w:t>
            </w:r>
            <w:proofErr w:type="spellEnd"/>
            <w:r w:rsidR="00D06152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7E7F0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wartości </w:t>
            </w:r>
            <w:r w:rsidR="00825F7A" w:rsidRPr="00521A3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111 milionów euro. Na</w:t>
            </w:r>
            <w:r w:rsidR="00825F7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rynku niemieckim</w:t>
            </w:r>
            <w:r w:rsidR="0062001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powołana spółka Budimex </w:t>
            </w:r>
            <w:proofErr w:type="spellStart"/>
            <w:r w:rsidR="00620010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Bau</w:t>
            </w:r>
            <w:proofErr w:type="spellEnd"/>
            <w:r w:rsidR="004362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proofErr w:type="spellStart"/>
            <w:r w:rsidR="004362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Gm</w:t>
            </w:r>
            <w:r w:rsidR="00D41ED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BH</w:t>
            </w:r>
            <w:proofErr w:type="spellEnd"/>
            <w:r w:rsidR="00D41ED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25F7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 w:rsidR="00825F7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>2022 roku pozyska</w:t>
            </w:r>
            <w:r w:rsidR="00D41ED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ła</w:t>
            </w:r>
            <w:r w:rsidR="00825F7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projekty budowlane o wartości </w:t>
            </w:r>
            <w:r w:rsidR="00825F7A" w:rsidRPr="00F424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przeszło </w:t>
            </w:r>
            <w:r w:rsidR="00F424E6" w:rsidRPr="006540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70</w:t>
            </w:r>
            <w:r w:rsidR="00825F7A" w:rsidRPr="00F424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milionów złotych</w:t>
            </w:r>
            <w:r w:rsidR="00DA691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Zabiegamy o kolejne </w:t>
            </w:r>
            <w:r w:rsidR="00D41ED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projekty </w:t>
            </w:r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Czechach i na Łotwie. Rozwijamy nasze kompetencje i pozyskujemy w Polsce nowe zlecenia w segm</w:t>
            </w:r>
            <w:r w:rsidR="00D41ED1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encie</w:t>
            </w:r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hydrotechnicznym</w:t>
            </w:r>
            <w:r w:rsidR="00464F3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W 2022 roku po</w:t>
            </w:r>
            <w:r w:rsidR="000920F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dpisaliśmy kontrakt DCT Gdańsk (B</w:t>
            </w:r>
            <w:r w:rsidR="000C220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a</w:t>
            </w:r>
            <w:r w:rsidR="000920F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ltic Hub)</w:t>
            </w:r>
            <w:r w:rsidR="0077730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który po </w:t>
            </w:r>
            <w:r w:rsidR="00075CF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zakończeniu </w:t>
            </w:r>
            <w:r w:rsidR="003627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budowy </w:t>
            </w:r>
            <w:r w:rsidR="000920F6" w:rsidRPr="000920F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będzie jednym z największych terminali kontenerowych w Europie</w:t>
            </w:r>
            <w:r w:rsidR="00CF779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 w:rsidR="000920F6" w:rsidRPr="000920F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3627F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Równie ważnym i silnie rozwijanym segmentem </w:t>
            </w:r>
            <w:r w:rsidR="0032459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budowlanym w naszej Grupie był również segment inwestycji wojskowych</w:t>
            </w:r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</w:p>
          <w:p w14:paraId="20423929" w14:textId="77777777" w:rsidR="0089402B" w:rsidRDefault="0089402B" w:rsidP="004C0D5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CADF990" w14:textId="4C52B55B" w:rsidR="004A1C0D" w:rsidRPr="004A1C0D" w:rsidRDefault="004C0D54" w:rsidP="004A1C0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Aktualny portfel </w:t>
            </w:r>
            <w:r w:rsidR="00D96643"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zamówień 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Grupy Budimex w pełni zabezpiecza front robót</w:t>
            </w:r>
            <w:r w:rsidR="00F112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okres najbliższych dwóch lat.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owo pozyskiwane kontrakty (w szczególności zlecenia w formule „</w:t>
            </w:r>
            <w:r w:rsidR="0058616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projektuj - buduj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”) </w:t>
            </w:r>
            <w:r w:rsidR="000B2B4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wzmacniają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fundamenty</w:t>
            </w:r>
            <w:r w:rsidR="00F112F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na najbliższe lata.</w:t>
            </w: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Nadchodzące kwartały mogą być wyzwaniem w zakresie pozyskiwania nowych zleceń</w:t>
            </w:r>
            <w:r w:rsidR="0086134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dla całej branży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Z jednej strony obserwujemy </w:t>
            </w:r>
            <w:r w:rsidR="00DD65F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problemy z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finansowani</w:t>
            </w:r>
            <w:r w:rsidR="00DD65F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em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projektów kolejowych oraz narastającą konkurencję w segmencie drogowym. Z drugiej strony, w części budownictwa ogólnego, już od kilku kwartałów drastycznie spada liczba rozpoczynanych </w:t>
            </w:r>
            <w:r w:rsidR="00A476A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projektów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mieszkaniowych. </w:t>
            </w:r>
            <w:r w:rsidR="00CF1CF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ysoki i dobrze zdywersyfikowany portfel zamówień</w:t>
            </w:r>
            <w:r w:rsidR="00A763C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naszej spółce</w:t>
            </w:r>
            <w:r w:rsidR="00CB3A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pozwala nam </w:t>
            </w:r>
            <w:r w:rsidR="00CF1CF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jednak </w:t>
            </w:r>
            <w:r w:rsidR="00CB3AB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odpowiedzialnie</w:t>
            </w:r>
            <w:r w:rsidR="00CF1CF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podchodzić do ofertowania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 Oczekujemy</w:t>
            </w:r>
            <w:r w:rsidR="00D9664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że obrane kierunki rozwoju, w tym ekspansja na rynki zagraniczne i umocnienie pozycji w segmencie hydrotechnicznym oraz militarnym, pozwolą na zachowanie długoterminowego trendu wzrostu portfela zamówień i przychodów segmentu budowlanego. Liczymy, że dodatkowym impulsem wzrostu części budowalnej </w:t>
            </w:r>
            <w:r w:rsidR="0090416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staną się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projekty własne z obszaru OZE. </w:t>
            </w:r>
          </w:p>
          <w:p w14:paraId="56F724A3" w14:textId="05785101" w:rsidR="004C0D54" w:rsidRDefault="00275C75" w:rsidP="004C0D5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275C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ciągu najbliższych 10 lat</w:t>
            </w:r>
            <w:r w:rsidR="002117E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</w:t>
            </w:r>
            <w:r w:rsidRPr="00275C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FE461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 Polsce zaplanowan</w:t>
            </w:r>
            <w:r w:rsidR="000C5C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 </w:t>
            </w:r>
            <w:r w:rsidR="00B935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inwestycje</w:t>
            </w:r>
            <w:r w:rsidR="000C5C3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 wartości </w:t>
            </w:r>
            <w:r w:rsidR="00B9353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ponad </w:t>
            </w:r>
            <w:r w:rsidR="00FE461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1 bilion złotych</w:t>
            </w:r>
            <w:r w:rsidR="00B8022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co pozwala branży budowlanej patrzeć w przyszłość z optymizmem</w:t>
            </w:r>
            <w:r w:rsidR="00FE461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B35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</w:t>
            </w:r>
            <w:r w:rsidRPr="00275C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erspektywy przed całą branżą są nadal obiecujące. </w:t>
            </w:r>
            <w:r w:rsidR="008B35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Warunkiem dalszego rozwoju jest dostęp do funduszy UE oraz funduszy pomostowych. Wsparciem dla polityki</w:t>
            </w:r>
            <w:r w:rsidR="007E5E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finansowej</w:t>
            </w:r>
            <w:r w:rsidR="008B35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Państwa mogą być również fundusze </w:t>
            </w:r>
            <w:r w:rsidR="007E5EC4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inwestorów prywatnych.</w:t>
            </w:r>
            <w:r w:rsidR="008B35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Długoterminowo szansą dla branży będzie także zaangażowanie w odbudowę Ukrainy. </w:t>
            </w:r>
            <w:r w:rsidR="008B3575" w:rsidRPr="008B357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Władze ukraińskie oraz Europejski Bank Inwestycyjny wskazują, że łączny koszt projektów powojennej odbudowy Ukrainy wyniesie ponad 1 bln dol.</w:t>
            </w:r>
          </w:p>
          <w:p w14:paraId="3A31AFD0" w14:textId="5BBCF732" w:rsidR="00114DA9" w:rsidRPr="008E16A4" w:rsidRDefault="00B04EF4" w:rsidP="004C0D54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68EC9F31" w14:textId="7C26BDE1" w:rsidR="009D0E45" w:rsidRPr="001D574C" w:rsidRDefault="009D0E45" w:rsidP="00114DA9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</w:pPr>
            <w:r w:rsidRPr="001D574C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Zaangażowanie społeczne</w:t>
            </w:r>
          </w:p>
          <w:p w14:paraId="32581190" w14:textId="77777777" w:rsidR="009D0E45" w:rsidRDefault="009D0E45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44D608F" w14:textId="51C017E7" w:rsidR="00114DA9" w:rsidRDefault="00081ED0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80C6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Jako firma odpowiedzialna realizujemy projekty w całym łańcuchu wartości ESG – promujemy równość warunków płacy i pracy, przykładamy ogromną wagę do bezpieczeństwa naszych pracowników oraz działań na rzecz najbliższego otoczenia.  </w:t>
            </w: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To był szczególny rok w zakresie naszej działalności społecznej.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114DA9"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Zaangażowaliśmy się w pomoc ‎finansową i materialną na rzecz Ukrainy. Wartość tego wsparcia osiągnęła poziom blisko 3 mln zł. ‎Szczególnie duże było zaangażowanie naszych pracowników. Tegoroczny program Grant na ‎Wolontariat z udziałem naszej załogi był poświęcony głównie sąsiadom ze Wschodu. ‎</w:t>
            </w:r>
          </w:p>
          <w:p w14:paraId="5161D228" w14:textId="77777777" w:rsidR="00136E8F" w:rsidRPr="00114DA9" w:rsidRDefault="00136E8F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777E19A0" w14:textId="1F328659" w:rsidR="00114DA9" w:rsidRPr="00136E8F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</w:pPr>
            <w:r w:rsidRPr="00136E8F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t xml:space="preserve">Dokładaliśmy także starań w zakresie doskonalenia standardów finansowych. Budimex podpisał ‎umowę w ramach Programu Współdziałania z Szefem Krajowej Administracji Skarbowej.  Udział </w:t>
            </w:r>
            <w:r w:rsidRPr="00136E8F">
              <w:rPr>
                <w:rFonts w:ascii="Tahoma" w:eastAsia="Tahoma" w:hAnsi="Tahoma" w:cs="Tahoma"/>
                <w:bCs/>
                <w:color w:val="7F7F7F" w:themeColor="text1" w:themeTint="80"/>
                <w:sz w:val="18"/>
                <w:szCs w:val="18"/>
              </w:rPr>
              <w:lastRenderedPageBreak/>
              <w:t>w ‎Programie jest potwierdzeniem, że stosowane w Budimeksie procedury i procesy podatkowe oraz ‎nadzór nad rozliczeniami podatkowymi, spełniają najwyższe wymagania. ‎</w:t>
            </w:r>
          </w:p>
          <w:p w14:paraId="7058B841" w14:textId="77777777" w:rsidR="00114DA9" w:rsidRP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BA9FA7F" w14:textId="16A19119" w:rsid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opinii 300 największych podwykonawców budowlanych Budimex znalazł się na pierwszym ‎miejscu spośród dziesięciu czołowych generalnych wykonawców,  jako partner do współdziałania, a ‎także jako najlepszy partner pod względem warunków finansowych i terminów płatności. ‎Dołączyliśmy także do programu Partnerstwa na rzecz realizacji Celów Zrównoważonego Rozwoju ‎Agenda 2030 realizowanego przez Ministerstwo Rozwoju i Technologii. Agenda 2030 to strategia ‎rozwoju świata do 2030 roku, zawiera 17  Celów Zrównoważonego Rozwoju zgodnych z celami ESG.‎</w:t>
            </w:r>
          </w:p>
          <w:p w14:paraId="4F482CBF" w14:textId="77777777" w:rsidR="00114DA9" w:rsidRP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02FBBF38" w14:textId="1EE96BDD" w:rsid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Społeczna odpowiedzialność biznesu to w Budimeksie również długofalowe projekty wspierające ‎m.in. mieszkańców społeczności sąsiadujących z prowadzonymi przez firmę budowami. ‎Uruchomiliśmy czterdziestą z kolei Strefę Rodzica w Samodzielnym Publicznym Zakładzie Opieki ‎Zdrowotnej Szpitala Powiatowego w Piszu i kolejną w Wojewódzkim Szpitalu Dziecięcym im. J. ‎Brudzińskiego w Bydgoszczy. ‎</w:t>
            </w:r>
          </w:p>
          <w:p w14:paraId="7BDBB3E8" w14:textId="77777777" w:rsidR="00114DA9" w:rsidRP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136B222" w14:textId="77777777" w:rsidR="00136E8F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Rozwijamy nasze wieloletnie programy społeczne. Program edukacyjny Hello ICE, służący ‎bezpieczeństwu dzieci w ruchu drogowym, zyskał patronat Ministerstwa Sportu i Turystyki. </w:t>
            </w:r>
          </w:p>
          <w:p w14:paraId="0EE37C19" w14:textId="0D4167C5" w:rsidR="00114DA9" w:rsidRP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‎</w:t>
            </w:r>
          </w:p>
          <w:p w14:paraId="0EDCAC64" w14:textId="77777777" w:rsid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Zakończyliśmy drugą edycję programu „Dom z serca” w Brusach na Pomorzu. Pomogliśmy ‎ośmioosobowej rodzinie zmagającej się z trudną sytuacją finansową i borykającą się z problemami ‎zdrowotnymi dwójki dzieci. Łącząc siły z innymi firmami budowlanymi, dokończyliśmy budowę ‎domu pani Iwony i pana Krzysztofa oraz wyposażyliśmy go „pod klucz".</w:t>
            </w:r>
          </w:p>
          <w:p w14:paraId="481C79C4" w14:textId="3691B515" w:rsidR="00114DA9" w:rsidRP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‎</w:t>
            </w:r>
          </w:p>
          <w:p w14:paraId="077824E8" w14:textId="77777777" w:rsidR="00114DA9" w:rsidRP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Nasze realizacje budowlane zdobyły kilka cennych nagród branżowych: 7 nagród w konkursie ‎‎„Budowa Roku 2021”, potocznie nazywanych Oskarami budowlanymi i dwie nagrody „Modernizacja ‎Roku”. Wśród nagrodzonych inwestycji znalazło się m.in.: Centrum Badań i Rozwoju PKN Orlen w ‎Płocku, dworzec PKP S.A. w Białymstoku i Młyny Rothera w Bydgoszczy.‎</w:t>
            </w:r>
          </w:p>
          <w:p w14:paraId="272C7D73" w14:textId="77777777" w:rsidR="00114DA9" w:rsidRP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Budimex został wyróżniony także Nagrodą Roku Federacji Przedsiębiorców Polskich – Lider ‎Zrównoważonego Rozwoju. Nagroda została przyznana za działania Budimeksu w zakresie ochrony ‎środowiska, gospodarki obiegu zamkniętego, niskoemisyjności i działań społecznych. Włączamy się ‎także w proekologiczne działania społeczne. W ramach akcji Przystanek Zieleń zasadzimy 400 ‎nowych drzew ze spółdzielniami i wspólnotami mieszkaniowymi w Warszawie. ‎</w:t>
            </w:r>
          </w:p>
          <w:p w14:paraId="7B116864" w14:textId="77777777" w:rsid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Strategia firmy Budimex zakłada m.in. bycie dobrym sąsiadem, gościem i partnerem dla ‎społeczności lokalnych.  </w:t>
            </w:r>
          </w:p>
          <w:p w14:paraId="2E9C41C7" w14:textId="77777777" w:rsidR="00114DA9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4BE80C7" w14:textId="65DEC79A" w:rsidR="00114DA9" w:rsidRPr="006B3CBD" w:rsidRDefault="00114DA9" w:rsidP="00114DA9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114DA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ciągu 2022 r. wsparliśmy charytatywnie otoczenia budów w ramach 43 ‎projektów w: Ełku, Szczecinie, Bydgoszczy, Szczecinie, Krakowie, Warszawie, Dolicach k. Szczecina, ‎Białymstoku, Narewce k.  Hajnówki, Czechowicach – Dziedzicach, Suwałkach, Markach k. Warszawy, ‎Słupcy k. Konina i  Strachocinie. Łączna wartość pomocy wyniosła blisko 2 mln złotych.‎</w:t>
            </w:r>
          </w:p>
        </w:tc>
        <w:tc>
          <w:tcPr>
            <w:tcW w:w="3118" w:type="dxa"/>
          </w:tcPr>
          <w:p w14:paraId="5B5F2F21" w14:textId="2DED115D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6D9FE0D9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2981D933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75763072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522D8B16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83DA6A1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302E4DF3" w14:textId="77777777" w:rsidR="00D824D3" w:rsidRPr="006B3CBD" w:rsidRDefault="00D824D3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</w:p>
          <w:p w14:paraId="7B71267C" w14:textId="77777777" w:rsidR="00D824D3" w:rsidRPr="006B3CBD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</w:pPr>
            <w:r w:rsidRPr="006B3CBD">
              <w:rPr>
                <w:rFonts w:ascii="Verdana" w:eastAsia="Verdana" w:hAnsi="Verdana" w:cs="Verdana"/>
                <w:bCs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45C07FB4" w:rsidR="00D824D3" w:rsidRPr="006B3CBD" w:rsidRDefault="00B63B5B">
            <w:pPr>
              <w:spacing w:after="120"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>Michał Wrzosek</w:t>
            </w:r>
            <w:r w:rsidR="0053503C" w:rsidRPr="006B3CBD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-</w:t>
            </w:r>
            <w:r w:rsidRPr="006B3CBD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 Rzecznik Prasowy</w:t>
            </w:r>
          </w:p>
          <w:p w14:paraId="742DC472" w14:textId="77777777" w:rsidR="00D824D3" w:rsidRPr="006B3CBD" w:rsidRDefault="00B63B5B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r w:rsidRPr="006B3CBD"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Pr="006B3CBD" w:rsidRDefault="002B2953">
            <w:pPr>
              <w:spacing w:line="360" w:lineRule="auto"/>
              <w:rPr>
                <w:rFonts w:ascii="Verdana" w:eastAsia="Verdana" w:hAnsi="Verdana" w:cs="Verdana"/>
                <w:bCs/>
                <w:color w:val="808080"/>
                <w:sz w:val="18"/>
                <w:szCs w:val="18"/>
              </w:rPr>
            </w:pPr>
            <w:hyperlink r:id="rId12">
              <w:r w:rsidR="00B63B5B" w:rsidRPr="006B3CBD">
                <w:rPr>
                  <w:rFonts w:ascii="Verdana" w:eastAsia="Verdana" w:hAnsi="Verdana" w:cs="Verdana"/>
                  <w:bCs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Pr="006B3CBD" w:rsidRDefault="002B2953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bCs/>
                <w:color w:val="7F7F7F"/>
                <w:sz w:val="18"/>
                <w:szCs w:val="18"/>
              </w:rPr>
            </w:pPr>
            <w:hyperlink r:id="rId13">
              <w:r w:rsidR="00B63B5B" w:rsidRPr="006B3CBD">
                <w:rPr>
                  <w:rFonts w:ascii="Tahoma" w:eastAsia="Tahoma" w:hAnsi="Tahoma" w:cs="Tahoma"/>
                  <w:bCs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0E328550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331147F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  <w:p w14:paraId="4CEC1C16" w14:textId="77777777" w:rsidR="00D824D3" w:rsidRPr="006B3CBD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Cs/>
                <w:color w:val="FFC000"/>
              </w:rPr>
            </w:pPr>
          </w:p>
        </w:tc>
      </w:tr>
    </w:tbl>
    <w:p w14:paraId="7916B9A7" w14:textId="77777777" w:rsidR="00114DA9" w:rsidRPr="006B3CBD" w:rsidRDefault="00114DA9" w:rsidP="00AD7834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114DA9" w:rsidRPr="006B3CBD" w:rsidSect="001E12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E084" w14:textId="77777777" w:rsidR="005742D9" w:rsidRDefault="005742D9">
      <w:pPr>
        <w:spacing w:after="0" w:line="240" w:lineRule="auto"/>
      </w:pPr>
      <w:r>
        <w:separator/>
      </w:r>
    </w:p>
  </w:endnote>
  <w:endnote w:type="continuationSeparator" w:id="0">
    <w:p w14:paraId="47EEA5BE" w14:textId="77777777" w:rsidR="005742D9" w:rsidRDefault="0057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B0B8" w14:textId="77777777" w:rsidR="00B91D54" w:rsidRDefault="00B91D54" w:rsidP="0037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7F7F7F" w:themeColor="text1" w:themeTint="80"/>
        <w:sz w:val="12"/>
        <w:szCs w:val="12"/>
      </w:rPr>
    </w:pPr>
  </w:p>
  <w:p w14:paraId="51F15B6A" w14:textId="77777777" w:rsidR="00D824D3" w:rsidRDefault="00D824D3" w:rsidP="00B91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555D" w14:textId="77777777" w:rsidR="00B91D54" w:rsidRDefault="00B91D54" w:rsidP="00B91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7F7F7F" w:themeColor="text1" w:themeTint="80"/>
        <w:sz w:val="12"/>
        <w:szCs w:val="12"/>
      </w:rPr>
    </w:pPr>
  </w:p>
  <w:p w14:paraId="31108A7B" w14:textId="77777777" w:rsidR="00B91D54" w:rsidRDefault="00B91D54" w:rsidP="00B91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7F7F7F" w:themeColor="text1" w:themeTint="80"/>
        <w:sz w:val="12"/>
        <w:szCs w:val="12"/>
      </w:rPr>
    </w:pPr>
    <w:r w:rsidRPr="003C2C1B">
      <w:rPr>
        <w:rFonts w:ascii="Tahoma" w:hAnsi="Tahoma" w:cs="Tahoma"/>
        <w:color w:val="7F7F7F" w:themeColor="text1" w:themeTint="80"/>
        <w:sz w:val="12"/>
        <w:szCs w:val="12"/>
      </w:rPr>
      <w:t>*przypadający akcjonariuszom Jednostki Dominującej</w:t>
    </w:r>
    <w:r>
      <w:rPr>
        <w:rFonts w:ascii="Tahoma" w:hAnsi="Tahoma" w:cs="Tahoma"/>
        <w:color w:val="7F7F7F" w:themeColor="text1" w:themeTint="80"/>
        <w:sz w:val="12"/>
        <w:szCs w:val="12"/>
      </w:rPr>
      <w:t xml:space="preserve"> </w:t>
    </w:r>
  </w:p>
  <w:p w14:paraId="629D6547" w14:textId="77777777" w:rsidR="00B91D54" w:rsidRPr="00307B02" w:rsidRDefault="00B91D54" w:rsidP="00B91D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hAnsi="Tahoma" w:cs="Tahoma"/>
        <w:color w:val="7F7F7F" w:themeColor="text1" w:themeTint="80"/>
        <w:sz w:val="12"/>
        <w:szCs w:val="12"/>
      </w:rPr>
    </w:pPr>
    <w:r>
      <w:rPr>
        <w:rFonts w:ascii="Tahoma" w:hAnsi="Tahoma" w:cs="Tahoma"/>
        <w:color w:val="7F7F7F" w:themeColor="text1" w:themeTint="80"/>
        <w:sz w:val="12"/>
        <w:szCs w:val="12"/>
      </w:rPr>
      <w:t>*</w:t>
    </w:r>
    <w:r w:rsidRPr="00307B02">
      <w:rPr>
        <w:rFonts w:ascii="Tahoma" w:hAnsi="Tahoma" w:cs="Tahoma"/>
        <w:color w:val="7F7F7F" w:themeColor="text1" w:themeTint="80"/>
        <w:sz w:val="12"/>
        <w:szCs w:val="12"/>
      </w:rPr>
      <w:t>*</w:t>
    </w:r>
    <w:r w:rsidRPr="00307B02">
      <w:rPr>
        <w:rFonts w:ascii="Tahoma" w:eastAsia="Tahoma" w:hAnsi="Tahoma" w:cs="Tahoma"/>
        <w:bCs/>
        <w:color w:val="7F7F7F" w:themeColor="text1" w:themeTint="80"/>
        <w:sz w:val="12"/>
        <w:szCs w:val="12"/>
      </w:rPr>
      <w:t xml:space="preserve"> rozliczeni</w:t>
    </w:r>
    <w:r>
      <w:rPr>
        <w:rFonts w:ascii="Tahoma" w:eastAsia="Tahoma" w:hAnsi="Tahoma" w:cs="Tahoma"/>
        <w:bCs/>
        <w:color w:val="7F7F7F" w:themeColor="text1" w:themeTint="80"/>
        <w:sz w:val="12"/>
        <w:szCs w:val="12"/>
      </w:rPr>
      <w:t>e</w:t>
    </w:r>
    <w:r w:rsidRPr="00307B02">
      <w:rPr>
        <w:rFonts w:ascii="Tahoma" w:eastAsia="Tahoma" w:hAnsi="Tahoma" w:cs="Tahoma"/>
        <w:bCs/>
        <w:color w:val="7F7F7F" w:themeColor="text1" w:themeTint="80"/>
        <w:sz w:val="12"/>
        <w:szCs w:val="12"/>
      </w:rPr>
      <w:t xml:space="preserve"> wyniku na transakcjach pomiędzy segmentem budowlanym i deweloperskim w wysokości 68 milionów złotych w związku ze sprzedażą Budimex Nieruchomości</w:t>
    </w:r>
  </w:p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1137" w14:textId="77777777" w:rsidR="005742D9" w:rsidRDefault="005742D9">
      <w:pPr>
        <w:spacing w:after="0" w:line="240" w:lineRule="auto"/>
      </w:pPr>
      <w:r>
        <w:separator/>
      </w:r>
    </w:p>
  </w:footnote>
  <w:footnote w:type="continuationSeparator" w:id="0">
    <w:p w14:paraId="608D4161" w14:textId="77777777" w:rsidR="005742D9" w:rsidRDefault="0057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D824D3" w:rsidRDefault="00B63B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BB07B9"/>
    <w:multiLevelType w:val="hybridMultilevel"/>
    <w:tmpl w:val="FFAAB1F4"/>
    <w:lvl w:ilvl="0" w:tplc="4C107D6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2B8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DC208A"/>
    <w:multiLevelType w:val="hybridMultilevel"/>
    <w:tmpl w:val="BF0CAEC4"/>
    <w:lvl w:ilvl="0" w:tplc="75D4C92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73944237">
    <w:abstractNumId w:val="0"/>
  </w:num>
  <w:num w:numId="2" w16cid:durableId="454641844">
    <w:abstractNumId w:val="6"/>
  </w:num>
  <w:num w:numId="3" w16cid:durableId="905723979">
    <w:abstractNumId w:val="2"/>
  </w:num>
  <w:num w:numId="4" w16cid:durableId="931283998">
    <w:abstractNumId w:val="3"/>
  </w:num>
  <w:num w:numId="5" w16cid:durableId="298803442">
    <w:abstractNumId w:val="5"/>
  </w:num>
  <w:num w:numId="6" w16cid:durableId="1578249196">
    <w:abstractNumId w:val="1"/>
  </w:num>
  <w:num w:numId="7" w16cid:durableId="859467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0037E"/>
    <w:rsid w:val="0000116D"/>
    <w:rsid w:val="00002FA2"/>
    <w:rsid w:val="00005901"/>
    <w:rsid w:val="0001222E"/>
    <w:rsid w:val="00013F8F"/>
    <w:rsid w:val="000150C1"/>
    <w:rsid w:val="0001727E"/>
    <w:rsid w:val="00022253"/>
    <w:rsid w:val="00027A52"/>
    <w:rsid w:val="00033E0B"/>
    <w:rsid w:val="00033E4A"/>
    <w:rsid w:val="00033EEE"/>
    <w:rsid w:val="0003691C"/>
    <w:rsid w:val="00037D56"/>
    <w:rsid w:val="00044B01"/>
    <w:rsid w:val="00047072"/>
    <w:rsid w:val="000471E4"/>
    <w:rsid w:val="00053488"/>
    <w:rsid w:val="00053E58"/>
    <w:rsid w:val="00057DE3"/>
    <w:rsid w:val="000602EE"/>
    <w:rsid w:val="00061F85"/>
    <w:rsid w:val="0006314F"/>
    <w:rsid w:val="000644F6"/>
    <w:rsid w:val="00075CF5"/>
    <w:rsid w:val="00081ED0"/>
    <w:rsid w:val="00083EB2"/>
    <w:rsid w:val="0008411D"/>
    <w:rsid w:val="0008413C"/>
    <w:rsid w:val="00084D2C"/>
    <w:rsid w:val="000908AD"/>
    <w:rsid w:val="000920F6"/>
    <w:rsid w:val="000935B7"/>
    <w:rsid w:val="00093B38"/>
    <w:rsid w:val="00093C5B"/>
    <w:rsid w:val="00094318"/>
    <w:rsid w:val="00096E60"/>
    <w:rsid w:val="00097486"/>
    <w:rsid w:val="000A0D19"/>
    <w:rsid w:val="000A29DB"/>
    <w:rsid w:val="000A4C94"/>
    <w:rsid w:val="000A7E00"/>
    <w:rsid w:val="000B2B42"/>
    <w:rsid w:val="000B570C"/>
    <w:rsid w:val="000B7985"/>
    <w:rsid w:val="000C0857"/>
    <w:rsid w:val="000C096B"/>
    <w:rsid w:val="000C18CA"/>
    <w:rsid w:val="000C214E"/>
    <w:rsid w:val="000C2208"/>
    <w:rsid w:val="000C3152"/>
    <w:rsid w:val="000C3C66"/>
    <w:rsid w:val="000C5C36"/>
    <w:rsid w:val="000C60FB"/>
    <w:rsid w:val="000D03E0"/>
    <w:rsid w:val="000D2CDC"/>
    <w:rsid w:val="000D2DAA"/>
    <w:rsid w:val="000D3606"/>
    <w:rsid w:val="000D4CA2"/>
    <w:rsid w:val="000D51F1"/>
    <w:rsid w:val="000D7686"/>
    <w:rsid w:val="000E2F84"/>
    <w:rsid w:val="000E35A1"/>
    <w:rsid w:val="000E4D10"/>
    <w:rsid w:val="000E6B31"/>
    <w:rsid w:val="000E7831"/>
    <w:rsid w:val="000F5015"/>
    <w:rsid w:val="000F5241"/>
    <w:rsid w:val="000F734A"/>
    <w:rsid w:val="0010161C"/>
    <w:rsid w:val="00103FBA"/>
    <w:rsid w:val="00106347"/>
    <w:rsid w:val="00107582"/>
    <w:rsid w:val="00107A4A"/>
    <w:rsid w:val="00114DA9"/>
    <w:rsid w:val="00120F42"/>
    <w:rsid w:val="00125739"/>
    <w:rsid w:val="00131EA2"/>
    <w:rsid w:val="00132F8C"/>
    <w:rsid w:val="00135A1E"/>
    <w:rsid w:val="00135E14"/>
    <w:rsid w:val="00136D8F"/>
    <w:rsid w:val="00136E8F"/>
    <w:rsid w:val="001378BE"/>
    <w:rsid w:val="001415FC"/>
    <w:rsid w:val="00145BBB"/>
    <w:rsid w:val="0015239C"/>
    <w:rsid w:val="00154AF9"/>
    <w:rsid w:val="001607E6"/>
    <w:rsid w:val="00160DCD"/>
    <w:rsid w:val="00160FCA"/>
    <w:rsid w:val="001622C7"/>
    <w:rsid w:val="00164288"/>
    <w:rsid w:val="001652FF"/>
    <w:rsid w:val="0016660D"/>
    <w:rsid w:val="001667D4"/>
    <w:rsid w:val="00166901"/>
    <w:rsid w:val="00171E71"/>
    <w:rsid w:val="0017491F"/>
    <w:rsid w:val="00174AB9"/>
    <w:rsid w:val="00175396"/>
    <w:rsid w:val="00176796"/>
    <w:rsid w:val="0017696D"/>
    <w:rsid w:val="00176B23"/>
    <w:rsid w:val="00180C6A"/>
    <w:rsid w:val="00180DCA"/>
    <w:rsid w:val="00183716"/>
    <w:rsid w:val="00184033"/>
    <w:rsid w:val="00184B5B"/>
    <w:rsid w:val="0019013E"/>
    <w:rsid w:val="001906A3"/>
    <w:rsid w:val="00191813"/>
    <w:rsid w:val="00192F14"/>
    <w:rsid w:val="001931BE"/>
    <w:rsid w:val="00193800"/>
    <w:rsid w:val="00195E85"/>
    <w:rsid w:val="00196E4D"/>
    <w:rsid w:val="001A13BD"/>
    <w:rsid w:val="001A4444"/>
    <w:rsid w:val="001A4687"/>
    <w:rsid w:val="001A5E03"/>
    <w:rsid w:val="001B18F8"/>
    <w:rsid w:val="001B1BBC"/>
    <w:rsid w:val="001B3A88"/>
    <w:rsid w:val="001B53AC"/>
    <w:rsid w:val="001C1EA7"/>
    <w:rsid w:val="001C2978"/>
    <w:rsid w:val="001C6BED"/>
    <w:rsid w:val="001C78CD"/>
    <w:rsid w:val="001D12F7"/>
    <w:rsid w:val="001D1508"/>
    <w:rsid w:val="001D3722"/>
    <w:rsid w:val="001D3BBF"/>
    <w:rsid w:val="001D574C"/>
    <w:rsid w:val="001D6623"/>
    <w:rsid w:val="001D6D47"/>
    <w:rsid w:val="001D7AD1"/>
    <w:rsid w:val="001E1249"/>
    <w:rsid w:val="001E2FCE"/>
    <w:rsid w:val="001E5D2F"/>
    <w:rsid w:val="001E5F16"/>
    <w:rsid w:val="001E6465"/>
    <w:rsid w:val="001E655D"/>
    <w:rsid w:val="001E6EA7"/>
    <w:rsid w:val="001F1798"/>
    <w:rsid w:val="001F3AC1"/>
    <w:rsid w:val="001F3B78"/>
    <w:rsid w:val="001F5301"/>
    <w:rsid w:val="001F540C"/>
    <w:rsid w:val="001F77AB"/>
    <w:rsid w:val="00200282"/>
    <w:rsid w:val="00205C0B"/>
    <w:rsid w:val="00206929"/>
    <w:rsid w:val="00207D56"/>
    <w:rsid w:val="00210B3A"/>
    <w:rsid w:val="00210B70"/>
    <w:rsid w:val="002117E9"/>
    <w:rsid w:val="0021267C"/>
    <w:rsid w:val="0022070B"/>
    <w:rsid w:val="00221758"/>
    <w:rsid w:val="00227709"/>
    <w:rsid w:val="00231D2D"/>
    <w:rsid w:val="002332A6"/>
    <w:rsid w:val="00234145"/>
    <w:rsid w:val="00235BCA"/>
    <w:rsid w:val="0023777F"/>
    <w:rsid w:val="00241059"/>
    <w:rsid w:val="002431E6"/>
    <w:rsid w:val="002451CA"/>
    <w:rsid w:val="00246369"/>
    <w:rsid w:val="00247108"/>
    <w:rsid w:val="00252A58"/>
    <w:rsid w:val="002560E2"/>
    <w:rsid w:val="0025729C"/>
    <w:rsid w:val="002572B2"/>
    <w:rsid w:val="0026041E"/>
    <w:rsid w:val="002606E5"/>
    <w:rsid w:val="0026199D"/>
    <w:rsid w:val="00265779"/>
    <w:rsid w:val="002666B2"/>
    <w:rsid w:val="00267095"/>
    <w:rsid w:val="00270259"/>
    <w:rsid w:val="002705D2"/>
    <w:rsid w:val="00271E13"/>
    <w:rsid w:val="00275C75"/>
    <w:rsid w:val="00276417"/>
    <w:rsid w:val="002773EE"/>
    <w:rsid w:val="002831E6"/>
    <w:rsid w:val="00285DE9"/>
    <w:rsid w:val="00286464"/>
    <w:rsid w:val="00287756"/>
    <w:rsid w:val="00291889"/>
    <w:rsid w:val="002925D8"/>
    <w:rsid w:val="002A1DF2"/>
    <w:rsid w:val="002A381C"/>
    <w:rsid w:val="002A4384"/>
    <w:rsid w:val="002A4949"/>
    <w:rsid w:val="002A5397"/>
    <w:rsid w:val="002A572C"/>
    <w:rsid w:val="002A6649"/>
    <w:rsid w:val="002A6E36"/>
    <w:rsid w:val="002B24AA"/>
    <w:rsid w:val="002B2953"/>
    <w:rsid w:val="002B2FB1"/>
    <w:rsid w:val="002B47CE"/>
    <w:rsid w:val="002B6F72"/>
    <w:rsid w:val="002B77BF"/>
    <w:rsid w:val="002C0A13"/>
    <w:rsid w:val="002C4D36"/>
    <w:rsid w:val="002C5FCC"/>
    <w:rsid w:val="002C71F2"/>
    <w:rsid w:val="002D0A73"/>
    <w:rsid w:val="002E348B"/>
    <w:rsid w:val="002E4678"/>
    <w:rsid w:val="002E4732"/>
    <w:rsid w:val="002E4EBF"/>
    <w:rsid w:val="002E6591"/>
    <w:rsid w:val="002F05BE"/>
    <w:rsid w:val="002F2A15"/>
    <w:rsid w:val="002F35F7"/>
    <w:rsid w:val="002F403D"/>
    <w:rsid w:val="002F7454"/>
    <w:rsid w:val="003023A0"/>
    <w:rsid w:val="0030310D"/>
    <w:rsid w:val="00303BED"/>
    <w:rsid w:val="00306169"/>
    <w:rsid w:val="00310980"/>
    <w:rsid w:val="00312C4B"/>
    <w:rsid w:val="00314819"/>
    <w:rsid w:val="0031612E"/>
    <w:rsid w:val="00317B7C"/>
    <w:rsid w:val="00323D83"/>
    <w:rsid w:val="0032459A"/>
    <w:rsid w:val="003252BD"/>
    <w:rsid w:val="00326202"/>
    <w:rsid w:val="00330315"/>
    <w:rsid w:val="00330932"/>
    <w:rsid w:val="00335E0E"/>
    <w:rsid w:val="003371B4"/>
    <w:rsid w:val="00337C34"/>
    <w:rsid w:val="00337F4C"/>
    <w:rsid w:val="003413EC"/>
    <w:rsid w:val="00343F41"/>
    <w:rsid w:val="00346FA9"/>
    <w:rsid w:val="00347532"/>
    <w:rsid w:val="00352719"/>
    <w:rsid w:val="00355A2C"/>
    <w:rsid w:val="00356480"/>
    <w:rsid w:val="00356CFD"/>
    <w:rsid w:val="00357363"/>
    <w:rsid w:val="00360B0E"/>
    <w:rsid w:val="003627F3"/>
    <w:rsid w:val="00366B19"/>
    <w:rsid w:val="00370F97"/>
    <w:rsid w:val="003711C0"/>
    <w:rsid w:val="00371E1A"/>
    <w:rsid w:val="003734D3"/>
    <w:rsid w:val="00374264"/>
    <w:rsid w:val="00375A37"/>
    <w:rsid w:val="00377098"/>
    <w:rsid w:val="00377CBB"/>
    <w:rsid w:val="00380BE2"/>
    <w:rsid w:val="00382683"/>
    <w:rsid w:val="0038295F"/>
    <w:rsid w:val="00383BB6"/>
    <w:rsid w:val="00384766"/>
    <w:rsid w:val="0038504E"/>
    <w:rsid w:val="003858D5"/>
    <w:rsid w:val="00385D4D"/>
    <w:rsid w:val="003878B7"/>
    <w:rsid w:val="00391753"/>
    <w:rsid w:val="00392AC2"/>
    <w:rsid w:val="003A0B81"/>
    <w:rsid w:val="003A57DA"/>
    <w:rsid w:val="003A606F"/>
    <w:rsid w:val="003A74B7"/>
    <w:rsid w:val="003B0A15"/>
    <w:rsid w:val="003B2692"/>
    <w:rsid w:val="003B3277"/>
    <w:rsid w:val="003B4665"/>
    <w:rsid w:val="003C0EF3"/>
    <w:rsid w:val="003C2CDF"/>
    <w:rsid w:val="003C6385"/>
    <w:rsid w:val="003C69DD"/>
    <w:rsid w:val="003D3455"/>
    <w:rsid w:val="003D4369"/>
    <w:rsid w:val="003D46A5"/>
    <w:rsid w:val="003D4B50"/>
    <w:rsid w:val="003D66BD"/>
    <w:rsid w:val="003E1C5E"/>
    <w:rsid w:val="003E4795"/>
    <w:rsid w:val="003F0366"/>
    <w:rsid w:val="003F06B9"/>
    <w:rsid w:val="003F3494"/>
    <w:rsid w:val="003F479C"/>
    <w:rsid w:val="003F5AEC"/>
    <w:rsid w:val="003F602C"/>
    <w:rsid w:val="0040098B"/>
    <w:rsid w:val="00402753"/>
    <w:rsid w:val="00403563"/>
    <w:rsid w:val="00404F7F"/>
    <w:rsid w:val="00405427"/>
    <w:rsid w:val="00406D9D"/>
    <w:rsid w:val="00407F67"/>
    <w:rsid w:val="00415D20"/>
    <w:rsid w:val="0041688E"/>
    <w:rsid w:val="00416AEA"/>
    <w:rsid w:val="00416C98"/>
    <w:rsid w:val="00416EE9"/>
    <w:rsid w:val="0042081D"/>
    <w:rsid w:val="004226D7"/>
    <w:rsid w:val="00423508"/>
    <w:rsid w:val="00424ADA"/>
    <w:rsid w:val="00426430"/>
    <w:rsid w:val="0042684D"/>
    <w:rsid w:val="004319E6"/>
    <w:rsid w:val="00433D19"/>
    <w:rsid w:val="00436242"/>
    <w:rsid w:val="0044227C"/>
    <w:rsid w:val="004441EA"/>
    <w:rsid w:val="0044439A"/>
    <w:rsid w:val="00447762"/>
    <w:rsid w:val="00450B7A"/>
    <w:rsid w:val="004510B2"/>
    <w:rsid w:val="00452E75"/>
    <w:rsid w:val="00453309"/>
    <w:rsid w:val="0045401E"/>
    <w:rsid w:val="00455C51"/>
    <w:rsid w:val="00456535"/>
    <w:rsid w:val="00456600"/>
    <w:rsid w:val="00456A67"/>
    <w:rsid w:val="004609BE"/>
    <w:rsid w:val="0046106B"/>
    <w:rsid w:val="00463013"/>
    <w:rsid w:val="00463DBB"/>
    <w:rsid w:val="00464544"/>
    <w:rsid w:val="00464F3F"/>
    <w:rsid w:val="00465DC4"/>
    <w:rsid w:val="00467362"/>
    <w:rsid w:val="00467924"/>
    <w:rsid w:val="0047134A"/>
    <w:rsid w:val="00471B82"/>
    <w:rsid w:val="004763AA"/>
    <w:rsid w:val="00486407"/>
    <w:rsid w:val="004908F1"/>
    <w:rsid w:val="00493212"/>
    <w:rsid w:val="004A002F"/>
    <w:rsid w:val="004A1C0D"/>
    <w:rsid w:val="004A25A7"/>
    <w:rsid w:val="004A2737"/>
    <w:rsid w:val="004A417F"/>
    <w:rsid w:val="004A41FB"/>
    <w:rsid w:val="004A4455"/>
    <w:rsid w:val="004B19B6"/>
    <w:rsid w:val="004B3629"/>
    <w:rsid w:val="004B4F60"/>
    <w:rsid w:val="004B5A39"/>
    <w:rsid w:val="004C0D54"/>
    <w:rsid w:val="004C1457"/>
    <w:rsid w:val="004C2725"/>
    <w:rsid w:val="004C73F6"/>
    <w:rsid w:val="004D0CC7"/>
    <w:rsid w:val="004D1903"/>
    <w:rsid w:val="004D2122"/>
    <w:rsid w:val="004D50F3"/>
    <w:rsid w:val="004D5354"/>
    <w:rsid w:val="004D578B"/>
    <w:rsid w:val="004D57DB"/>
    <w:rsid w:val="004D5A7C"/>
    <w:rsid w:val="004D6574"/>
    <w:rsid w:val="004D7BB2"/>
    <w:rsid w:val="004E039F"/>
    <w:rsid w:val="004E053D"/>
    <w:rsid w:val="004E0543"/>
    <w:rsid w:val="004E25E2"/>
    <w:rsid w:val="004E3670"/>
    <w:rsid w:val="004E3BF3"/>
    <w:rsid w:val="004E4375"/>
    <w:rsid w:val="004E514D"/>
    <w:rsid w:val="004E664B"/>
    <w:rsid w:val="004E7219"/>
    <w:rsid w:val="004E7872"/>
    <w:rsid w:val="004E799B"/>
    <w:rsid w:val="004F10E4"/>
    <w:rsid w:val="004F4FC5"/>
    <w:rsid w:val="004F5F2B"/>
    <w:rsid w:val="004F656D"/>
    <w:rsid w:val="004F7ECA"/>
    <w:rsid w:val="0050050B"/>
    <w:rsid w:val="0050128F"/>
    <w:rsid w:val="005030B7"/>
    <w:rsid w:val="00503853"/>
    <w:rsid w:val="00504191"/>
    <w:rsid w:val="00512A6B"/>
    <w:rsid w:val="00513957"/>
    <w:rsid w:val="0051552D"/>
    <w:rsid w:val="00517459"/>
    <w:rsid w:val="00521A31"/>
    <w:rsid w:val="00522CB9"/>
    <w:rsid w:val="00523279"/>
    <w:rsid w:val="0052392A"/>
    <w:rsid w:val="00523965"/>
    <w:rsid w:val="00525892"/>
    <w:rsid w:val="0052598A"/>
    <w:rsid w:val="0052662F"/>
    <w:rsid w:val="005319A4"/>
    <w:rsid w:val="0053398D"/>
    <w:rsid w:val="00534628"/>
    <w:rsid w:val="0053503C"/>
    <w:rsid w:val="005403F2"/>
    <w:rsid w:val="00542983"/>
    <w:rsid w:val="00543269"/>
    <w:rsid w:val="00544554"/>
    <w:rsid w:val="00544A7C"/>
    <w:rsid w:val="00546B9C"/>
    <w:rsid w:val="0055003D"/>
    <w:rsid w:val="00551364"/>
    <w:rsid w:val="00552AF7"/>
    <w:rsid w:val="00553801"/>
    <w:rsid w:val="005539C6"/>
    <w:rsid w:val="00556C60"/>
    <w:rsid w:val="0056066B"/>
    <w:rsid w:val="005623F5"/>
    <w:rsid w:val="00562455"/>
    <w:rsid w:val="0056344B"/>
    <w:rsid w:val="00563A0B"/>
    <w:rsid w:val="00564E8C"/>
    <w:rsid w:val="005717E9"/>
    <w:rsid w:val="005742D9"/>
    <w:rsid w:val="00574EC5"/>
    <w:rsid w:val="00576F77"/>
    <w:rsid w:val="00583F60"/>
    <w:rsid w:val="0058424C"/>
    <w:rsid w:val="00584EAB"/>
    <w:rsid w:val="0058616F"/>
    <w:rsid w:val="005938AF"/>
    <w:rsid w:val="0059770F"/>
    <w:rsid w:val="00597B7F"/>
    <w:rsid w:val="005A462A"/>
    <w:rsid w:val="005A4ACD"/>
    <w:rsid w:val="005A5043"/>
    <w:rsid w:val="005B039B"/>
    <w:rsid w:val="005B155B"/>
    <w:rsid w:val="005B248C"/>
    <w:rsid w:val="005B3CF6"/>
    <w:rsid w:val="005B5026"/>
    <w:rsid w:val="005C07AB"/>
    <w:rsid w:val="005C2FFD"/>
    <w:rsid w:val="005C58F7"/>
    <w:rsid w:val="005C7276"/>
    <w:rsid w:val="005D25D3"/>
    <w:rsid w:val="005D2740"/>
    <w:rsid w:val="005D704A"/>
    <w:rsid w:val="005D7C59"/>
    <w:rsid w:val="005E0107"/>
    <w:rsid w:val="005E090C"/>
    <w:rsid w:val="005E19C4"/>
    <w:rsid w:val="005E2831"/>
    <w:rsid w:val="005E3E65"/>
    <w:rsid w:val="005E4881"/>
    <w:rsid w:val="005F1CF1"/>
    <w:rsid w:val="005F279F"/>
    <w:rsid w:val="005F3B41"/>
    <w:rsid w:val="005F4BD2"/>
    <w:rsid w:val="005F65B4"/>
    <w:rsid w:val="005F673F"/>
    <w:rsid w:val="005F6802"/>
    <w:rsid w:val="005F6D3C"/>
    <w:rsid w:val="005F75ED"/>
    <w:rsid w:val="005F78EB"/>
    <w:rsid w:val="005F7CFF"/>
    <w:rsid w:val="00602221"/>
    <w:rsid w:val="00602232"/>
    <w:rsid w:val="006054E5"/>
    <w:rsid w:val="00607CC8"/>
    <w:rsid w:val="00610F49"/>
    <w:rsid w:val="00611BD0"/>
    <w:rsid w:val="006137A4"/>
    <w:rsid w:val="00614132"/>
    <w:rsid w:val="00614964"/>
    <w:rsid w:val="00615980"/>
    <w:rsid w:val="00620010"/>
    <w:rsid w:val="00620D19"/>
    <w:rsid w:val="006217C8"/>
    <w:rsid w:val="006221EC"/>
    <w:rsid w:val="006232CF"/>
    <w:rsid w:val="00624E80"/>
    <w:rsid w:val="006252BE"/>
    <w:rsid w:val="006273F5"/>
    <w:rsid w:val="006335D0"/>
    <w:rsid w:val="00634818"/>
    <w:rsid w:val="00636727"/>
    <w:rsid w:val="00636F6F"/>
    <w:rsid w:val="0064310D"/>
    <w:rsid w:val="00644276"/>
    <w:rsid w:val="00650F76"/>
    <w:rsid w:val="006511B1"/>
    <w:rsid w:val="006514B7"/>
    <w:rsid w:val="00651C6F"/>
    <w:rsid w:val="00652414"/>
    <w:rsid w:val="00652B5E"/>
    <w:rsid w:val="00653204"/>
    <w:rsid w:val="00654036"/>
    <w:rsid w:val="00654549"/>
    <w:rsid w:val="0065707F"/>
    <w:rsid w:val="0066033C"/>
    <w:rsid w:val="00660924"/>
    <w:rsid w:val="00660A27"/>
    <w:rsid w:val="00661489"/>
    <w:rsid w:val="00661E49"/>
    <w:rsid w:val="00662B0E"/>
    <w:rsid w:val="00664E3D"/>
    <w:rsid w:val="00665EE0"/>
    <w:rsid w:val="0067655C"/>
    <w:rsid w:val="00684AEF"/>
    <w:rsid w:val="00685FB2"/>
    <w:rsid w:val="006908D3"/>
    <w:rsid w:val="00691304"/>
    <w:rsid w:val="006913B6"/>
    <w:rsid w:val="006943AF"/>
    <w:rsid w:val="006A1C56"/>
    <w:rsid w:val="006A681B"/>
    <w:rsid w:val="006B12A4"/>
    <w:rsid w:val="006B342C"/>
    <w:rsid w:val="006B3CBD"/>
    <w:rsid w:val="006B4024"/>
    <w:rsid w:val="006B4545"/>
    <w:rsid w:val="006B4A0C"/>
    <w:rsid w:val="006B4E16"/>
    <w:rsid w:val="006B4EE8"/>
    <w:rsid w:val="006B683D"/>
    <w:rsid w:val="006B703B"/>
    <w:rsid w:val="006B7429"/>
    <w:rsid w:val="006C0DB9"/>
    <w:rsid w:val="006C53CF"/>
    <w:rsid w:val="006C6035"/>
    <w:rsid w:val="006D060D"/>
    <w:rsid w:val="006D2F95"/>
    <w:rsid w:val="006D5288"/>
    <w:rsid w:val="006D546B"/>
    <w:rsid w:val="006D640A"/>
    <w:rsid w:val="006D721C"/>
    <w:rsid w:val="006E0023"/>
    <w:rsid w:val="006E130B"/>
    <w:rsid w:val="006E238E"/>
    <w:rsid w:val="006E566D"/>
    <w:rsid w:val="006E5944"/>
    <w:rsid w:val="006E61C6"/>
    <w:rsid w:val="006E716B"/>
    <w:rsid w:val="006F215D"/>
    <w:rsid w:val="006F30C5"/>
    <w:rsid w:val="006F3FA9"/>
    <w:rsid w:val="006F6681"/>
    <w:rsid w:val="007012C0"/>
    <w:rsid w:val="00701930"/>
    <w:rsid w:val="00702E01"/>
    <w:rsid w:val="007036B9"/>
    <w:rsid w:val="007036CC"/>
    <w:rsid w:val="00703F19"/>
    <w:rsid w:val="00704F7D"/>
    <w:rsid w:val="00705048"/>
    <w:rsid w:val="007065F1"/>
    <w:rsid w:val="00707906"/>
    <w:rsid w:val="0071028C"/>
    <w:rsid w:val="00710618"/>
    <w:rsid w:val="00710E33"/>
    <w:rsid w:val="007115F5"/>
    <w:rsid w:val="00712B2C"/>
    <w:rsid w:val="007143D6"/>
    <w:rsid w:val="007157E1"/>
    <w:rsid w:val="007163CA"/>
    <w:rsid w:val="007172F7"/>
    <w:rsid w:val="00717A8C"/>
    <w:rsid w:val="00725A96"/>
    <w:rsid w:val="00726BDF"/>
    <w:rsid w:val="00734DF8"/>
    <w:rsid w:val="007403BF"/>
    <w:rsid w:val="007426FD"/>
    <w:rsid w:val="007429FA"/>
    <w:rsid w:val="00743400"/>
    <w:rsid w:val="00747448"/>
    <w:rsid w:val="00747599"/>
    <w:rsid w:val="00756852"/>
    <w:rsid w:val="00762BB9"/>
    <w:rsid w:val="007659C0"/>
    <w:rsid w:val="0076763E"/>
    <w:rsid w:val="00770099"/>
    <w:rsid w:val="007724D1"/>
    <w:rsid w:val="00775143"/>
    <w:rsid w:val="00775CAB"/>
    <w:rsid w:val="00777306"/>
    <w:rsid w:val="00777A92"/>
    <w:rsid w:val="00787F6A"/>
    <w:rsid w:val="00794031"/>
    <w:rsid w:val="007A46C1"/>
    <w:rsid w:val="007A6067"/>
    <w:rsid w:val="007A7C81"/>
    <w:rsid w:val="007B4EE7"/>
    <w:rsid w:val="007B6206"/>
    <w:rsid w:val="007B690F"/>
    <w:rsid w:val="007C3807"/>
    <w:rsid w:val="007C4AED"/>
    <w:rsid w:val="007C69AF"/>
    <w:rsid w:val="007C6D66"/>
    <w:rsid w:val="007C79AA"/>
    <w:rsid w:val="007D043C"/>
    <w:rsid w:val="007D1936"/>
    <w:rsid w:val="007D1D38"/>
    <w:rsid w:val="007D5978"/>
    <w:rsid w:val="007D6975"/>
    <w:rsid w:val="007D7046"/>
    <w:rsid w:val="007D790E"/>
    <w:rsid w:val="007D7917"/>
    <w:rsid w:val="007E19BC"/>
    <w:rsid w:val="007E5EC4"/>
    <w:rsid w:val="007E7F07"/>
    <w:rsid w:val="007F0AAC"/>
    <w:rsid w:val="007F4369"/>
    <w:rsid w:val="007F54CB"/>
    <w:rsid w:val="007F775D"/>
    <w:rsid w:val="00803A9E"/>
    <w:rsid w:val="00803C03"/>
    <w:rsid w:val="00804DC5"/>
    <w:rsid w:val="00806358"/>
    <w:rsid w:val="00806625"/>
    <w:rsid w:val="008071F7"/>
    <w:rsid w:val="0080729F"/>
    <w:rsid w:val="00807C4C"/>
    <w:rsid w:val="00810CB0"/>
    <w:rsid w:val="00811901"/>
    <w:rsid w:val="00812EB6"/>
    <w:rsid w:val="00815619"/>
    <w:rsid w:val="00815E45"/>
    <w:rsid w:val="00821985"/>
    <w:rsid w:val="008230DA"/>
    <w:rsid w:val="00824271"/>
    <w:rsid w:val="00825F7A"/>
    <w:rsid w:val="00825FA7"/>
    <w:rsid w:val="00827494"/>
    <w:rsid w:val="00827982"/>
    <w:rsid w:val="008349A3"/>
    <w:rsid w:val="00834C94"/>
    <w:rsid w:val="008373EA"/>
    <w:rsid w:val="00840917"/>
    <w:rsid w:val="00841029"/>
    <w:rsid w:val="0084522C"/>
    <w:rsid w:val="00850178"/>
    <w:rsid w:val="00850757"/>
    <w:rsid w:val="0085210D"/>
    <w:rsid w:val="00854FCC"/>
    <w:rsid w:val="00861343"/>
    <w:rsid w:val="0086463D"/>
    <w:rsid w:val="00865026"/>
    <w:rsid w:val="00867B13"/>
    <w:rsid w:val="00871CAB"/>
    <w:rsid w:val="00872C41"/>
    <w:rsid w:val="0087361F"/>
    <w:rsid w:val="0087588D"/>
    <w:rsid w:val="00875C77"/>
    <w:rsid w:val="00875D93"/>
    <w:rsid w:val="008763FD"/>
    <w:rsid w:val="00876905"/>
    <w:rsid w:val="00887135"/>
    <w:rsid w:val="00890BCD"/>
    <w:rsid w:val="00892731"/>
    <w:rsid w:val="00893D6E"/>
    <w:rsid w:val="0089402B"/>
    <w:rsid w:val="00895F6D"/>
    <w:rsid w:val="00896224"/>
    <w:rsid w:val="008A0044"/>
    <w:rsid w:val="008A1549"/>
    <w:rsid w:val="008A32BF"/>
    <w:rsid w:val="008A625B"/>
    <w:rsid w:val="008A6A8C"/>
    <w:rsid w:val="008A765A"/>
    <w:rsid w:val="008B17C9"/>
    <w:rsid w:val="008B19CA"/>
    <w:rsid w:val="008B1D6D"/>
    <w:rsid w:val="008B3575"/>
    <w:rsid w:val="008C2D2B"/>
    <w:rsid w:val="008C3396"/>
    <w:rsid w:val="008C3407"/>
    <w:rsid w:val="008C3B72"/>
    <w:rsid w:val="008D1ACD"/>
    <w:rsid w:val="008D3344"/>
    <w:rsid w:val="008D3B53"/>
    <w:rsid w:val="008D6295"/>
    <w:rsid w:val="008E16A4"/>
    <w:rsid w:val="008E179B"/>
    <w:rsid w:val="008E2FA2"/>
    <w:rsid w:val="008E49DC"/>
    <w:rsid w:val="008E563A"/>
    <w:rsid w:val="008E5974"/>
    <w:rsid w:val="008E726F"/>
    <w:rsid w:val="008F0F82"/>
    <w:rsid w:val="008F23CB"/>
    <w:rsid w:val="008F47AB"/>
    <w:rsid w:val="008F662C"/>
    <w:rsid w:val="009004D4"/>
    <w:rsid w:val="00903035"/>
    <w:rsid w:val="00904162"/>
    <w:rsid w:val="009060CB"/>
    <w:rsid w:val="00910B86"/>
    <w:rsid w:val="00916EFA"/>
    <w:rsid w:val="00917E35"/>
    <w:rsid w:val="00917F22"/>
    <w:rsid w:val="00920F14"/>
    <w:rsid w:val="00925F96"/>
    <w:rsid w:val="00926AB4"/>
    <w:rsid w:val="00934E3C"/>
    <w:rsid w:val="00935081"/>
    <w:rsid w:val="00935CAC"/>
    <w:rsid w:val="009412FA"/>
    <w:rsid w:val="009423FC"/>
    <w:rsid w:val="009440A3"/>
    <w:rsid w:val="00950532"/>
    <w:rsid w:val="00950989"/>
    <w:rsid w:val="00950A44"/>
    <w:rsid w:val="00950CD1"/>
    <w:rsid w:val="00953058"/>
    <w:rsid w:val="0095559D"/>
    <w:rsid w:val="00956074"/>
    <w:rsid w:val="00960694"/>
    <w:rsid w:val="009670D6"/>
    <w:rsid w:val="009711BB"/>
    <w:rsid w:val="00980272"/>
    <w:rsid w:val="009804E7"/>
    <w:rsid w:val="00985437"/>
    <w:rsid w:val="00985A8D"/>
    <w:rsid w:val="00985D5B"/>
    <w:rsid w:val="00986024"/>
    <w:rsid w:val="009860DB"/>
    <w:rsid w:val="00987052"/>
    <w:rsid w:val="0099010B"/>
    <w:rsid w:val="009923E1"/>
    <w:rsid w:val="009934D7"/>
    <w:rsid w:val="009966F7"/>
    <w:rsid w:val="009A0BA1"/>
    <w:rsid w:val="009A2485"/>
    <w:rsid w:val="009A2A41"/>
    <w:rsid w:val="009A6A6A"/>
    <w:rsid w:val="009B023E"/>
    <w:rsid w:val="009B0907"/>
    <w:rsid w:val="009B24AE"/>
    <w:rsid w:val="009B5EAF"/>
    <w:rsid w:val="009B7B45"/>
    <w:rsid w:val="009C3DE9"/>
    <w:rsid w:val="009C59A0"/>
    <w:rsid w:val="009C5A96"/>
    <w:rsid w:val="009C74CA"/>
    <w:rsid w:val="009C79F3"/>
    <w:rsid w:val="009C7D4A"/>
    <w:rsid w:val="009C7EB1"/>
    <w:rsid w:val="009D0E45"/>
    <w:rsid w:val="009D6E08"/>
    <w:rsid w:val="009D744F"/>
    <w:rsid w:val="009E34F6"/>
    <w:rsid w:val="009E4C4D"/>
    <w:rsid w:val="009E667B"/>
    <w:rsid w:val="009F0D5D"/>
    <w:rsid w:val="009F222E"/>
    <w:rsid w:val="009F768E"/>
    <w:rsid w:val="00A01C61"/>
    <w:rsid w:val="00A04EE4"/>
    <w:rsid w:val="00A07DFF"/>
    <w:rsid w:val="00A13C13"/>
    <w:rsid w:val="00A13CA8"/>
    <w:rsid w:val="00A155D3"/>
    <w:rsid w:val="00A164AD"/>
    <w:rsid w:val="00A227DE"/>
    <w:rsid w:val="00A2774D"/>
    <w:rsid w:val="00A30799"/>
    <w:rsid w:val="00A34EF5"/>
    <w:rsid w:val="00A356C3"/>
    <w:rsid w:val="00A379C8"/>
    <w:rsid w:val="00A405AF"/>
    <w:rsid w:val="00A40E99"/>
    <w:rsid w:val="00A427E8"/>
    <w:rsid w:val="00A44A3F"/>
    <w:rsid w:val="00A46A66"/>
    <w:rsid w:val="00A476AD"/>
    <w:rsid w:val="00A477E4"/>
    <w:rsid w:val="00A508CB"/>
    <w:rsid w:val="00A542E3"/>
    <w:rsid w:val="00A54764"/>
    <w:rsid w:val="00A5688E"/>
    <w:rsid w:val="00A56E7C"/>
    <w:rsid w:val="00A623FA"/>
    <w:rsid w:val="00A65775"/>
    <w:rsid w:val="00A66652"/>
    <w:rsid w:val="00A678FC"/>
    <w:rsid w:val="00A67F14"/>
    <w:rsid w:val="00A70255"/>
    <w:rsid w:val="00A74904"/>
    <w:rsid w:val="00A75A99"/>
    <w:rsid w:val="00A763CC"/>
    <w:rsid w:val="00A77BCF"/>
    <w:rsid w:val="00A85A81"/>
    <w:rsid w:val="00A9414D"/>
    <w:rsid w:val="00A94DDE"/>
    <w:rsid w:val="00A95921"/>
    <w:rsid w:val="00AA27DC"/>
    <w:rsid w:val="00AA6CD3"/>
    <w:rsid w:val="00AA6F3B"/>
    <w:rsid w:val="00AB0617"/>
    <w:rsid w:val="00AB0BC8"/>
    <w:rsid w:val="00AB123B"/>
    <w:rsid w:val="00AB2D79"/>
    <w:rsid w:val="00AB2DD9"/>
    <w:rsid w:val="00AB5794"/>
    <w:rsid w:val="00AC08CE"/>
    <w:rsid w:val="00AC3680"/>
    <w:rsid w:val="00AC4603"/>
    <w:rsid w:val="00AC6719"/>
    <w:rsid w:val="00AC6E6F"/>
    <w:rsid w:val="00AD1935"/>
    <w:rsid w:val="00AD1A09"/>
    <w:rsid w:val="00AD7834"/>
    <w:rsid w:val="00AD7A82"/>
    <w:rsid w:val="00AE0A58"/>
    <w:rsid w:val="00AE2A15"/>
    <w:rsid w:val="00AE43FD"/>
    <w:rsid w:val="00AE4646"/>
    <w:rsid w:val="00AE7510"/>
    <w:rsid w:val="00AF1B68"/>
    <w:rsid w:val="00AF215D"/>
    <w:rsid w:val="00AF4889"/>
    <w:rsid w:val="00AF77E6"/>
    <w:rsid w:val="00B011E4"/>
    <w:rsid w:val="00B03683"/>
    <w:rsid w:val="00B04EF4"/>
    <w:rsid w:val="00B06DB2"/>
    <w:rsid w:val="00B07092"/>
    <w:rsid w:val="00B101BD"/>
    <w:rsid w:val="00B11EAE"/>
    <w:rsid w:val="00B133ED"/>
    <w:rsid w:val="00B15C77"/>
    <w:rsid w:val="00B2269E"/>
    <w:rsid w:val="00B2487A"/>
    <w:rsid w:val="00B256B5"/>
    <w:rsid w:val="00B25F63"/>
    <w:rsid w:val="00B31685"/>
    <w:rsid w:val="00B36AEC"/>
    <w:rsid w:val="00B377C2"/>
    <w:rsid w:val="00B37B89"/>
    <w:rsid w:val="00B40E99"/>
    <w:rsid w:val="00B45602"/>
    <w:rsid w:val="00B47F50"/>
    <w:rsid w:val="00B509BB"/>
    <w:rsid w:val="00B50CA0"/>
    <w:rsid w:val="00B510E0"/>
    <w:rsid w:val="00B51181"/>
    <w:rsid w:val="00B51709"/>
    <w:rsid w:val="00B56F45"/>
    <w:rsid w:val="00B5735A"/>
    <w:rsid w:val="00B608FC"/>
    <w:rsid w:val="00B60995"/>
    <w:rsid w:val="00B63B5B"/>
    <w:rsid w:val="00B6695E"/>
    <w:rsid w:val="00B669D5"/>
    <w:rsid w:val="00B6783C"/>
    <w:rsid w:val="00B72AF4"/>
    <w:rsid w:val="00B7408F"/>
    <w:rsid w:val="00B763A5"/>
    <w:rsid w:val="00B76DEA"/>
    <w:rsid w:val="00B8022E"/>
    <w:rsid w:val="00B83EAA"/>
    <w:rsid w:val="00B84905"/>
    <w:rsid w:val="00B855F5"/>
    <w:rsid w:val="00B8647C"/>
    <w:rsid w:val="00B86B9D"/>
    <w:rsid w:val="00B90474"/>
    <w:rsid w:val="00B9165B"/>
    <w:rsid w:val="00B91D54"/>
    <w:rsid w:val="00B93535"/>
    <w:rsid w:val="00B94D5E"/>
    <w:rsid w:val="00B96C47"/>
    <w:rsid w:val="00BA17E4"/>
    <w:rsid w:val="00BA3215"/>
    <w:rsid w:val="00BA7C1B"/>
    <w:rsid w:val="00BB20C3"/>
    <w:rsid w:val="00BB37BF"/>
    <w:rsid w:val="00BB5533"/>
    <w:rsid w:val="00BB5EFD"/>
    <w:rsid w:val="00BB6BF7"/>
    <w:rsid w:val="00BC0CA6"/>
    <w:rsid w:val="00BC1CD3"/>
    <w:rsid w:val="00BC3261"/>
    <w:rsid w:val="00BC3FD0"/>
    <w:rsid w:val="00BD0353"/>
    <w:rsid w:val="00BD24EB"/>
    <w:rsid w:val="00BD291B"/>
    <w:rsid w:val="00BD399A"/>
    <w:rsid w:val="00BD63C9"/>
    <w:rsid w:val="00BD66EA"/>
    <w:rsid w:val="00BD708C"/>
    <w:rsid w:val="00BD79AA"/>
    <w:rsid w:val="00BE0EAA"/>
    <w:rsid w:val="00BE0F4A"/>
    <w:rsid w:val="00BE1816"/>
    <w:rsid w:val="00BE194F"/>
    <w:rsid w:val="00BE3CE4"/>
    <w:rsid w:val="00BE3FC4"/>
    <w:rsid w:val="00BE4E23"/>
    <w:rsid w:val="00BE7948"/>
    <w:rsid w:val="00BF116E"/>
    <w:rsid w:val="00BF1497"/>
    <w:rsid w:val="00BF1ADB"/>
    <w:rsid w:val="00BF2F6F"/>
    <w:rsid w:val="00BF549F"/>
    <w:rsid w:val="00BF55EE"/>
    <w:rsid w:val="00BF615C"/>
    <w:rsid w:val="00C02D68"/>
    <w:rsid w:val="00C040ED"/>
    <w:rsid w:val="00C050CB"/>
    <w:rsid w:val="00C06355"/>
    <w:rsid w:val="00C07082"/>
    <w:rsid w:val="00C07956"/>
    <w:rsid w:val="00C07B52"/>
    <w:rsid w:val="00C07D71"/>
    <w:rsid w:val="00C07D7B"/>
    <w:rsid w:val="00C1161C"/>
    <w:rsid w:val="00C11B8B"/>
    <w:rsid w:val="00C14AAA"/>
    <w:rsid w:val="00C1552F"/>
    <w:rsid w:val="00C21BFC"/>
    <w:rsid w:val="00C220E3"/>
    <w:rsid w:val="00C22311"/>
    <w:rsid w:val="00C22973"/>
    <w:rsid w:val="00C2526F"/>
    <w:rsid w:val="00C25482"/>
    <w:rsid w:val="00C2719B"/>
    <w:rsid w:val="00C2766B"/>
    <w:rsid w:val="00C3176E"/>
    <w:rsid w:val="00C32BCD"/>
    <w:rsid w:val="00C32C83"/>
    <w:rsid w:val="00C33D37"/>
    <w:rsid w:val="00C41615"/>
    <w:rsid w:val="00C43084"/>
    <w:rsid w:val="00C441F7"/>
    <w:rsid w:val="00C44E46"/>
    <w:rsid w:val="00C45404"/>
    <w:rsid w:val="00C45C63"/>
    <w:rsid w:val="00C47A3A"/>
    <w:rsid w:val="00C51318"/>
    <w:rsid w:val="00C51F92"/>
    <w:rsid w:val="00C54EB3"/>
    <w:rsid w:val="00C55A9C"/>
    <w:rsid w:val="00C56073"/>
    <w:rsid w:val="00C577EE"/>
    <w:rsid w:val="00C611C9"/>
    <w:rsid w:val="00C6200A"/>
    <w:rsid w:val="00C62884"/>
    <w:rsid w:val="00C66C0B"/>
    <w:rsid w:val="00C71D6B"/>
    <w:rsid w:val="00C743F6"/>
    <w:rsid w:val="00C750C0"/>
    <w:rsid w:val="00C7694A"/>
    <w:rsid w:val="00C808F2"/>
    <w:rsid w:val="00C81018"/>
    <w:rsid w:val="00C81C5B"/>
    <w:rsid w:val="00C81D11"/>
    <w:rsid w:val="00C81E1B"/>
    <w:rsid w:val="00C82D9C"/>
    <w:rsid w:val="00C83974"/>
    <w:rsid w:val="00C84E31"/>
    <w:rsid w:val="00C853EF"/>
    <w:rsid w:val="00C874E5"/>
    <w:rsid w:val="00C927B2"/>
    <w:rsid w:val="00C93FA1"/>
    <w:rsid w:val="00C96B2F"/>
    <w:rsid w:val="00CA040A"/>
    <w:rsid w:val="00CA1190"/>
    <w:rsid w:val="00CA1A74"/>
    <w:rsid w:val="00CA4090"/>
    <w:rsid w:val="00CA5506"/>
    <w:rsid w:val="00CA5E2A"/>
    <w:rsid w:val="00CA6FF7"/>
    <w:rsid w:val="00CA7F9C"/>
    <w:rsid w:val="00CB1C3F"/>
    <w:rsid w:val="00CB3AB9"/>
    <w:rsid w:val="00CB523E"/>
    <w:rsid w:val="00CC4B59"/>
    <w:rsid w:val="00CC52EC"/>
    <w:rsid w:val="00CD1EBE"/>
    <w:rsid w:val="00CD23BB"/>
    <w:rsid w:val="00CD548E"/>
    <w:rsid w:val="00CD57DA"/>
    <w:rsid w:val="00CE063A"/>
    <w:rsid w:val="00CE1ED2"/>
    <w:rsid w:val="00CE292D"/>
    <w:rsid w:val="00CE42FB"/>
    <w:rsid w:val="00CE45B6"/>
    <w:rsid w:val="00CE69BD"/>
    <w:rsid w:val="00CF024B"/>
    <w:rsid w:val="00CF0586"/>
    <w:rsid w:val="00CF1CF4"/>
    <w:rsid w:val="00CF57E7"/>
    <w:rsid w:val="00CF7695"/>
    <w:rsid w:val="00CF7798"/>
    <w:rsid w:val="00CF7AFC"/>
    <w:rsid w:val="00CF7BF1"/>
    <w:rsid w:val="00D01225"/>
    <w:rsid w:val="00D02632"/>
    <w:rsid w:val="00D03B68"/>
    <w:rsid w:val="00D06152"/>
    <w:rsid w:val="00D07BAF"/>
    <w:rsid w:val="00D136C3"/>
    <w:rsid w:val="00D156F0"/>
    <w:rsid w:val="00D23E56"/>
    <w:rsid w:val="00D2623A"/>
    <w:rsid w:val="00D26388"/>
    <w:rsid w:val="00D265B4"/>
    <w:rsid w:val="00D31DC8"/>
    <w:rsid w:val="00D339BF"/>
    <w:rsid w:val="00D35B81"/>
    <w:rsid w:val="00D35BF0"/>
    <w:rsid w:val="00D40A41"/>
    <w:rsid w:val="00D41A04"/>
    <w:rsid w:val="00D41ED1"/>
    <w:rsid w:val="00D4399C"/>
    <w:rsid w:val="00D46F70"/>
    <w:rsid w:val="00D47FF3"/>
    <w:rsid w:val="00D504A3"/>
    <w:rsid w:val="00D505B8"/>
    <w:rsid w:val="00D51161"/>
    <w:rsid w:val="00D5155E"/>
    <w:rsid w:val="00D51FBF"/>
    <w:rsid w:val="00D567C6"/>
    <w:rsid w:val="00D603CB"/>
    <w:rsid w:val="00D609D1"/>
    <w:rsid w:val="00D63EA5"/>
    <w:rsid w:val="00D65068"/>
    <w:rsid w:val="00D660C1"/>
    <w:rsid w:val="00D66FC2"/>
    <w:rsid w:val="00D67C64"/>
    <w:rsid w:val="00D67FAC"/>
    <w:rsid w:val="00D72565"/>
    <w:rsid w:val="00D74729"/>
    <w:rsid w:val="00D81D2E"/>
    <w:rsid w:val="00D824D3"/>
    <w:rsid w:val="00D827E4"/>
    <w:rsid w:val="00D8675A"/>
    <w:rsid w:val="00D872A4"/>
    <w:rsid w:val="00D904EF"/>
    <w:rsid w:val="00D911F2"/>
    <w:rsid w:val="00D93DDA"/>
    <w:rsid w:val="00D93F38"/>
    <w:rsid w:val="00D942B1"/>
    <w:rsid w:val="00D96546"/>
    <w:rsid w:val="00D96643"/>
    <w:rsid w:val="00D97C32"/>
    <w:rsid w:val="00DA12A6"/>
    <w:rsid w:val="00DA19CD"/>
    <w:rsid w:val="00DA3F93"/>
    <w:rsid w:val="00DA6911"/>
    <w:rsid w:val="00DB09FE"/>
    <w:rsid w:val="00DB1AAB"/>
    <w:rsid w:val="00DB1CB7"/>
    <w:rsid w:val="00DB6966"/>
    <w:rsid w:val="00DC08D2"/>
    <w:rsid w:val="00DC0D83"/>
    <w:rsid w:val="00DC48AE"/>
    <w:rsid w:val="00DC5519"/>
    <w:rsid w:val="00DD0598"/>
    <w:rsid w:val="00DD1A28"/>
    <w:rsid w:val="00DD2632"/>
    <w:rsid w:val="00DD5C87"/>
    <w:rsid w:val="00DD65F2"/>
    <w:rsid w:val="00DD7855"/>
    <w:rsid w:val="00DD79FB"/>
    <w:rsid w:val="00DE0B69"/>
    <w:rsid w:val="00DE0FF7"/>
    <w:rsid w:val="00DE3C90"/>
    <w:rsid w:val="00DE3D22"/>
    <w:rsid w:val="00DE3FEA"/>
    <w:rsid w:val="00DE4D7D"/>
    <w:rsid w:val="00DE5AC6"/>
    <w:rsid w:val="00DF554A"/>
    <w:rsid w:val="00DF6A22"/>
    <w:rsid w:val="00DF6F79"/>
    <w:rsid w:val="00DF7CA2"/>
    <w:rsid w:val="00E0076A"/>
    <w:rsid w:val="00E111BA"/>
    <w:rsid w:val="00E11DAD"/>
    <w:rsid w:val="00E12ADB"/>
    <w:rsid w:val="00E1370E"/>
    <w:rsid w:val="00E137C2"/>
    <w:rsid w:val="00E155DA"/>
    <w:rsid w:val="00E16463"/>
    <w:rsid w:val="00E21B31"/>
    <w:rsid w:val="00E229C5"/>
    <w:rsid w:val="00E25398"/>
    <w:rsid w:val="00E2568C"/>
    <w:rsid w:val="00E25B72"/>
    <w:rsid w:val="00E31F2A"/>
    <w:rsid w:val="00E33BD7"/>
    <w:rsid w:val="00E358A3"/>
    <w:rsid w:val="00E37721"/>
    <w:rsid w:val="00E37E77"/>
    <w:rsid w:val="00E45030"/>
    <w:rsid w:val="00E45930"/>
    <w:rsid w:val="00E50E54"/>
    <w:rsid w:val="00E5140F"/>
    <w:rsid w:val="00E52A46"/>
    <w:rsid w:val="00E5451A"/>
    <w:rsid w:val="00E54E6C"/>
    <w:rsid w:val="00E55A63"/>
    <w:rsid w:val="00E56278"/>
    <w:rsid w:val="00E56327"/>
    <w:rsid w:val="00E617F8"/>
    <w:rsid w:val="00E619E1"/>
    <w:rsid w:val="00E645EB"/>
    <w:rsid w:val="00E7157F"/>
    <w:rsid w:val="00E71F38"/>
    <w:rsid w:val="00E762B6"/>
    <w:rsid w:val="00E77C43"/>
    <w:rsid w:val="00E808DB"/>
    <w:rsid w:val="00E80F4B"/>
    <w:rsid w:val="00E820F6"/>
    <w:rsid w:val="00E82BA3"/>
    <w:rsid w:val="00E83C59"/>
    <w:rsid w:val="00E83C60"/>
    <w:rsid w:val="00E83CD1"/>
    <w:rsid w:val="00E90772"/>
    <w:rsid w:val="00E90EDE"/>
    <w:rsid w:val="00E92562"/>
    <w:rsid w:val="00E94DE1"/>
    <w:rsid w:val="00E956BF"/>
    <w:rsid w:val="00E95C5C"/>
    <w:rsid w:val="00E97B5F"/>
    <w:rsid w:val="00EA176A"/>
    <w:rsid w:val="00EA1A0A"/>
    <w:rsid w:val="00EA5DB3"/>
    <w:rsid w:val="00EB1D28"/>
    <w:rsid w:val="00EB1ECE"/>
    <w:rsid w:val="00EB2AA4"/>
    <w:rsid w:val="00EB40E2"/>
    <w:rsid w:val="00EB6096"/>
    <w:rsid w:val="00EB634C"/>
    <w:rsid w:val="00EC21EA"/>
    <w:rsid w:val="00EC3B8A"/>
    <w:rsid w:val="00EC4084"/>
    <w:rsid w:val="00EC76D5"/>
    <w:rsid w:val="00EE53F4"/>
    <w:rsid w:val="00EE667C"/>
    <w:rsid w:val="00EF0A90"/>
    <w:rsid w:val="00EF1ECC"/>
    <w:rsid w:val="00EF26DC"/>
    <w:rsid w:val="00EF28BA"/>
    <w:rsid w:val="00EF2D8F"/>
    <w:rsid w:val="00F00CA9"/>
    <w:rsid w:val="00F03ED2"/>
    <w:rsid w:val="00F04AEE"/>
    <w:rsid w:val="00F04FC9"/>
    <w:rsid w:val="00F0573C"/>
    <w:rsid w:val="00F06A02"/>
    <w:rsid w:val="00F110BA"/>
    <w:rsid w:val="00F112FC"/>
    <w:rsid w:val="00F11899"/>
    <w:rsid w:val="00F1225B"/>
    <w:rsid w:val="00F122BB"/>
    <w:rsid w:val="00F140FF"/>
    <w:rsid w:val="00F156F3"/>
    <w:rsid w:val="00F16B5D"/>
    <w:rsid w:val="00F20985"/>
    <w:rsid w:val="00F2191E"/>
    <w:rsid w:val="00F21BA7"/>
    <w:rsid w:val="00F221C4"/>
    <w:rsid w:val="00F26121"/>
    <w:rsid w:val="00F30C90"/>
    <w:rsid w:val="00F34CD9"/>
    <w:rsid w:val="00F35A29"/>
    <w:rsid w:val="00F41193"/>
    <w:rsid w:val="00F41795"/>
    <w:rsid w:val="00F424E6"/>
    <w:rsid w:val="00F450AF"/>
    <w:rsid w:val="00F47FCC"/>
    <w:rsid w:val="00F50280"/>
    <w:rsid w:val="00F50F80"/>
    <w:rsid w:val="00F54085"/>
    <w:rsid w:val="00F544A6"/>
    <w:rsid w:val="00F55022"/>
    <w:rsid w:val="00F56A92"/>
    <w:rsid w:val="00F57825"/>
    <w:rsid w:val="00F57C7A"/>
    <w:rsid w:val="00F60474"/>
    <w:rsid w:val="00F63E39"/>
    <w:rsid w:val="00F64BAE"/>
    <w:rsid w:val="00F65CEF"/>
    <w:rsid w:val="00F670B7"/>
    <w:rsid w:val="00F72D5F"/>
    <w:rsid w:val="00F8117A"/>
    <w:rsid w:val="00F81B2F"/>
    <w:rsid w:val="00F85E26"/>
    <w:rsid w:val="00F87957"/>
    <w:rsid w:val="00F97203"/>
    <w:rsid w:val="00F972A2"/>
    <w:rsid w:val="00F97B52"/>
    <w:rsid w:val="00FA0597"/>
    <w:rsid w:val="00FA1922"/>
    <w:rsid w:val="00FA2F9E"/>
    <w:rsid w:val="00FA321D"/>
    <w:rsid w:val="00FA36B8"/>
    <w:rsid w:val="00FA6394"/>
    <w:rsid w:val="00FA715E"/>
    <w:rsid w:val="00FB0F22"/>
    <w:rsid w:val="00FB2700"/>
    <w:rsid w:val="00FB3D83"/>
    <w:rsid w:val="00FB415E"/>
    <w:rsid w:val="00FC0473"/>
    <w:rsid w:val="00FC1BEE"/>
    <w:rsid w:val="00FC48AB"/>
    <w:rsid w:val="00FC60E2"/>
    <w:rsid w:val="00FC7783"/>
    <w:rsid w:val="00FC7C0A"/>
    <w:rsid w:val="00FD01B0"/>
    <w:rsid w:val="00FD14F3"/>
    <w:rsid w:val="00FD5083"/>
    <w:rsid w:val="00FD63B7"/>
    <w:rsid w:val="00FD7691"/>
    <w:rsid w:val="00FE2F6B"/>
    <w:rsid w:val="00FE4612"/>
    <w:rsid w:val="00FE4F78"/>
    <w:rsid w:val="00FE64AD"/>
    <w:rsid w:val="00FE64B5"/>
    <w:rsid w:val="00FE67F5"/>
    <w:rsid w:val="00FE712E"/>
    <w:rsid w:val="00FF3ABE"/>
    <w:rsid w:val="00FF55A1"/>
    <w:rsid w:val="00FF5A97"/>
    <w:rsid w:val="00FF61D8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44742"/>
  <w15:docId w15:val="{A94129C8-DD1F-4BBB-9835-624E2C2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8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161"/>
    <w:rPr>
      <w:vertAlign w:val="superscript"/>
    </w:rPr>
  </w:style>
  <w:style w:type="paragraph" w:styleId="Poprawka">
    <w:name w:val="Revision"/>
    <w:hidden/>
    <w:uiPriority w:val="99"/>
    <w:semiHidden/>
    <w:rsid w:val="0077009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C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C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chal.wrzosek@budimex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E1AF6-A0EE-41F2-A491-45D0E3D876B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2312</Words>
  <Characters>13872</Characters>
  <Application>Microsoft Office Word</Application>
  <DocSecurity>4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Wójcik</dc:creator>
  <cp:lastModifiedBy>Michał</cp:lastModifiedBy>
  <cp:revision>2</cp:revision>
  <cp:lastPrinted>2023-02-28T06:26:00Z</cp:lastPrinted>
  <dcterms:created xsi:type="dcterms:W3CDTF">2023-02-28T06:29:00Z</dcterms:created>
  <dcterms:modified xsi:type="dcterms:W3CDTF">2023-02-28T06:29:00Z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2022-10-18T08:03:26Z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bd845f00-4e51-4661-bdc3-f0bf140f5268</vt:lpwstr>
  </property>
  <property fmtid="{D5CDD505-2E9C-101B-9397-08002B2CF9AE}" pid="8" name="MSIP_Label_b05923b3-4e86-4aa9-9018-d7e3c1e08536_ContentBits">
    <vt:lpwstr>0</vt:lpwstr>
  </property>
</Properties>
</file>