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5D819DD2" w:rsidR="003B1DAE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3130ED">
        <w:rPr>
          <w:rFonts w:ascii="Tahoma" w:eastAsia="Tahoma" w:hAnsi="Tahoma" w:cs="Tahoma"/>
          <w:color w:val="808080"/>
          <w:sz w:val="20"/>
          <w:szCs w:val="20"/>
        </w:rPr>
        <w:t>2 marca</w:t>
      </w:r>
      <w:r w:rsidR="00227424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2023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Style w:val="a6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3B1DAE" w14:paraId="2D6F86A2" w14:textId="77777777">
        <w:tc>
          <w:tcPr>
            <w:tcW w:w="7159" w:type="dxa"/>
          </w:tcPr>
          <w:p w14:paraId="1B44F898" w14:textId="53E3B335" w:rsidR="003B1DAE" w:rsidRDefault="009967C2" w:rsidP="00910071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63489D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kolej</w:t>
            </w:r>
            <w:r w:rsidR="00FD2F0C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</w:t>
            </w:r>
            <w:r w:rsidR="00E62DA4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W</w:t>
            </w:r>
            <w:r w:rsidR="0063489D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arszawa</w:t>
            </w:r>
          </w:p>
          <w:p w14:paraId="030C4C94" w14:textId="40C2D761" w:rsidR="00DE3C90" w:rsidRDefault="0063489D" w:rsidP="00DE3C90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Budimex podpisał</w:t>
            </w:r>
            <w:r w:rsidRPr="0063489D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umowę o współpracy z Technikum Kolejowym w Warszawie</w:t>
            </w:r>
          </w:p>
          <w:p w14:paraId="0DCD8A12" w14:textId="77777777" w:rsidR="0063489D" w:rsidRPr="00DE3C90" w:rsidRDefault="0063489D" w:rsidP="00DE3C90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4B66464C" w14:textId="05202C08" w:rsidR="006774E1" w:rsidRPr="00255B29" w:rsidRDefault="00E62DA4" w:rsidP="0021788D">
            <w:pPr>
              <w:pStyle w:val="Akapitzlist"/>
              <w:numPr>
                <w:ilvl w:val="0"/>
                <w:numId w:val="2"/>
              </w:numPr>
              <w:spacing w:after="200" w:line="360" w:lineRule="auto"/>
              <w:ind w:right="1093"/>
              <w:jc w:val="both"/>
              <w:rPr>
                <w:rFonts w:ascii="Tahoma" w:eastAsia="Tahoma" w:hAnsi="Tahoma" w:cs="Tahoma"/>
                <w:iCs/>
                <w:color w:val="7F7F7F" w:themeColor="text1" w:themeTint="80"/>
                <w:sz w:val="18"/>
                <w:szCs w:val="18"/>
              </w:rPr>
            </w:pPr>
            <w:r w:rsidRPr="00255B29">
              <w:rPr>
                <w:rFonts w:ascii="Tahoma" w:eastAsia="Tahoma" w:hAnsi="Tahoma" w:cs="Tahoma"/>
                <w:iCs/>
                <w:color w:val="7F7F7F" w:themeColor="text1" w:themeTint="80"/>
                <w:sz w:val="18"/>
                <w:szCs w:val="18"/>
              </w:rPr>
              <w:t>Współpraca</w:t>
            </w:r>
            <w:r w:rsidR="00C717BC" w:rsidRPr="00255B29">
              <w:rPr>
                <w:rFonts w:ascii="Tahoma" w:eastAsia="Tahoma" w:hAnsi="Tahoma" w:cs="Tahoma"/>
                <w:iCs/>
                <w:color w:val="7F7F7F" w:themeColor="text1" w:themeTint="80"/>
                <w:sz w:val="18"/>
                <w:szCs w:val="18"/>
              </w:rPr>
              <w:t xml:space="preserve"> pomiędzy Budimeksem a Technikum Kolejowym </w:t>
            </w:r>
            <w:r w:rsidRPr="00255B29">
              <w:rPr>
                <w:rFonts w:ascii="Tahoma" w:eastAsia="Tahoma" w:hAnsi="Tahoma" w:cs="Tahoma"/>
                <w:iCs/>
                <w:color w:val="7F7F7F" w:themeColor="text1" w:themeTint="80"/>
                <w:sz w:val="18"/>
                <w:szCs w:val="18"/>
              </w:rPr>
              <w:t>ma </w:t>
            </w:r>
            <w:r w:rsidR="00C717BC" w:rsidRPr="00255B29">
              <w:rPr>
                <w:rFonts w:ascii="Tahoma" w:eastAsia="Tahoma" w:hAnsi="Tahoma" w:cs="Tahoma"/>
                <w:iCs/>
                <w:color w:val="7F7F7F" w:themeColor="text1" w:themeTint="80"/>
                <w:sz w:val="18"/>
                <w:szCs w:val="18"/>
              </w:rPr>
              <w:t>na celu stałą wymianę doświadczeń i</w:t>
            </w:r>
            <w:r w:rsidRPr="00255B29">
              <w:rPr>
                <w:rFonts w:ascii="Tahoma" w:eastAsia="Tahoma" w:hAnsi="Tahoma" w:cs="Tahoma"/>
                <w:iCs/>
                <w:color w:val="7F7F7F" w:themeColor="text1" w:themeTint="80"/>
                <w:sz w:val="18"/>
                <w:szCs w:val="18"/>
              </w:rPr>
              <w:t xml:space="preserve"> realizację wspólnych przedsięwzięć naukowo-edukacyjnych</w:t>
            </w:r>
          </w:p>
          <w:p w14:paraId="6A7E94C2" w14:textId="22998B9E" w:rsidR="00255B29" w:rsidRPr="00255B29" w:rsidRDefault="00255B29" w:rsidP="0021788D">
            <w:pPr>
              <w:pStyle w:val="Akapitzlist"/>
              <w:numPr>
                <w:ilvl w:val="0"/>
                <w:numId w:val="2"/>
              </w:numPr>
              <w:spacing w:after="200" w:line="360" w:lineRule="auto"/>
              <w:ind w:right="1093"/>
              <w:jc w:val="both"/>
              <w:rPr>
                <w:rFonts w:ascii="Tahoma" w:eastAsia="Tahoma" w:hAnsi="Tahoma" w:cs="Tahoma"/>
                <w:iCs/>
                <w:color w:val="7F7F7F" w:themeColor="text1" w:themeTint="80"/>
                <w:sz w:val="18"/>
                <w:szCs w:val="18"/>
              </w:rPr>
            </w:pPr>
            <w:r w:rsidRPr="00255B29">
              <w:rPr>
                <w:rFonts w:ascii="Tahoma" w:eastAsia="Tahoma" w:hAnsi="Tahoma" w:cs="Tahoma"/>
                <w:iCs/>
                <w:color w:val="7F7F7F" w:themeColor="text1" w:themeTint="80"/>
                <w:sz w:val="18"/>
                <w:szCs w:val="18"/>
              </w:rPr>
              <w:t>W ciągu najbliższych lat na praktyki zawodowe trafi kilkudziesięciu najlepszych ‎absolwentów  i uczniów szkoły</w:t>
            </w:r>
          </w:p>
          <w:p w14:paraId="49A2C28A" w14:textId="778DFC92" w:rsidR="00455AF7" w:rsidRDefault="00455AF7" w:rsidP="0021788D">
            <w:pPr>
              <w:pStyle w:val="Akapitzlist"/>
              <w:numPr>
                <w:ilvl w:val="0"/>
                <w:numId w:val="2"/>
              </w:numPr>
              <w:spacing w:after="200" w:line="360" w:lineRule="auto"/>
              <w:ind w:right="1093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255B2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Budimex jest aktywnie zaangażowany w rozwój młodych </w:t>
            </w:r>
            <w:r w:rsidR="0045625E" w:rsidRPr="00255B2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także </w:t>
            </w:r>
            <w:r w:rsidRPr="00255B29">
              <w:rPr>
                <w:rFonts w:ascii="Tahoma" w:eastAsia="Tahoma" w:hAnsi="Tahoma" w:cs="Tahoma"/>
                <w:color w:val="747678"/>
                <w:sz w:val="18"/>
                <w:szCs w:val="18"/>
              </w:rPr>
              <w:t>poprzez</w:t>
            </w:r>
            <w:r w:rsidR="0045625E" w:rsidRPr="00255B2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inne</w:t>
            </w:r>
            <w:r w:rsidRPr="00255B29">
              <w:rPr>
                <w:rFonts w:ascii="Tahoma" w:eastAsia="Tahoma" w:hAnsi="Tahoma" w:cs="Tahoma"/>
                <w:color w:val="747678"/>
                <w:sz w:val="18"/>
                <w:szCs w:val="18"/>
              </w:rPr>
              <w:t> dedykowane projekty</w:t>
            </w:r>
          </w:p>
          <w:p w14:paraId="1D1F5484" w14:textId="77777777" w:rsidR="0021788D" w:rsidRPr="00255B29" w:rsidRDefault="0021788D" w:rsidP="0021788D">
            <w:pPr>
              <w:pStyle w:val="Akapitzlist"/>
              <w:spacing w:after="200" w:line="360" w:lineRule="auto"/>
              <w:ind w:right="1093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383CD01C" w14:textId="4B078E87" w:rsidR="00255B29" w:rsidRDefault="0045625E" w:rsidP="0063489D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W dniu 2 marca 2023 roku, </w:t>
            </w:r>
            <w:r w:rsidR="004B4585" w:rsidRPr="004B4585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w ramach działań skierowanych do </w:t>
            </w:r>
            <w:r w:rsidR="00C717BC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uczniów szkół średnich</w:t>
            </w:r>
            <w:r w:rsidR="004B4585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Budimex </w:t>
            </w:r>
            <w:r w:rsidR="004B4585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podpisał umowę o współpracy z Technikum Kolejowym w Warszawie. </w:t>
            </w: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Ma</w:t>
            </w:r>
            <w:r w:rsidR="00455AF7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ona </w:t>
            </w:r>
            <w:r w:rsidR="004B4585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obejmować</w:t>
            </w:r>
            <w:r w:rsidR="00455AF7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</w:t>
            </w:r>
            <w:r w:rsidR="004B4585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wspólne działania</w:t>
            </w: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w obszarze</w:t>
            </w:r>
            <w:r w:rsidR="00455AF7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naukowo-technicznym</w:t>
            </w:r>
            <w:r w:rsidR="0063489D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</w:t>
            </w:r>
            <w:r w:rsidR="00C717BC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oraz </w:t>
            </w:r>
            <w:r w:rsidR="0063489D" w:rsidRPr="0063489D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przedsięwzięć</w:t>
            </w:r>
            <w:r w:rsidR="001B65C3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</w:t>
            </w:r>
            <w:r w:rsidR="00455AF7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 </w:t>
            </w:r>
            <w:r w:rsidR="00C717BC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szkoleniowych</w:t>
            </w:r>
            <w:r w:rsidR="00255B29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. </w:t>
            </w:r>
            <w:r w:rsidR="00255B29" w:rsidRPr="00255B29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Jednocześnie największa polska firma budowlana otworzy się na absolwentów Technikum i stworzy im nowe możliwości zawodowe. </w:t>
            </w:r>
          </w:p>
          <w:p w14:paraId="366FA417" w14:textId="77777777" w:rsidR="00255B29" w:rsidRDefault="00255B29" w:rsidP="0063489D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</w:p>
          <w:p w14:paraId="7F27D929" w14:textId="679F4170" w:rsidR="00900FB4" w:rsidRPr="00255B29" w:rsidRDefault="00255B29" w:rsidP="0063489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255B2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Jest o co walczyć. Do 2030 roku modernizacja i budowa nowej infrastruktury kolejowej osiągnie wartość 100 mld zł! W ciągu najbliższych lat na praktyki zawodowe trafi kilkudziesięciu najlepszych absolwentów  i uczniów szkoły.</w:t>
            </w:r>
          </w:p>
          <w:p w14:paraId="72CB5FBB" w14:textId="7BBD4B8C" w:rsidR="00A62C3A" w:rsidRDefault="00A62C3A" w:rsidP="00EC75C0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285CB681" w14:textId="16084367" w:rsidR="0063489D" w:rsidRDefault="0063489D" w:rsidP="0063489D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63489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Współpraca pomiędzy </w:t>
            </w:r>
            <w:r w:rsidR="004B4585">
              <w:rPr>
                <w:rFonts w:ascii="Tahoma" w:eastAsia="Tahoma" w:hAnsi="Tahoma" w:cs="Tahoma"/>
                <w:color w:val="747678"/>
                <w:sz w:val="18"/>
                <w:szCs w:val="18"/>
              </w:rPr>
              <w:t>Budimeksem</w:t>
            </w:r>
            <w:r w:rsidR="00D42D4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jako Partnerem Merytorycznym</w:t>
            </w:r>
            <w:r w:rsidR="004B458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a</w:t>
            </w:r>
            <w:r w:rsidRPr="0063489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4B4585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Technikum Kolejowym </w:t>
            </w:r>
            <w:r w:rsidR="00455AF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w Warszawie </w:t>
            </w:r>
            <w:r w:rsidR="00455AF7">
              <w:rPr>
                <w:rFonts w:ascii="Tahoma" w:eastAsia="Tahoma" w:hAnsi="Tahoma" w:cs="Tahoma"/>
                <w:color w:val="747678"/>
                <w:sz w:val="18"/>
                <w:szCs w:val="18"/>
              </w:rPr>
              <w:t>ma na </w:t>
            </w:r>
            <w:r w:rsidRPr="0063489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celu </w:t>
            </w:r>
            <w:r w:rsidR="0091007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przede wszystkim </w:t>
            </w:r>
            <w:r w:rsidRPr="0063489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wzajemne </w:t>
            </w:r>
            <w:r w:rsidR="00E62DA4">
              <w:rPr>
                <w:rFonts w:ascii="Tahoma" w:eastAsia="Tahoma" w:hAnsi="Tahoma" w:cs="Tahoma"/>
                <w:color w:val="747678"/>
                <w:sz w:val="18"/>
                <w:szCs w:val="18"/>
              </w:rPr>
              <w:t>wsparcie</w:t>
            </w:r>
            <w:r w:rsidR="00C717BC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 </w:t>
            </w:r>
            <w:r w:rsidR="00455AF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 </w:t>
            </w:r>
            <w:r w:rsidR="00910071" w:rsidRPr="0091007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zakresie</w:t>
            </w:r>
            <w:r w:rsidR="00910071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C717BC" w:rsidRPr="00C717BC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takim jak</w:t>
            </w:r>
            <w:r w:rsidR="00E62DA4">
              <w:rPr>
                <w:rFonts w:ascii="Tahoma" w:eastAsia="Tahoma" w:hAnsi="Tahoma" w:cs="Tahoma"/>
                <w:color w:val="747678"/>
                <w:sz w:val="18"/>
                <w:szCs w:val="18"/>
              </w:rPr>
              <w:t> </w:t>
            </w:r>
            <w:r w:rsidR="00910071">
              <w:rPr>
                <w:rFonts w:ascii="Tahoma" w:eastAsia="Tahoma" w:hAnsi="Tahoma" w:cs="Tahoma"/>
                <w:color w:val="747678"/>
                <w:sz w:val="18"/>
                <w:szCs w:val="18"/>
              </w:rPr>
              <w:t>o</w:t>
            </w:r>
            <w:r w:rsidR="00455AF7">
              <w:rPr>
                <w:rFonts w:ascii="Tahoma" w:eastAsia="Tahoma" w:hAnsi="Tahoma" w:cs="Tahoma"/>
                <w:color w:val="747678"/>
                <w:sz w:val="18"/>
                <w:szCs w:val="18"/>
              </w:rPr>
              <w:t>rganizacja i </w:t>
            </w:r>
            <w:r w:rsidR="00C717BC">
              <w:rPr>
                <w:rFonts w:ascii="Tahoma" w:eastAsia="Tahoma" w:hAnsi="Tahoma" w:cs="Tahoma"/>
                <w:color w:val="747678"/>
                <w:sz w:val="18"/>
                <w:szCs w:val="18"/>
              </w:rPr>
              <w:t>udział</w:t>
            </w:r>
            <w:r w:rsidR="00455AF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 konferencjach oraz </w:t>
            </w:r>
            <w:r w:rsidR="004B4585">
              <w:rPr>
                <w:rFonts w:ascii="Tahoma" w:eastAsia="Tahoma" w:hAnsi="Tahoma" w:cs="Tahoma"/>
                <w:color w:val="747678"/>
                <w:sz w:val="18"/>
                <w:szCs w:val="18"/>
              </w:rPr>
              <w:t>wykładach naukowo-technicznych,</w:t>
            </w:r>
            <w:r w:rsidR="00A2605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0C1AA1">
              <w:rPr>
                <w:rFonts w:ascii="Tahoma" w:eastAsia="Tahoma" w:hAnsi="Tahoma" w:cs="Tahoma"/>
                <w:color w:val="747678"/>
                <w:sz w:val="18"/>
                <w:szCs w:val="18"/>
              </w:rPr>
              <w:t>a </w:t>
            </w:r>
            <w:r w:rsidR="00455AF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także </w:t>
            </w:r>
            <w:r w:rsidR="00C717BC">
              <w:rPr>
                <w:rFonts w:ascii="Tahoma" w:eastAsia="Tahoma" w:hAnsi="Tahoma" w:cs="Tahoma"/>
                <w:color w:val="747678"/>
                <w:sz w:val="18"/>
                <w:szCs w:val="18"/>
              </w:rPr>
              <w:t>organizacja</w:t>
            </w:r>
            <w:r w:rsidR="00E62DA4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Dni </w:t>
            </w:r>
            <w:r w:rsidRPr="0063489D">
              <w:rPr>
                <w:rFonts w:ascii="Tahoma" w:eastAsia="Tahoma" w:hAnsi="Tahoma" w:cs="Tahoma"/>
                <w:color w:val="747678"/>
                <w:sz w:val="18"/>
                <w:szCs w:val="18"/>
              </w:rPr>
              <w:t>Otwartych</w:t>
            </w:r>
            <w:r w:rsidR="0091007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63489D">
              <w:rPr>
                <w:rFonts w:ascii="Tahoma" w:eastAsia="Tahoma" w:hAnsi="Tahoma" w:cs="Tahoma"/>
                <w:color w:val="747678"/>
                <w:sz w:val="18"/>
                <w:szCs w:val="18"/>
              </w:rPr>
              <w:t>na wybranych inwestycjach</w:t>
            </w:r>
            <w:r w:rsidR="0091007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realizowanych przez</w:t>
            </w:r>
            <w:r w:rsidRPr="0063489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455AF7">
              <w:rPr>
                <w:rFonts w:ascii="Tahoma" w:eastAsia="Tahoma" w:hAnsi="Tahoma" w:cs="Tahoma"/>
                <w:color w:val="747678"/>
                <w:sz w:val="18"/>
                <w:szCs w:val="18"/>
              </w:rPr>
              <w:t>generalnego wykonawcę</w:t>
            </w:r>
            <w:r w:rsidR="00C717BC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</w:p>
          <w:p w14:paraId="560E8E46" w14:textId="0774F4B1" w:rsidR="002B6F82" w:rsidRDefault="002B6F82" w:rsidP="0063489D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2CDBD4F0" w14:textId="0A165C9F" w:rsidR="002B6F82" w:rsidRDefault="002B6F82" w:rsidP="0063489D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To część większego programu </w:t>
            </w:r>
            <w:r w:rsidR="002B3398">
              <w:rPr>
                <w:rFonts w:ascii="Tahoma" w:eastAsia="Tahoma" w:hAnsi="Tahoma" w:cs="Tahoma"/>
                <w:color w:val="747678"/>
                <w:sz w:val="18"/>
                <w:szCs w:val="18"/>
              </w:rPr>
              <w:t>„</w:t>
            </w:r>
            <w:r w:rsidR="002B3398" w:rsidRPr="002B3398">
              <w:rPr>
                <w:rFonts w:ascii="Tahoma" w:eastAsia="Tahoma" w:hAnsi="Tahoma" w:cs="Tahoma"/>
                <w:color w:val="747678"/>
                <w:sz w:val="18"/>
                <w:szCs w:val="18"/>
              </w:rPr>
              <w:t>Ucz się i buduj praktykę</w:t>
            </w:r>
            <w:r w:rsidR="002B339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”. W jego ramach Budimex rozpoczął ścisłą współpracę z </w:t>
            </w:r>
            <w:r w:rsidR="00C0050C">
              <w:rPr>
                <w:rFonts w:ascii="Tahoma" w:eastAsia="Tahoma" w:hAnsi="Tahoma" w:cs="Tahoma"/>
                <w:color w:val="747678"/>
                <w:sz w:val="18"/>
                <w:szCs w:val="18"/>
              </w:rPr>
              <w:t>dziesiątkami techników w całej Polsce</w:t>
            </w:r>
            <w:r w:rsidR="00F1595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. W ramach współpracy uczniowie techników będą doskonalić swoją wiedze w oparciu o współpracę z doświadczonymi inżynierami różnych specjalizacji oraz móc zdobyć staż na ponad 200 budowach realizowanych przez Budimex w Polsce i za granicą. </w:t>
            </w:r>
          </w:p>
          <w:p w14:paraId="6B711597" w14:textId="77777777" w:rsidR="00910071" w:rsidRDefault="00910071" w:rsidP="0063489D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0A0B3FDC" w14:textId="5691E76A" w:rsidR="00C717BC" w:rsidRPr="00455AF7" w:rsidRDefault="00455AF7" w:rsidP="00C717BC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455AF7">
              <w:rPr>
                <w:rFonts w:ascii="Tahoma" w:eastAsia="Tahoma" w:hAnsi="Tahoma" w:cs="Tahoma"/>
                <w:color w:val="747678"/>
                <w:sz w:val="18"/>
                <w:szCs w:val="18"/>
              </w:rPr>
              <w:lastRenderedPageBreak/>
              <w:t xml:space="preserve">Budimex jest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od wielu lat </w:t>
            </w:r>
            <w:r w:rsidRPr="00455AF7">
              <w:rPr>
                <w:rFonts w:ascii="Tahoma" w:eastAsia="Tahoma" w:hAnsi="Tahoma" w:cs="Tahoma"/>
                <w:color w:val="747678"/>
                <w:sz w:val="18"/>
                <w:szCs w:val="18"/>
              </w:rPr>
              <w:t>aktywnie zaangażowany w rozwój młodych poprzez </w:t>
            </w:r>
            <w:r w:rsidR="0045625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poszczególne </w:t>
            </w:r>
            <w:r w:rsidRPr="00455AF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dedykowane projekty. </w:t>
            </w:r>
            <w:r w:rsidR="00C717BC" w:rsidRPr="00455AF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 celu poznania planów na przyszłość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uczniów i </w:t>
            </w:r>
            <w:r w:rsidR="00C717BC" w:rsidRPr="00455AF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uczennic techników budowlanych oraz rozwinięcia ich kompetencji, Budimex nawiązał również współpracę z Fundacją Zwolnieni z Teorii. Wspólnie odbyli trasę po szkołach w całym kraju i stworzyli autorski program „Praktyka, która z Tobą zostanie”. Wśród innych działań firmy, dużym sukcesem okazał się </w:t>
            </w:r>
            <w:r w:rsidR="000C1AA1">
              <w:rPr>
                <w:rFonts w:ascii="Tahoma" w:eastAsia="Tahoma" w:hAnsi="Tahoma" w:cs="Tahoma"/>
                <w:color w:val="747678"/>
                <w:sz w:val="18"/>
                <w:szCs w:val="18"/>
              </w:rPr>
              <w:t>również k</w:t>
            </w:r>
            <w:r w:rsidR="00C717BC" w:rsidRPr="00455AF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onkurs Budimex Startup Challenge, skierowany do innowacyjnych przedsiębiorstw i młodych spółek technologicznych oferujących produkty, usługi i rozwiązania w obszarze energetyki, </w:t>
            </w:r>
            <w:r w:rsidR="00E62DA4" w:rsidRPr="00455AF7">
              <w:rPr>
                <w:rFonts w:ascii="Tahoma" w:eastAsia="Tahoma" w:hAnsi="Tahoma" w:cs="Tahoma"/>
                <w:color w:val="747678"/>
                <w:sz w:val="18"/>
                <w:szCs w:val="18"/>
              </w:rPr>
              <w:t>odnawialnych źródeł energii i </w:t>
            </w:r>
            <w:r w:rsidR="00C717BC" w:rsidRPr="00455AF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ekologicznych technologii w budownictwie. Budimex nawiązał </w:t>
            </w:r>
            <w:r w:rsidR="00E62DA4" w:rsidRPr="00455AF7">
              <w:rPr>
                <w:rFonts w:ascii="Tahoma" w:eastAsia="Tahoma" w:hAnsi="Tahoma" w:cs="Tahoma"/>
                <w:color w:val="747678"/>
                <w:sz w:val="18"/>
                <w:szCs w:val="18"/>
              </w:rPr>
              <w:t>ponadto</w:t>
            </w:r>
            <w:r w:rsidR="00C717BC" w:rsidRPr="00455AF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współpracę z uczniami krakowskiego liceum, którzy zwyciężyli w konkursie Europejskiej Agencji Kosmicznej.</w:t>
            </w:r>
          </w:p>
          <w:p w14:paraId="3BDF8C04" w14:textId="77777777" w:rsidR="00C717BC" w:rsidRDefault="00C717BC" w:rsidP="0063489D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6DC9BFA3" w14:textId="2A0D2A19" w:rsidR="00910071" w:rsidRDefault="00910071" w:rsidP="00910071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Firma już </w:t>
            </w:r>
            <w:r w:rsidRPr="0091007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od kilkunastu lat wspiera </w:t>
            </w:r>
            <w:r w:rsidR="00E62DA4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także </w:t>
            </w:r>
            <w:r w:rsidRPr="0091007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rozwój </w:t>
            </w:r>
            <w:r w:rsidR="00E62DA4">
              <w:rPr>
                <w:rFonts w:ascii="Tahoma" w:eastAsia="Tahoma" w:hAnsi="Tahoma" w:cs="Tahoma"/>
                <w:color w:val="747678"/>
                <w:sz w:val="18"/>
                <w:szCs w:val="18"/>
              </w:rPr>
              <w:t>studentów</w:t>
            </w:r>
            <w:r w:rsidRPr="0091007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 branży, organizując dla nich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C717BC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m.in. </w:t>
            </w:r>
            <w:r w:rsidRPr="00910071">
              <w:rPr>
                <w:rFonts w:ascii="Tahoma" w:eastAsia="Tahoma" w:hAnsi="Tahoma" w:cs="Tahoma"/>
                <w:color w:val="747678"/>
                <w:sz w:val="18"/>
                <w:szCs w:val="18"/>
              </w:rPr>
              <w:t>płatne praktyki zawodowe w ramach projektu Akademia Budimex.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A81EB4">
              <w:rPr>
                <w:rFonts w:ascii="Tahoma" w:eastAsia="Tahoma" w:hAnsi="Tahoma" w:cs="Tahoma"/>
                <w:color w:val="747678"/>
                <w:sz w:val="18"/>
                <w:szCs w:val="18"/>
              </w:rPr>
              <w:br/>
              <w:t>1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marca nastąpi</w:t>
            </w:r>
            <w:r w:rsidR="00A81EB4">
              <w:rPr>
                <w:rFonts w:ascii="Tahoma" w:eastAsia="Tahoma" w:hAnsi="Tahoma" w:cs="Tahoma"/>
                <w:color w:val="747678"/>
                <w:sz w:val="18"/>
                <w:szCs w:val="18"/>
              </w:rPr>
              <w:t>ła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inauguracja kolejnej, odświeżonej odsłony</w:t>
            </w:r>
            <w:r w:rsidRPr="0091007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pr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ogramu praktyk </w:t>
            </w:r>
            <w:r w:rsidRPr="0091007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na 2023 rok pod hasłem „Praktyka jest miarą sukcesu”.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Jak co roku, generalny </w:t>
            </w:r>
            <w:r w:rsidRPr="00910071">
              <w:rPr>
                <w:rFonts w:ascii="Tahoma" w:eastAsia="Tahoma" w:hAnsi="Tahoma" w:cs="Tahoma"/>
                <w:color w:val="747678"/>
                <w:sz w:val="18"/>
                <w:szCs w:val="18"/>
              </w:rPr>
              <w:t>wykonawca ma przygotowanych 250 miejs</w:t>
            </w:r>
            <w:r w:rsidR="00C717BC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c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dla studentów z całej Polski. </w:t>
            </w:r>
            <w:r w:rsidRPr="00910071">
              <w:rPr>
                <w:rFonts w:ascii="Tahoma" w:eastAsia="Tahoma" w:hAnsi="Tahoma" w:cs="Tahoma"/>
                <w:color w:val="747678"/>
                <w:sz w:val="18"/>
                <w:szCs w:val="18"/>
              </w:rPr>
              <w:t>Program oprócz do studentów bu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downictwa skierowany jest także </w:t>
            </w:r>
            <w:r w:rsidRPr="00910071">
              <w:rPr>
                <w:rFonts w:ascii="Tahoma" w:eastAsia="Tahoma" w:hAnsi="Tahoma" w:cs="Tahoma"/>
                <w:color w:val="747678"/>
                <w:sz w:val="18"/>
                <w:szCs w:val="18"/>
              </w:rPr>
              <w:t>do osób szukających praktyk m.in. w obszarze HR, finansów, czy IT.</w:t>
            </w:r>
          </w:p>
          <w:p w14:paraId="3F9ADD23" w14:textId="77777777" w:rsidR="009C71D1" w:rsidRDefault="009C71D1" w:rsidP="001D0358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23F90B8D" w14:textId="2E2EC232" w:rsidR="009C71D1" w:rsidRDefault="009C71D1" w:rsidP="001D0358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  <w:r w:rsidRPr="009C71D1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Perspektywy rozwoju</w:t>
            </w: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w sektorze kolejowym</w:t>
            </w:r>
          </w:p>
          <w:p w14:paraId="40D20ACD" w14:textId="0AB403CB" w:rsidR="001D0358" w:rsidRPr="00CC3A35" w:rsidRDefault="009C71D1" w:rsidP="001D0358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Inwestycje kolejowe są jednym z kluczowych elementów rozwoju polskiej infrastruktury. </w:t>
            </w:r>
            <w:r w:rsidR="001D035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Podstawowy program inwestycyjny na rynku kolejowym – Krajowy Program Kolejowy (KPK) jest rocznie aktualizowany i </w:t>
            </w:r>
            <w:r w:rsidR="00CC3A3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przedłużany (ostatnio w </w:t>
            </w:r>
            <w:r w:rsidR="00E62DA4">
              <w:rPr>
                <w:rFonts w:ascii="Tahoma" w:eastAsia="Tahoma" w:hAnsi="Tahoma" w:cs="Tahoma"/>
                <w:color w:val="747678"/>
                <w:sz w:val="18"/>
                <w:szCs w:val="18"/>
              </w:rPr>
              <w:t>grudniu</w:t>
            </w:r>
            <w:r w:rsidR="00CC3A3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2022 roku)</w:t>
            </w:r>
            <w:r w:rsidR="00CC3A35" w:rsidRPr="00CC3A35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  <w:r w:rsidR="00CC3A3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CC3A35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Obecnie prowadzone są</w:t>
            </w:r>
            <w:r w:rsidR="00C717BC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prace nad aktualizacją KPK w zakresie perspektywy 2021-2027, która obejm</w:t>
            </w:r>
            <w:r w:rsidR="001E1475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uj</w:t>
            </w:r>
            <w:r w:rsidR="00C717BC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e</w:t>
            </w:r>
            <w:r w:rsidR="00CC3A35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C717BC">
              <w:rPr>
                <w:rFonts w:ascii="Tahoma" w:eastAsia="Tahoma" w:hAnsi="Tahoma" w:cs="Tahoma"/>
                <w:color w:val="747678"/>
                <w:sz w:val="18"/>
                <w:szCs w:val="18"/>
              </w:rPr>
              <w:t>p</w:t>
            </w:r>
            <w:r w:rsidR="001D0358">
              <w:rPr>
                <w:rFonts w:ascii="Tahoma" w:eastAsia="Tahoma" w:hAnsi="Tahoma" w:cs="Tahoma"/>
                <w:color w:val="747678"/>
                <w:sz w:val="18"/>
                <w:szCs w:val="18"/>
              </w:rPr>
              <w:t>lanowane</w:t>
            </w:r>
            <w:r w:rsidR="00C717BC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projekty</w:t>
            </w:r>
            <w:r w:rsidR="001D035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CC3A35">
              <w:rPr>
                <w:rFonts w:ascii="Tahoma" w:eastAsia="Tahoma" w:hAnsi="Tahoma" w:cs="Tahoma"/>
                <w:color w:val="747678"/>
                <w:sz w:val="18"/>
                <w:szCs w:val="18"/>
              </w:rPr>
              <w:t>do 2030 roku</w:t>
            </w:r>
            <w:r w:rsidR="00C717BC">
              <w:rPr>
                <w:rFonts w:ascii="Tahoma" w:eastAsia="Tahoma" w:hAnsi="Tahoma" w:cs="Tahoma"/>
                <w:color w:val="747678"/>
                <w:sz w:val="18"/>
                <w:szCs w:val="18"/>
              </w:rPr>
              <w:t>. Planowane</w:t>
            </w:r>
            <w:r w:rsidR="00CC3A3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C717BC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inwestycje to wartość </w:t>
            </w:r>
            <w:r w:rsidR="001D035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ponad 100 mld zł. Docelowe źródła finansowania </w:t>
            </w:r>
            <w:r w:rsidR="00E62DA4">
              <w:rPr>
                <w:rFonts w:ascii="Tahoma" w:eastAsia="Tahoma" w:hAnsi="Tahoma" w:cs="Tahoma"/>
                <w:color w:val="747678"/>
                <w:sz w:val="18"/>
                <w:szCs w:val="18"/>
              </w:rPr>
              <w:t>to </w:t>
            </w:r>
            <w:r w:rsidR="001D0358">
              <w:rPr>
                <w:rFonts w:ascii="Tahoma" w:eastAsia="Tahoma" w:hAnsi="Tahoma" w:cs="Tahoma"/>
                <w:color w:val="747678"/>
                <w:sz w:val="18"/>
                <w:szCs w:val="18"/>
              </w:rPr>
              <w:t>Fundusz Spójności, program CEF oraz Krajowy Program Odbudowy (KPO). Planowo 11 mld zł na projekty KPO ma zostać przeniesione do KPK. W trakcie oczekiwania na fundusze unijne, prawdopodobne jest pref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inansowanie środ</w:t>
            </w:r>
            <w:r w:rsidR="00E62DA4">
              <w:rPr>
                <w:rFonts w:ascii="Tahoma" w:eastAsia="Tahoma" w:hAnsi="Tahoma" w:cs="Tahoma"/>
                <w:color w:val="747678"/>
                <w:sz w:val="18"/>
                <w:szCs w:val="18"/>
              </w:rPr>
              <w:t>ków przez 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PFR. </w:t>
            </w:r>
            <w:r w:rsidR="008E07B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Uszczegółowiony do 2029 roku program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Kolej+ potwierdza uzależnienie inwestycji kolejowych od inwestycji unijnych. Dodatkowym pro</w:t>
            </w:r>
            <w:r w:rsidR="00E62DA4">
              <w:rPr>
                <w:rFonts w:ascii="Tahoma" w:eastAsia="Tahoma" w:hAnsi="Tahoma" w:cs="Tahoma"/>
                <w:color w:val="747678"/>
                <w:sz w:val="18"/>
                <w:szCs w:val="18"/>
              </w:rPr>
              <w:t>gramem, gdzie 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Budimex jest po prekwalifikacji jest </w:t>
            </w:r>
            <w:proofErr w:type="spellStart"/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Rail</w:t>
            </w:r>
            <w:proofErr w:type="spellEnd"/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Baltic</w:t>
            </w:r>
            <w:r w:rsidR="00255B29">
              <w:rPr>
                <w:rFonts w:ascii="Tahoma" w:eastAsia="Tahoma" w:hAnsi="Tahoma" w:cs="Tahoma"/>
                <w:color w:val="747678"/>
                <w:sz w:val="18"/>
                <w:szCs w:val="18"/>
              </w:rPr>
              <w:t>a</w:t>
            </w:r>
            <w:proofErr w:type="spellEnd"/>
            <w:r w:rsidR="00255B2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na Łotwie. </w:t>
            </w:r>
          </w:p>
          <w:p w14:paraId="357740CB" w14:textId="77777777" w:rsidR="004B4585" w:rsidRDefault="004B4585" w:rsidP="001D0358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0888698C" w14:textId="744AECCA" w:rsidR="00C717BC" w:rsidRDefault="00C717BC" w:rsidP="004B458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Obecnie jednym z większych wyzwań dla sektora kolejowego jest</w:t>
            </w:r>
            <w:r w:rsidR="004B4585" w:rsidRPr="00CC3A35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duża</w:t>
            </w:r>
            <w:r w:rsidR="004B4585" w:rsidRPr="00CC3A35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luka pokoleniowa w zawodach związanych m.in. z bezpieczeństwem ruchu</w:t>
            </w:r>
            <w:r w:rsidR="004B4585" w:rsidRPr="00CC3A35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na co </w:t>
            </w:r>
            <w:r w:rsidR="00E62DA4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również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odpowiedzią jest zaangażowanie </w:t>
            </w:r>
            <w:r w:rsidR="00A81EB4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firmy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Budimex we współpracę z Technikum Kolejowym w Warszawie. </w:t>
            </w:r>
          </w:p>
          <w:p w14:paraId="13BCD84E" w14:textId="77777777" w:rsidR="006F4A28" w:rsidRDefault="006F4A28" w:rsidP="004B458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4EC2D358" w14:textId="264C28F6" w:rsidR="006F4A28" w:rsidRDefault="00A81EB4" w:rsidP="00A81EB4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A81EB4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Budimex jest jednym z liderów budownictwa kolejowego w Polsce. Spółka realizuje obecnie kontrakty takie jak m.in. nowa stacja Warszawa Zachodnia, będąca jedną </w:t>
            </w:r>
            <w:r w:rsidRPr="00A81EB4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lastRenderedPageBreak/>
              <w:t>z największych inwestycji PKP Polskich Linii Kolejowych SA. Generalny wykonawca odpowiada również za budowę stacji kolejowej Port Gdynia i Stacji Ełk oraz Stacji Czechowice-Dziedzice. W ostatnich dwóch latach Budimex zakończył również modernizację linii kolejowej Warszawa – Lublin, Odcinek E59 Rokietnica - Wronki i odcinek trasy kolejowej E30 Trzebinia – Krzeszowice.</w:t>
            </w:r>
          </w:p>
          <w:p w14:paraId="07D24DC1" w14:textId="77777777" w:rsidR="0063489D" w:rsidRPr="0063489D" w:rsidRDefault="0063489D" w:rsidP="0063489D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5D9AEC0C" w14:textId="5873BEF1" w:rsidR="00734D0A" w:rsidRDefault="00910071" w:rsidP="00734D0A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------</w:t>
            </w:r>
          </w:p>
          <w:p w14:paraId="2DC5BB1C" w14:textId="36CFD13D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facility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FBSerwis.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65029A0A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2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  <w:p w14:paraId="0923D866" w14:textId="77777777" w:rsidR="003B1DAE" w:rsidRDefault="003B1DAE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3F31773A" w14:textId="77777777" w:rsidR="003B1DAE" w:rsidRDefault="003B1DAE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FFC000"/>
              </w:rPr>
            </w:pPr>
          </w:p>
        </w:tc>
        <w:tc>
          <w:tcPr>
            <w:tcW w:w="3118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6B1E37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3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6B1E37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4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0061" w14:textId="77777777" w:rsidR="00033B4D" w:rsidRDefault="00033B4D">
      <w:pPr>
        <w:spacing w:after="0" w:line="240" w:lineRule="auto"/>
      </w:pPr>
      <w:r>
        <w:separator/>
      </w:r>
    </w:p>
  </w:endnote>
  <w:endnote w:type="continuationSeparator" w:id="0">
    <w:p w14:paraId="19C92862" w14:textId="77777777" w:rsidR="00033B4D" w:rsidRDefault="0003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57D5" w14:textId="77777777" w:rsidR="00033B4D" w:rsidRDefault="00033B4D">
      <w:pPr>
        <w:spacing w:after="0" w:line="240" w:lineRule="auto"/>
      </w:pPr>
      <w:r>
        <w:separator/>
      </w:r>
    </w:p>
  </w:footnote>
  <w:footnote w:type="continuationSeparator" w:id="0">
    <w:p w14:paraId="0BEEFF42" w14:textId="77777777" w:rsidR="00033B4D" w:rsidRDefault="0003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20213610">
    <w:abstractNumId w:val="1"/>
  </w:num>
  <w:num w:numId="2" w16cid:durableId="208614466">
    <w:abstractNumId w:val="2"/>
  </w:num>
  <w:num w:numId="3" w16cid:durableId="1115715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DAE"/>
    <w:rsid w:val="00005967"/>
    <w:rsid w:val="00033B4D"/>
    <w:rsid w:val="00035098"/>
    <w:rsid w:val="0004417E"/>
    <w:rsid w:val="00045270"/>
    <w:rsid w:val="000C1AA1"/>
    <w:rsid w:val="0011509B"/>
    <w:rsid w:val="00122EF2"/>
    <w:rsid w:val="00125D50"/>
    <w:rsid w:val="0015128F"/>
    <w:rsid w:val="00153DB6"/>
    <w:rsid w:val="00170C68"/>
    <w:rsid w:val="00172D1D"/>
    <w:rsid w:val="00192890"/>
    <w:rsid w:val="001A4445"/>
    <w:rsid w:val="001B65C3"/>
    <w:rsid w:val="001C6FB2"/>
    <w:rsid w:val="001D0358"/>
    <w:rsid w:val="001E103E"/>
    <w:rsid w:val="001E1475"/>
    <w:rsid w:val="001F0F39"/>
    <w:rsid w:val="00203086"/>
    <w:rsid w:val="0021788D"/>
    <w:rsid w:val="00227424"/>
    <w:rsid w:val="002342F3"/>
    <w:rsid w:val="00237B08"/>
    <w:rsid w:val="00255B29"/>
    <w:rsid w:val="002653BF"/>
    <w:rsid w:val="00271280"/>
    <w:rsid w:val="0027391F"/>
    <w:rsid w:val="00285560"/>
    <w:rsid w:val="00293A52"/>
    <w:rsid w:val="002B0328"/>
    <w:rsid w:val="002B3398"/>
    <w:rsid w:val="002B6F82"/>
    <w:rsid w:val="002E37BE"/>
    <w:rsid w:val="00307758"/>
    <w:rsid w:val="003130ED"/>
    <w:rsid w:val="00333A8B"/>
    <w:rsid w:val="003B0035"/>
    <w:rsid w:val="003B1DAE"/>
    <w:rsid w:val="003E3E21"/>
    <w:rsid w:val="003E6001"/>
    <w:rsid w:val="00425428"/>
    <w:rsid w:val="004317A0"/>
    <w:rsid w:val="00455AF7"/>
    <w:rsid w:val="0045625E"/>
    <w:rsid w:val="00463DB1"/>
    <w:rsid w:val="00473F87"/>
    <w:rsid w:val="00482FFC"/>
    <w:rsid w:val="0048734C"/>
    <w:rsid w:val="0049557E"/>
    <w:rsid w:val="004B0E48"/>
    <w:rsid w:val="004B3484"/>
    <w:rsid w:val="004B36C2"/>
    <w:rsid w:val="004B4585"/>
    <w:rsid w:val="004C6F43"/>
    <w:rsid w:val="004D23DB"/>
    <w:rsid w:val="004D2CB9"/>
    <w:rsid w:val="004E2352"/>
    <w:rsid w:val="004F28EB"/>
    <w:rsid w:val="00580DBC"/>
    <w:rsid w:val="00591F2A"/>
    <w:rsid w:val="005B2870"/>
    <w:rsid w:val="005C7B13"/>
    <w:rsid w:val="005E5391"/>
    <w:rsid w:val="0060483B"/>
    <w:rsid w:val="00617FB9"/>
    <w:rsid w:val="00621025"/>
    <w:rsid w:val="0063489D"/>
    <w:rsid w:val="00664B42"/>
    <w:rsid w:val="0067228C"/>
    <w:rsid w:val="006774E1"/>
    <w:rsid w:val="006B23E5"/>
    <w:rsid w:val="006B4229"/>
    <w:rsid w:val="006B73ED"/>
    <w:rsid w:val="006F4A28"/>
    <w:rsid w:val="00733A2E"/>
    <w:rsid w:val="00734D0A"/>
    <w:rsid w:val="00753410"/>
    <w:rsid w:val="007619F3"/>
    <w:rsid w:val="00764B40"/>
    <w:rsid w:val="007B1336"/>
    <w:rsid w:val="007E18DE"/>
    <w:rsid w:val="007F2E04"/>
    <w:rsid w:val="007F3184"/>
    <w:rsid w:val="007F3CC7"/>
    <w:rsid w:val="00800D2C"/>
    <w:rsid w:val="00815A09"/>
    <w:rsid w:val="00821D89"/>
    <w:rsid w:val="00845EC4"/>
    <w:rsid w:val="00845ED3"/>
    <w:rsid w:val="008717D3"/>
    <w:rsid w:val="008745A4"/>
    <w:rsid w:val="00876DE2"/>
    <w:rsid w:val="00885B0E"/>
    <w:rsid w:val="008D42A6"/>
    <w:rsid w:val="008D5767"/>
    <w:rsid w:val="008E07BF"/>
    <w:rsid w:val="008E6A30"/>
    <w:rsid w:val="00900FB4"/>
    <w:rsid w:val="00910071"/>
    <w:rsid w:val="00910344"/>
    <w:rsid w:val="00932589"/>
    <w:rsid w:val="00935737"/>
    <w:rsid w:val="009709D2"/>
    <w:rsid w:val="00994841"/>
    <w:rsid w:val="009967C2"/>
    <w:rsid w:val="009A2909"/>
    <w:rsid w:val="009C71D1"/>
    <w:rsid w:val="00A0236D"/>
    <w:rsid w:val="00A2605A"/>
    <w:rsid w:val="00A51B54"/>
    <w:rsid w:val="00A60D9C"/>
    <w:rsid w:val="00A62C3A"/>
    <w:rsid w:val="00A751EB"/>
    <w:rsid w:val="00A81EB4"/>
    <w:rsid w:val="00A95F3C"/>
    <w:rsid w:val="00AB13B2"/>
    <w:rsid w:val="00AB41A5"/>
    <w:rsid w:val="00AD373B"/>
    <w:rsid w:val="00AD6A2F"/>
    <w:rsid w:val="00AE517C"/>
    <w:rsid w:val="00AF7CB0"/>
    <w:rsid w:val="00B06DE6"/>
    <w:rsid w:val="00B12F71"/>
    <w:rsid w:val="00B738C4"/>
    <w:rsid w:val="00B96E92"/>
    <w:rsid w:val="00BA7C09"/>
    <w:rsid w:val="00C0050C"/>
    <w:rsid w:val="00C353E3"/>
    <w:rsid w:val="00C448E6"/>
    <w:rsid w:val="00C712F5"/>
    <w:rsid w:val="00C717BC"/>
    <w:rsid w:val="00C74D83"/>
    <w:rsid w:val="00CA3C4C"/>
    <w:rsid w:val="00CC3A35"/>
    <w:rsid w:val="00CD6FD8"/>
    <w:rsid w:val="00CE5E73"/>
    <w:rsid w:val="00D25679"/>
    <w:rsid w:val="00D269A5"/>
    <w:rsid w:val="00D40B49"/>
    <w:rsid w:val="00D42D4D"/>
    <w:rsid w:val="00D62673"/>
    <w:rsid w:val="00D65E13"/>
    <w:rsid w:val="00D67D0B"/>
    <w:rsid w:val="00D87525"/>
    <w:rsid w:val="00DB27C9"/>
    <w:rsid w:val="00DC033A"/>
    <w:rsid w:val="00DD0A38"/>
    <w:rsid w:val="00DD67EE"/>
    <w:rsid w:val="00DE3C90"/>
    <w:rsid w:val="00DF25E5"/>
    <w:rsid w:val="00E2090D"/>
    <w:rsid w:val="00E24F1A"/>
    <w:rsid w:val="00E31E81"/>
    <w:rsid w:val="00E43C68"/>
    <w:rsid w:val="00E62DA4"/>
    <w:rsid w:val="00EC75C0"/>
    <w:rsid w:val="00ED4BD3"/>
    <w:rsid w:val="00ED5AE6"/>
    <w:rsid w:val="00F1073B"/>
    <w:rsid w:val="00F15958"/>
    <w:rsid w:val="00F479B6"/>
    <w:rsid w:val="00F70BEA"/>
    <w:rsid w:val="00FB12A7"/>
    <w:rsid w:val="00FD2F0C"/>
    <w:rsid w:val="00FF1E47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0B7E98"/>
  <w15:docId w15:val="{6EEC8B47-5D33-4C82-A87D-97016A94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AF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3B0035"/>
    <w:pPr>
      <w:spacing w:after="0" w:line="240" w:lineRule="auto"/>
    </w:pPr>
  </w:style>
  <w:style w:type="paragraph" w:customStyle="1" w:styleId="intro">
    <w:name w:val="intro"/>
    <w:basedOn w:val="Normalny"/>
    <w:rsid w:val="00CC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7463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chal.wrzosek@budimex.pl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budimex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media.budimex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8E9E02-7511-4A6D-ABE6-10EB29B583C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Wójcik</dc:creator>
  <cp:lastModifiedBy>Wrzosek, Michał</cp:lastModifiedBy>
  <cp:revision>2</cp:revision>
  <dcterms:created xsi:type="dcterms:W3CDTF">2023-03-01T15:49:00Z</dcterms:created>
  <dcterms:modified xsi:type="dcterms:W3CDTF">2023-03-01T15:49:00Z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</Properties>
</file>