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6C383" w14:textId="62F088DB" w:rsidR="00D824D3" w:rsidRPr="001F77AB" w:rsidRDefault="00F65CEF">
      <w:pPr>
        <w:tabs>
          <w:tab w:val="left" w:pos="905"/>
          <w:tab w:val="right" w:pos="9298"/>
        </w:tabs>
        <w:spacing w:after="0" w:line="360" w:lineRule="auto"/>
        <w:jc w:val="right"/>
        <w:rPr>
          <w:rFonts w:ascii="Tahoma" w:eastAsia="Tahoma" w:hAnsi="Tahoma" w:cs="Tahoma"/>
          <w:color w:val="FF0000"/>
          <w:sz w:val="20"/>
          <w:szCs w:val="20"/>
          <w:highlight w:val="white"/>
        </w:rPr>
      </w:pPr>
      <w:r>
        <w:rPr>
          <w:rFonts w:ascii="Tahoma" w:hAnsi="Tahoma"/>
          <w:color w:val="808080"/>
          <w:sz w:val="20"/>
        </w:rPr>
        <w:tab/>
      </w:r>
      <w:r>
        <w:rPr>
          <w:rFonts w:ascii="Tahoma" w:hAnsi="Tahoma"/>
          <w:color w:val="808080"/>
          <w:sz w:val="20"/>
        </w:rPr>
        <w:tab/>
        <w:t>Warsaw, 28 February 2023</w:t>
      </w:r>
    </w:p>
    <w:p w14:paraId="09B71CDC" w14:textId="1E19A203" w:rsidR="00D824D3" w:rsidRPr="006B3CBD" w:rsidRDefault="00B63B5B">
      <w:pPr>
        <w:spacing w:line="360" w:lineRule="auto"/>
        <w:jc w:val="center"/>
        <w:rPr>
          <w:rFonts w:ascii="Tahoma" w:eastAsia="Tahoma" w:hAnsi="Tahoma" w:cs="Tahoma"/>
          <w:b/>
          <w:color w:val="FFC000"/>
        </w:rPr>
      </w:pPr>
      <w:r>
        <w:rPr>
          <w:noProof/>
          <w:lang w:val="pl-PL"/>
        </w:rPr>
        <w:drawing>
          <wp:anchor distT="0" distB="0" distL="114300" distR="114300" simplePos="0" relativeHeight="251658240" behindDoc="0" locked="0" layoutInCell="1" hidden="0" allowOverlap="1" wp14:anchorId="2629EEB8" wp14:editId="2D5C56E0">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0830" cy="290830"/>
                    </a:xfrm>
                    <a:prstGeom prst="rect">
                      <a:avLst/>
                    </a:prstGeom>
                    <a:ln/>
                  </pic:spPr>
                </pic:pic>
              </a:graphicData>
            </a:graphic>
          </wp:anchor>
        </w:drawing>
      </w:r>
      <w:r>
        <w:rPr>
          <w:noProof/>
          <w:lang w:val="pl-PL"/>
        </w:rPr>
        <w:drawing>
          <wp:anchor distT="0" distB="0" distL="114300" distR="114300" simplePos="0" relativeHeight="251659264"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62890" cy="262890"/>
                    </a:xfrm>
                    <a:prstGeom prst="rect">
                      <a:avLst/>
                    </a:prstGeom>
                    <a:ln/>
                  </pic:spPr>
                </pic:pic>
              </a:graphicData>
            </a:graphic>
          </wp:anchor>
        </w:drawing>
      </w:r>
      <w:r>
        <w:rPr>
          <w:noProof/>
          <w:lang w:val="pl-PL"/>
        </w:rPr>
        <w:drawing>
          <wp:anchor distT="0" distB="0" distL="114300" distR="114300" simplePos="0" relativeHeight="251660288"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48920" cy="248920"/>
                    </a:xfrm>
                    <a:prstGeom prst="rect">
                      <a:avLst/>
                    </a:prstGeom>
                    <a:ln/>
                  </pic:spPr>
                </pic:pic>
              </a:graphicData>
            </a:graphic>
          </wp:anchor>
        </w:drawing>
      </w:r>
    </w:p>
    <w:tbl>
      <w:tblPr>
        <w:tblStyle w:val="a8"/>
        <w:tblW w:w="10938"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820"/>
        <w:gridCol w:w="3118"/>
      </w:tblGrid>
      <w:tr w:rsidR="00D824D3" w:rsidRPr="006B3CBD" w14:paraId="18FE4A91" w14:textId="77777777" w:rsidTr="006252BE">
        <w:tc>
          <w:tcPr>
            <w:tcW w:w="7820" w:type="dxa"/>
          </w:tcPr>
          <w:p w14:paraId="50DAD41A" w14:textId="5A044020" w:rsidR="00D824D3" w:rsidRPr="006B3CBD" w:rsidRDefault="00F65CEF">
            <w:pPr>
              <w:spacing w:line="360" w:lineRule="auto"/>
              <w:rPr>
                <w:rFonts w:ascii="Tahoma" w:eastAsia="Tahoma" w:hAnsi="Tahoma" w:cs="Tahoma"/>
                <w:bCs/>
                <w:color w:val="7F7F7F"/>
                <w:sz w:val="24"/>
                <w:szCs w:val="24"/>
              </w:rPr>
            </w:pPr>
            <w:r>
              <w:rPr>
                <w:rFonts w:ascii="Tahoma" w:hAnsi="Tahoma"/>
                <w:color w:val="7F7F7F"/>
                <w:sz w:val="24"/>
              </w:rPr>
              <w:t>#</w:t>
            </w:r>
            <w:proofErr w:type="spellStart"/>
            <w:r>
              <w:rPr>
                <w:rFonts w:ascii="Tahoma" w:hAnsi="Tahoma"/>
                <w:color w:val="7F7F7F"/>
                <w:sz w:val="24"/>
              </w:rPr>
              <w:t>financialresults</w:t>
            </w:r>
            <w:proofErr w:type="spellEnd"/>
            <w:r>
              <w:rPr>
                <w:rFonts w:ascii="Tahoma" w:hAnsi="Tahoma"/>
                <w:color w:val="7F7F7F"/>
                <w:sz w:val="24"/>
              </w:rPr>
              <w:t xml:space="preserve"> </w:t>
            </w:r>
          </w:p>
          <w:p w14:paraId="7607BB6A" w14:textId="77777777" w:rsidR="00D824D3" w:rsidRPr="006B3CBD" w:rsidRDefault="00D824D3">
            <w:pPr>
              <w:spacing w:line="360" w:lineRule="auto"/>
              <w:jc w:val="both"/>
              <w:rPr>
                <w:rFonts w:ascii="Tahoma" w:eastAsia="Tahoma" w:hAnsi="Tahoma" w:cs="Tahoma"/>
                <w:bCs/>
                <w:color w:val="7F7F7F"/>
                <w:sz w:val="24"/>
                <w:szCs w:val="24"/>
              </w:rPr>
            </w:pPr>
          </w:p>
          <w:p w14:paraId="3D71A51E" w14:textId="44072B44" w:rsidR="00D51FBF" w:rsidRPr="006B3CBD" w:rsidRDefault="00775CAB" w:rsidP="00D51FBF">
            <w:pPr>
              <w:pBdr>
                <w:top w:val="nil"/>
                <w:left w:val="nil"/>
                <w:bottom w:val="nil"/>
                <w:right w:val="nil"/>
                <w:between w:val="nil"/>
              </w:pBdr>
              <w:spacing w:line="360" w:lineRule="auto"/>
              <w:jc w:val="center"/>
              <w:rPr>
                <w:rFonts w:ascii="Tahoma" w:eastAsia="Tahoma" w:hAnsi="Tahoma" w:cs="Tahoma"/>
                <w:b/>
                <w:color w:val="7F7F7F" w:themeColor="text1" w:themeTint="80"/>
              </w:rPr>
            </w:pPr>
            <w:r>
              <w:rPr>
                <w:rFonts w:ascii="Tahoma" w:hAnsi="Tahoma"/>
                <w:b/>
                <w:color w:val="7F7F7F" w:themeColor="text1" w:themeTint="80"/>
              </w:rPr>
              <w:t xml:space="preserve">Comment by President of the Management Board of </w:t>
            </w:r>
            <w:proofErr w:type="spellStart"/>
            <w:r>
              <w:rPr>
                <w:rFonts w:ascii="Tahoma" w:hAnsi="Tahoma"/>
                <w:b/>
                <w:color w:val="7F7F7F" w:themeColor="text1" w:themeTint="80"/>
              </w:rPr>
              <w:t>Budimex</w:t>
            </w:r>
            <w:proofErr w:type="spellEnd"/>
            <w:r>
              <w:rPr>
                <w:rFonts w:ascii="Tahoma" w:hAnsi="Tahoma"/>
                <w:b/>
                <w:color w:val="7F7F7F" w:themeColor="text1" w:themeTint="80"/>
              </w:rPr>
              <w:t xml:space="preserve"> SA</w:t>
            </w:r>
          </w:p>
          <w:p w14:paraId="4136047E" w14:textId="4475F46E" w:rsidR="00D51FBF" w:rsidRPr="006B3CBD" w:rsidRDefault="00AA6F3B" w:rsidP="00D51FBF">
            <w:pPr>
              <w:pBdr>
                <w:top w:val="nil"/>
                <w:left w:val="nil"/>
                <w:bottom w:val="nil"/>
                <w:right w:val="nil"/>
                <w:between w:val="nil"/>
              </w:pBdr>
              <w:spacing w:line="360" w:lineRule="auto"/>
              <w:jc w:val="center"/>
              <w:rPr>
                <w:rFonts w:ascii="Tahoma" w:eastAsia="Tahoma" w:hAnsi="Tahoma" w:cs="Tahoma"/>
                <w:b/>
                <w:color w:val="7F7F7F" w:themeColor="text1" w:themeTint="80"/>
              </w:rPr>
            </w:pPr>
            <w:proofErr w:type="spellStart"/>
            <w:r>
              <w:rPr>
                <w:rFonts w:ascii="Tahoma" w:hAnsi="Tahoma"/>
                <w:b/>
                <w:color w:val="7F7F7F" w:themeColor="text1" w:themeTint="80"/>
              </w:rPr>
              <w:t>Artur</w:t>
            </w:r>
            <w:proofErr w:type="spellEnd"/>
            <w:r>
              <w:rPr>
                <w:rFonts w:ascii="Tahoma" w:hAnsi="Tahoma"/>
                <w:b/>
                <w:color w:val="7F7F7F" w:themeColor="text1" w:themeTint="80"/>
              </w:rPr>
              <w:t xml:space="preserve"> </w:t>
            </w:r>
            <w:proofErr w:type="spellStart"/>
            <w:r>
              <w:rPr>
                <w:rFonts w:ascii="Tahoma" w:hAnsi="Tahoma"/>
                <w:b/>
                <w:color w:val="7F7F7F" w:themeColor="text1" w:themeTint="80"/>
              </w:rPr>
              <w:t>Popko</w:t>
            </w:r>
            <w:proofErr w:type="spellEnd"/>
          </w:p>
          <w:p w14:paraId="372F032E" w14:textId="77777777" w:rsidR="00A74904" w:rsidRPr="00B84905" w:rsidRDefault="00A74904" w:rsidP="00A74904">
            <w:pPr>
              <w:pBdr>
                <w:top w:val="nil"/>
                <w:left w:val="nil"/>
                <w:bottom w:val="nil"/>
                <w:right w:val="nil"/>
                <w:between w:val="nil"/>
              </w:pBdr>
              <w:spacing w:line="360" w:lineRule="auto"/>
              <w:jc w:val="center"/>
              <w:rPr>
                <w:rFonts w:ascii="Tahoma" w:eastAsia="Tahoma" w:hAnsi="Tahoma" w:cs="Tahoma"/>
                <w:b/>
                <w:color w:val="FFC000"/>
              </w:rPr>
            </w:pPr>
            <w:r>
              <w:rPr>
                <w:rFonts w:ascii="Tahoma" w:hAnsi="Tahoma"/>
                <w:b/>
                <w:color w:val="FFC000"/>
              </w:rPr>
              <w:t>to selected financial data</w:t>
            </w:r>
          </w:p>
          <w:p w14:paraId="2199C4FE" w14:textId="2AD5BA1F" w:rsidR="00A74904" w:rsidRDefault="00A74904" w:rsidP="00A74904">
            <w:pPr>
              <w:pBdr>
                <w:top w:val="nil"/>
                <w:left w:val="nil"/>
                <w:bottom w:val="nil"/>
                <w:right w:val="nil"/>
                <w:between w:val="nil"/>
              </w:pBdr>
              <w:spacing w:line="360" w:lineRule="auto"/>
              <w:jc w:val="center"/>
              <w:rPr>
                <w:rFonts w:ascii="Tahoma" w:eastAsia="Tahoma" w:hAnsi="Tahoma" w:cs="Tahoma"/>
                <w:b/>
                <w:color w:val="FFC000"/>
              </w:rPr>
            </w:pPr>
            <w:r>
              <w:rPr>
                <w:rFonts w:ascii="Tahoma" w:hAnsi="Tahoma"/>
                <w:b/>
                <w:color w:val="FFC000"/>
              </w:rPr>
              <w:t xml:space="preserve">from the consolidated financial statement of </w:t>
            </w:r>
            <w:r>
              <w:rPr>
                <w:rFonts w:ascii="Tahoma" w:hAnsi="Tahoma"/>
                <w:b/>
                <w:color w:val="FFC000"/>
              </w:rPr>
              <w:br/>
              <w:t xml:space="preserve">the </w:t>
            </w:r>
            <w:proofErr w:type="spellStart"/>
            <w:r>
              <w:rPr>
                <w:rFonts w:ascii="Tahoma" w:hAnsi="Tahoma"/>
                <w:b/>
                <w:color w:val="FFC000"/>
              </w:rPr>
              <w:t>Budimex</w:t>
            </w:r>
            <w:proofErr w:type="spellEnd"/>
            <w:r>
              <w:rPr>
                <w:rFonts w:ascii="Tahoma" w:hAnsi="Tahoma"/>
                <w:b/>
                <w:color w:val="FFC000"/>
              </w:rPr>
              <w:t xml:space="preserve"> Group for 2022</w:t>
            </w:r>
          </w:p>
          <w:p w14:paraId="2D0A5BC2" w14:textId="77777777" w:rsidR="00A9414D" w:rsidRPr="006B3CBD" w:rsidRDefault="00A9414D" w:rsidP="00B84905">
            <w:pPr>
              <w:pBdr>
                <w:top w:val="nil"/>
                <w:left w:val="nil"/>
                <w:bottom w:val="nil"/>
                <w:right w:val="nil"/>
                <w:between w:val="nil"/>
              </w:pBdr>
              <w:spacing w:line="360" w:lineRule="auto"/>
              <w:jc w:val="center"/>
              <w:rPr>
                <w:rFonts w:ascii="Tahoma" w:eastAsia="Tahoma" w:hAnsi="Tahoma" w:cs="Tahoma"/>
                <w:b/>
                <w:color w:val="FFC000"/>
              </w:rPr>
            </w:pPr>
          </w:p>
          <w:p w14:paraId="46075F24" w14:textId="2293A308" w:rsidR="009A2A41" w:rsidRPr="00C81018" w:rsidRDefault="00A74904"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 xml:space="preserve">Sales revenues of the </w:t>
            </w:r>
            <w:proofErr w:type="spellStart"/>
            <w:r>
              <w:rPr>
                <w:rFonts w:ascii="Tahoma" w:hAnsi="Tahoma"/>
                <w:color w:val="808080"/>
                <w:sz w:val="18"/>
              </w:rPr>
              <w:t>Budimex</w:t>
            </w:r>
            <w:proofErr w:type="spellEnd"/>
            <w:r>
              <w:rPr>
                <w:rFonts w:ascii="Tahoma" w:hAnsi="Tahoma"/>
                <w:color w:val="808080"/>
                <w:sz w:val="18"/>
              </w:rPr>
              <w:t xml:space="preserve"> Group in 2022 were PLN 8 billion and 619 million (+8.9% year-over-year), and the net profit* was PLN 534.4 million</w:t>
            </w:r>
          </w:p>
          <w:p w14:paraId="11CFD5AD" w14:textId="238F1D2F" w:rsidR="0087588D" w:rsidRPr="00136E8F" w:rsidRDefault="009A2A41" w:rsidP="000C0857">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 xml:space="preserve">Operating profitability of the Group was 6.5% and was comparable to the previous year </w:t>
            </w:r>
          </w:p>
          <w:p w14:paraId="03CEF873" w14:textId="47C769C0" w:rsidR="00B60995" w:rsidRPr="003878B7" w:rsidRDefault="00B60995" w:rsidP="00B60995">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 xml:space="preserve">The gross income profitability of the Group was 7.5% compared to 7.0% </w:t>
            </w:r>
            <w:r>
              <w:rPr>
                <w:rFonts w:ascii="Tahoma" w:hAnsi="Tahoma"/>
                <w:color w:val="808080"/>
                <w:sz w:val="18"/>
              </w:rPr>
              <w:br/>
              <w:t xml:space="preserve">in 2021 (6.2% after excluding the effect of disposal of </w:t>
            </w:r>
            <w:proofErr w:type="spellStart"/>
            <w:r>
              <w:rPr>
                <w:rFonts w:ascii="Tahoma" w:hAnsi="Tahoma"/>
                <w:color w:val="808080"/>
                <w:sz w:val="18"/>
              </w:rPr>
              <w:t>Budimex</w:t>
            </w:r>
            <w:proofErr w:type="spellEnd"/>
            <w:r>
              <w:rPr>
                <w:rFonts w:ascii="Tahoma" w:hAnsi="Tahoma"/>
                <w:color w:val="808080"/>
                <w:sz w:val="18"/>
              </w:rPr>
              <w:t xml:space="preserve"> </w:t>
            </w:r>
            <w:proofErr w:type="spellStart"/>
            <w:r>
              <w:rPr>
                <w:rFonts w:ascii="Tahoma" w:hAnsi="Tahoma"/>
                <w:color w:val="808080"/>
                <w:sz w:val="18"/>
              </w:rPr>
              <w:t>Nieruchomości</w:t>
            </w:r>
            <w:proofErr w:type="spellEnd"/>
            <w:r>
              <w:rPr>
                <w:rFonts w:ascii="Tahoma" w:hAnsi="Tahoma"/>
                <w:color w:val="808080"/>
                <w:sz w:val="18"/>
              </w:rPr>
              <w:t>** in the second quarter of 2021)</w:t>
            </w:r>
          </w:p>
          <w:p w14:paraId="1CF9C9E7" w14:textId="26EDF4D0" w:rsidR="009A2A41" w:rsidRPr="00827982" w:rsidRDefault="0087588D"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 xml:space="preserve">The value of contracts acquired in 2022 exceeded PLN 7.9 billion, </w:t>
            </w:r>
            <w:r>
              <w:rPr>
                <w:rFonts w:ascii="Tahoma" w:hAnsi="Tahoma"/>
                <w:color w:val="808080"/>
                <w:sz w:val="18"/>
              </w:rPr>
              <w:br/>
              <w:t xml:space="preserve">and the portfolio reached the value of PLN 13.3 billion </w:t>
            </w:r>
          </w:p>
          <w:p w14:paraId="22B5F062" w14:textId="184E693C" w:rsidR="00775CAB" w:rsidRPr="00093B38" w:rsidRDefault="00775CAB" w:rsidP="007D043C">
            <w:pPr>
              <w:pBdr>
                <w:top w:val="nil"/>
                <w:left w:val="nil"/>
                <w:bottom w:val="nil"/>
                <w:right w:val="nil"/>
                <w:between w:val="nil"/>
              </w:pBdr>
              <w:spacing w:line="360" w:lineRule="auto"/>
              <w:ind w:left="720"/>
              <w:jc w:val="both"/>
              <w:rPr>
                <w:rFonts w:ascii="Tahoma" w:eastAsia="Tahoma" w:hAnsi="Tahoma" w:cs="Tahoma"/>
                <w:bCs/>
                <w:iCs/>
                <w:color w:val="808080"/>
                <w:sz w:val="18"/>
                <w:szCs w:val="18"/>
                <w:highlight w:val="yellow"/>
              </w:rPr>
            </w:pPr>
          </w:p>
          <w:p w14:paraId="61886233" w14:textId="77777777" w:rsidR="00C47A3A" w:rsidRPr="00093B38" w:rsidRDefault="00C47A3A" w:rsidP="005B039B">
            <w:pPr>
              <w:spacing w:line="360" w:lineRule="auto"/>
              <w:jc w:val="both"/>
              <w:rPr>
                <w:rFonts w:ascii="Tahoma" w:eastAsia="Tahoma" w:hAnsi="Tahoma" w:cs="Tahoma"/>
                <w:bCs/>
                <w:color w:val="808080"/>
                <w:sz w:val="18"/>
                <w:szCs w:val="18"/>
                <w:highlight w:val="yellow"/>
              </w:rPr>
            </w:pPr>
          </w:p>
          <w:p w14:paraId="1E3CF452" w14:textId="77777777" w:rsidR="00355A2C" w:rsidRDefault="00275C75" w:rsidP="000E2F84">
            <w:pPr>
              <w:spacing w:after="200" w:line="360" w:lineRule="auto"/>
              <w:jc w:val="both"/>
              <w:rPr>
                <w:rFonts w:ascii="Tahoma" w:eastAsia="Tahoma" w:hAnsi="Tahoma" w:cs="Tahoma"/>
                <w:bCs/>
                <w:color w:val="808080"/>
                <w:sz w:val="18"/>
                <w:szCs w:val="18"/>
              </w:rPr>
            </w:pPr>
            <w:r>
              <w:rPr>
                <w:rFonts w:ascii="Tahoma" w:hAnsi="Tahoma"/>
                <w:color w:val="808080"/>
                <w:sz w:val="18"/>
              </w:rPr>
              <w:t xml:space="preserve">In 2022, the </w:t>
            </w:r>
            <w:proofErr w:type="spellStart"/>
            <w:r>
              <w:rPr>
                <w:rFonts w:ascii="Tahoma" w:hAnsi="Tahoma"/>
                <w:color w:val="808080"/>
                <w:sz w:val="18"/>
              </w:rPr>
              <w:t>Budimex</w:t>
            </w:r>
            <w:proofErr w:type="spellEnd"/>
            <w:r>
              <w:rPr>
                <w:rFonts w:ascii="Tahoma" w:hAnsi="Tahoma"/>
                <w:color w:val="808080"/>
                <w:sz w:val="18"/>
              </w:rPr>
              <w:t xml:space="preserve"> Group recorded an increase of sales revenues at the level of 8.9%. This resulted mainly from the greater scale of sales realised in the construction segment, in particular in the buildings and infrastructural construction sectors, as well as in </w:t>
            </w:r>
            <w:proofErr w:type="spellStart"/>
            <w:r>
              <w:rPr>
                <w:rFonts w:ascii="Tahoma" w:hAnsi="Tahoma"/>
                <w:color w:val="808080"/>
                <w:sz w:val="18"/>
              </w:rPr>
              <w:t>Mostostal</w:t>
            </w:r>
            <w:proofErr w:type="spellEnd"/>
            <w:r>
              <w:rPr>
                <w:rFonts w:ascii="Tahoma" w:hAnsi="Tahoma"/>
                <w:color w:val="808080"/>
                <w:sz w:val="18"/>
              </w:rPr>
              <w:t xml:space="preserve"> </w:t>
            </w:r>
            <w:proofErr w:type="spellStart"/>
            <w:r>
              <w:rPr>
                <w:rFonts w:ascii="Tahoma" w:hAnsi="Tahoma"/>
                <w:color w:val="808080"/>
                <w:sz w:val="18"/>
              </w:rPr>
              <w:t>Kraków</w:t>
            </w:r>
            <w:proofErr w:type="spellEnd"/>
            <w:r>
              <w:rPr>
                <w:rFonts w:ascii="Tahoma" w:hAnsi="Tahoma"/>
                <w:color w:val="808080"/>
                <w:sz w:val="18"/>
              </w:rPr>
              <w:t xml:space="preserve">. On the side of services, revenues in 2022 increased by 4.9% compared to the previous year. </w:t>
            </w:r>
          </w:p>
          <w:p w14:paraId="511BAC17" w14:textId="0AC6F213" w:rsidR="00DF6A22" w:rsidRPr="006B3CBD" w:rsidRDefault="00184033" w:rsidP="00136E8F">
            <w:pPr>
              <w:spacing w:after="200" w:line="360" w:lineRule="auto"/>
              <w:jc w:val="both"/>
              <w:rPr>
                <w:rFonts w:ascii="Tahoma" w:eastAsia="Tahoma" w:hAnsi="Tahoma" w:cs="Tahoma"/>
                <w:bCs/>
                <w:color w:val="808080"/>
                <w:sz w:val="18"/>
                <w:szCs w:val="18"/>
              </w:rPr>
            </w:pPr>
            <w:r>
              <w:rPr>
                <w:rFonts w:ascii="Tahoma" w:hAnsi="Tahoma"/>
                <w:color w:val="808080"/>
                <w:sz w:val="18"/>
              </w:rPr>
              <w:t xml:space="preserve">The </w:t>
            </w:r>
            <w:proofErr w:type="spellStart"/>
            <w:r>
              <w:rPr>
                <w:rFonts w:ascii="Tahoma" w:hAnsi="Tahoma"/>
                <w:color w:val="808080"/>
                <w:sz w:val="18"/>
              </w:rPr>
              <w:t>Budimex</w:t>
            </w:r>
            <w:proofErr w:type="spellEnd"/>
            <w:r>
              <w:rPr>
                <w:rFonts w:ascii="Tahoma" w:hAnsi="Tahoma"/>
                <w:color w:val="808080"/>
                <w:sz w:val="18"/>
              </w:rPr>
              <w:t xml:space="preserve"> Group achieved an operating profit of PLN 562 million with profitability at the level of 6.5%. The gross profit of the </w:t>
            </w:r>
            <w:proofErr w:type="spellStart"/>
            <w:r>
              <w:rPr>
                <w:rFonts w:ascii="Tahoma" w:hAnsi="Tahoma"/>
                <w:color w:val="808080"/>
                <w:sz w:val="18"/>
              </w:rPr>
              <w:t>Budimex</w:t>
            </w:r>
            <w:proofErr w:type="spellEnd"/>
            <w:r>
              <w:rPr>
                <w:rFonts w:ascii="Tahoma" w:hAnsi="Tahoma"/>
                <w:color w:val="808080"/>
                <w:sz w:val="18"/>
              </w:rPr>
              <w:t xml:space="preserve"> Group was PLN 649 million with profitability of 7.5%. Profitability at the level of gross profit was supported by significant improvement in financial results, in particular in the second half of 2022, which resulted from an increase in the average level of interest rate of cash invested by the </w:t>
            </w:r>
            <w:proofErr w:type="spellStart"/>
            <w:r>
              <w:rPr>
                <w:rFonts w:ascii="Tahoma" w:hAnsi="Tahoma"/>
                <w:color w:val="808080"/>
                <w:sz w:val="18"/>
              </w:rPr>
              <w:t>Budimex</w:t>
            </w:r>
            <w:proofErr w:type="spellEnd"/>
            <w:r>
              <w:rPr>
                <w:rFonts w:ascii="Tahoma" w:hAnsi="Tahoma"/>
                <w:color w:val="808080"/>
                <w:sz w:val="18"/>
              </w:rPr>
              <w:t xml:space="preserve"> Group. </w:t>
            </w:r>
          </w:p>
          <w:p w14:paraId="2F4EAE4D" w14:textId="15740604" w:rsidR="00BA17E4" w:rsidRDefault="00BA17E4" w:rsidP="005B039B">
            <w:pPr>
              <w:spacing w:line="360" w:lineRule="auto"/>
              <w:jc w:val="both"/>
              <w:rPr>
                <w:rFonts w:ascii="Tahoma" w:eastAsia="Tahoma" w:hAnsi="Tahoma" w:cs="Tahoma"/>
                <w:bCs/>
                <w:color w:val="808080"/>
                <w:sz w:val="18"/>
                <w:szCs w:val="18"/>
              </w:rPr>
            </w:pPr>
          </w:p>
          <w:p w14:paraId="1F1787D2" w14:textId="64C237E3" w:rsidR="003F602C" w:rsidRDefault="003F602C" w:rsidP="005B039B">
            <w:pPr>
              <w:spacing w:line="360" w:lineRule="auto"/>
              <w:jc w:val="both"/>
              <w:rPr>
                <w:rFonts w:ascii="Tahoma" w:eastAsia="Tahoma" w:hAnsi="Tahoma" w:cs="Tahoma"/>
                <w:bCs/>
                <w:color w:val="808080"/>
                <w:sz w:val="18"/>
                <w:szCs w:val="18"/>
              </w:rPr>
            </w:pPr>
          </w:p>
          <w:p w14:paraId="09E6ECF0" w14:textId="7B1C751F" w:rsidR="003F602C" w:rsidRDefault="003F602C" w:rsidP="005B039B">
            <w:pPr>
              <w:spacing w:line="360" w:lineRule="auto"/>
              <w:jc w:val="both"/>
              <w:rPr>
                <w:rFonts w:ascii="Tahoma" w:eastAsia="Tahoma" w:hAnsi="Tahoma" w:cs="Tahoma"/>
                <w:bCs/>
                <w:color w:val="808080"/>
                <w:sz w:val="18"/>
                <w:szCs w:val="18"/>
              </w:rPr>
            </w:pPr>
          </w:p>
          <w:p w14:paraId="0DC62079" w14:textId="04D87F54" w:rsidR="003F602C" w:rsidRDefault="003F602C" w:rsidP="005B039B">
            <w:pPr>
              <w:spacing w:line="360" w:lineRule="auto"/>
              <w:jc w:val="both"/>
              <w:rPr>
                <w:rFonts w:ascii="Tahoma" w:eastAsia="Tahoma" w:hAnsi="Tahoma" w:cs="Tahoma"/>
                <w:bCs/>
                <w:color w:val="808080"/>
                <w:sz w:val="18"/>
                <w:szCs w:val="18"/>
              </w:rPr>
            </w:pPr>
          </w:p>
          <w:p w14:paraId="009963EE" w14:textId="179B4D99" w:rsidR="003F602C" w:rsidRDefault="003F602C" w:rsidP="005B039B">
            <w:pPr>
              <w:spacing w:line="360" w:lineRule="auto"/>
              <w:jc w:val="both"/>
              <w:rPr>
                <w:rFonts w:ascii="Tahoma" w:eastAsia="Tahoma" w:hAnsi="Tahoma" w:cs="Tahoma"/>
                <w:bCs/>
                <w:color w:val="808080"/>
                <w:sz w:val="18"/>
                <w:szCs w:val="18"/>
              </w:rPr>
            </w:pPr>
          </w:p>
          <w:p w14:paraId="3BFC9989" w14:textId="649AEF87" w:rsidR="003F602C" w:rsidRDefault="003F602C" w:rsidP="005B039B">
            <w:pPr>
              <w:spacing w:line="360" w:lineRule="auto"/>
              <w:jc w:val="both"/>
              <w:rPr>
                <w:rFonts w:ascii="Tahoma" w:eastAsia="Tahoma" w:hAnsi="Tahoma" w:cs="Tahoma"/>
                <w:bCs/>
                <w:color w:val="808080"/>
                <w:sz w:val="18"/>
                <w:szCs w:val="18"/>
              </w:rPr>
            </w:pPr>
          </w:p>
          <w:p w14:paraId="26E3EC9B" w14:textId="77777777" w:rsidR="003F602C" w:rsidRPr="006B3CBD" w:rsidRDefault="003F602C" w:rsidP="005B039B">
            <w:pPr>
              <w:spacing w:line="360" w:lineRule="auto"/>
              <w:jc w:val="both"/>
              <w:rPr>
                <w:rFonts w:ascii="Tahoma" w:eastAsia="Tahoma" w:hAnsi="Tahoma" w:cs="Tahoma"/>
                <w:bCs/>
                <w:color w:val="808080"/>
                <w:sz w:val="18"/>
                <w:szCs w:val="18"/>
                <w:highlight w:val="yellow"/>
              </w:rPr>
            </w:pPr>
          </w:p>
          <w:p w14:paraId="5BE726B7" w14:textId="77777777" w:rsidR="00BA17E4" w:rsidRPr="006B3CBD" w:rsidRDefault="00BA17E4" w:rsidP="005B039B">
            <w:pPr>
              <w:spacing w:line="360" w:lineRule="auto"/>
              <w:jc w:val="both"/>
              <w:rPr>
                <w:rFonts w:ascii="Tahoma" w:eastAsia="Tahoma" w:hAnsi="Tahoma" w:cs="Tahoma"/>
                <w:bCs/>
                <w:color w:val="808080"/>
                <w:sz w:val="18"/>
                <w:szCs w:val="18"/>
                <w:highlight w:val="yellow"/>
              </w:rPr>
            </w:pPr>
          </w:p>
          <w:tbl>
            <w:tblPr>
              <w:tblW w:w="7622" w:type="dxa"/>
              <w:tblLayout w:type="fixed"/>
              <w:tblCellMar>
                <w:left w:w="70" w:type="dxa"/>
                <w:right w:w="70" w:type="dxa"/>
              </w:tblCellMar>
              <w:tblLook w:val="04A0" w:firstRow="1" w:lastRow="0" w:firstColumn="1" w:lastColumn="0" w:noHBand="0" w:noVBand="1"/>
            </w:tblPr>
            <w:tblGrid>
              <w:gridCol w:w="3342"/>
              <w:gridCol w:w="1420"/>
              <w:gridCol w:w="1440"/>
              <w:gridCol w:w="1240"/>
              <w:gridCol w:w="180"/>
            </w:tblGrid>
            <w:tr w:rsidR="006252BE" w:rsidRPr="006252BE" w14:paraId="059F1BFA" w14:textId="77777777" w:rsidTr="006252BE">
              <w:trPr>
                <w:trHeight w:val="349"/>
              </w:trPr>
              <w:tc>
                <w:tcPr>
                  <w:tcW w:w="3342" w:type="dxa"/>
                  <w:vMerge w:val="restart"/>
                  <w:tcBorders>
                    <w:top w:val="nil"/>
                    <w:left w:val="single" w:sz="4" w:space="0" w:color="000000"/>
                    <w:bottom w:val="single" w:sz="8" w:space="0" w:color="000000"/>
                    <w:right w:val="nil"/>
                  </w:tcBorders>
                  <w:shd w:val="clear" w:color="000000" w:fill="595959"/>
                  <w:vAlign w:val="center"/>
                  <w:hideMark/>
                </w:tcPr>
                <w:p w14:paraId="02DBF819" w14:textId="7E59647F" w:rsidR="006252BE" w:rsidRPr="006252BE" w:rsidRDefault="006252BE" w:rsidP="006252BE">
                  <w:pPr>
                    <w:spacing w:after="0" w:line="240" w:lineRule="auto"/>
                    <w:rPr>
                      <w:rFonts w:ascii="Tahoma" w:eastAsia="Times New Roman" w:hAnsi="Tahoma" w:cs="Tahoma"/>
                      <w:b/>
                      <w:bCs/>
                      <w:color w:val="F2F2F2"/>
                    </w:rPr>
                  </w:pPr>
                  <w:proofErr w:type="spellStart"/>
                  <w:r>
                    <w:rPr>
                      <w:rFonts w:ascii="Tahoma" w:hAnsi="Tahoma"/>
                      <w:b/>
                      <w:color w:val="F2F2F2"/>
                    </w:rPr>
                    <w:lastRenderedPageBreak/>
                    <w:t>Budimex</w:t>
                  </w:r>
                  <w:proofErr w:type="spellEnd"/>
                  <w:r>
                    <w:rPr>
                      <w:rFonts w:ascii="Tahoma" w:hAnsi="Tahoma"/>
                      <w:b/>
                      <w:color w:val="F2F2F2"/>
                    </w:rPr>
                    <w:t xml:space="preserve"> Group</w:t>
                  </w:r>
                  <w:r>
                    <w:rPr>
                      <w:rFonts w:ascii="Tahoma" w:hAnsi="Tahoma"/>
                      <w:b/>
                      <w:color w:val="F2F2F2"/>
                    </w:rPr>
                    <w:br/>
                    <w:t>(PLN million)</w:t>
                  </w:r>
                </w:p>
              </w:tc>
              <w:tc>
                <w:tcPr>
                  <w:tcW w:w="4100" w:type="dxa"/>
                  <w:gridSpan w:val="3"/>
                  <w:tcBorders>
                    <w:top w:val="nil"/>
                    <w:left w:val="nil"/>
                    <w:bottom w:val="single" w:sz="4" w:space="0" w:color="000000"/>
                    <w:right w:val="nil"/>
                  </w:tcBorders>
                  <w:shd w:val="clear" w:color="000000" w:fill="BFBFBF"/>
                  <w:noWrap/>
                  <w:vAlign w:val="center"/>
                  <w:hideMark/>
                </w:tcPr>
                <w:p w14:paraId="4BC9798C" w14:textId="77777777" w:rsidR="006252BE" w:rsidRPr="006252BE" w:rsidRDefault="006252BE" w:rsidP="006252BE">
                  <w:pPr>
                    <w:spacing w:after="0" w:line="240" w:lineRule="auto"/>
                    <w:jc w:val="center"/>
                    <w:rPr>
                      <w:rFonts w:ascii="Tahoma" w:eastAsia="Times New Roman" w:hAnsi="Tahoma" w:cs="Tahoma"/>
                      <w:b/>
                      <w:bCs/>
                      <w:color w:val="000000"/>
                    </w:rPr>
                  </w:pPr>
                  <w:r>
                    <w:rPr>
                      <w:rFonts w:ascii="Tahoma" w:hAnsi="Tahoma"/>
                      <w:b/>
                      <w:color w:val="000000"/>
                    </w:rPr>
                    <w:t>Profit and loss account</w:t>
                  </w:r>
                </w:p>
              </w:tc>
              <w:tc>
                <w:tcPr>
                  <w:tcW w:w="180" w:type="dxa"/>
                  <w:tcBorders>
                    <w:top w:val="single" w:sz="4" w:space="0" w:color="FFFFFF"/>
                    <w:left w:val="nil"/>
                    <w:bottom w:val="single" w:sz="4" w:space="0" w:color="FFFFFF"/>
                    <w:right w:val="single" w:sz="4" w:space="0" w:color="FFFFFF"/>
                  </w:tcBorders>
                  <w:shd w:val="clear" w:color="auto" w:fill="auto"/>
                  <w:noWrap/>
                  <w:vAlign w:val="center"/>
                  <w:hideMark/>
                </w:tcPr>
                <w:p w14:paraId="0B48DEFC"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7D7A0F72" w14:textId="77777777" w:rsidTr="006252BE">
              <w:trPr>
                <w:trHeight w:val="540"/>
              </w:trPr>
              <w:tc>
                <w:tcPr>
                  <w:tcW w:w="3342" w:type="dxa"/>
                  <w:vMerge/>
                  <w:tcBorders>
                    <w:top w:val="nil"/>
                    <w:left w:val="single" w:sz="4" w:space="0" w:color="000000"/>
                    <w:bottom w:val="single" w:sz="8" w:space="0" w:color="000000"/>
                    <w:right w:val="nil"/>
                  </w:tcBorders>
                  <w:vAlign w:val="center"/>
                  <w:hideMark/>
                </w:tcPr>
                <w:p w14:paraId="440102AA" w14:textId="77777777" w:rsidR="006252BE" w:rsidRPr="006252BE" w:rsidRDefault="006252BE" w:rsidP="006252BE">
                  <w:pPr>
                    <w:spacing w:after="0" w:line="240" w:lineRule="auto"/>
                    <w:rPr>
                      <w:rFonts w:ascii="Tahoma" w:eastAsia="Times New Roman" w:hAnsi="Tahoma" w:cs="Tahoma"/>
                      <w:b/>
                      <w:bCs/>
                      <w:color w:val="F2F2F2"/>
                    </w:rPr>
                  </w:pPr>
                </w:p>
              </w:tc>
              <w:tc>
                <w:tcPr>
                  <w:tcW w:w="1420" w:type="dxa"/>
                  <w:tcBorders>
                    <w:top w:val="nil"/>
                    <w:left w:val="nil"/>
                    <w:bottom w:val="nil"/>
                    <w:right w:val="nil"/>
                  </w:tcBorders>
                  <w:shd w:val="clear" w:color="000000" w:fill="BFBFBF"/>
                  <w:vAlign w:val="center"/>
                  <w:hideMark/>
                </w:tcPr>
                <w:p w14:paraId="75CFFA1D" w14:textId="77777777" w:rsidR="006252BE" w:rsidRPr="006252BE" w:rsidRDefault="006252BE" w:rsidP="006252BE">
                  <w:pPr>
                    <w:spacing w:after="0" w:line="240" w:lineRule="auto"/>
                    <w:jc w:val="center"/>
                    <w:rPr>
                      <w:rFonts w:ascii="Tahoma" w:eastAsia="Times New Roman" w:hAnsi="Tahoma" w:cs="Tahoma"/>
                      <w:color w:val="000000"/>
                    </w:rPr>
                  </w:pPr>
                  <w:r>
                    <w:rPr>
                      <w:rFonts w:ascii="Tahoma" w:hAnsi="Tahoma"/>
                      <w:color w:val="000000"/>
                    </w:rPr>
                    <w:t>2022</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46BB19E1" w14:textId="77777777" w:rsidR="006252BE" w:rsidRPr="006252BE" w:rsidRDefault="006252BE" w:rsidP="006252BE">
                  <w:pPr>
                    <w:spacing w:after="0" w:line="240" w:lineRule="auto"/>
                    <w:jc w:val="center"/>
                    <w:rPr>
                      <w:rFonts w:ascii="Tahoma" w:eastAsia="Times New Roman" w:hAnsi="Tahoma" w:cs="Tahoma"/>
                      <w:color w:val="000000"/>
                    </w:rPr>
                  </w:pPr>
                  <w:r>
                    <w:rPr>
                      <w:rFonts w:ascii="Tahoma" w:hAnsi="Tahoma"/>
                      <w:color w:val="000000"/>
                    </w:rPr>
                    <w:t>2021</w:t>
                  </w:r>
                </w:p>
              </w:tc>
              <w:tc>
                <w:tcPr>
                  <w:tcW w:w="1240" w:type="dxa"/>
                  <w:tcBorders>
                    <w:top w:val="nil"/>
                    <w:left w:val="nil"/>
                    <w:bottom w:val="single" w:sz="8" w:space="0" w:color="000000"/>
                    <w:right w:val="nil"/>
                  </w:tcBorders>
                  <w:shd w:val="clear" w:color="000000" w:fill="BFBFBF"/>
                  <w:noWrap/>
                  <w:vAlign w:val="center"/>
                  <w:hideMark/>
                </w:tcPr>
                <w:p w14:paraId="12DCA395" w14:textId="77777777" w:rsidR="006252BE" w:rsidRPr="006252BE" w:rsidRDefault="006252BE" w:rsidP="006252BE">
                  <w:pPr>
                    <w:spacing w:after="0" w:line="240" w:lineRule="auto"/>
                    <w:jc w:val="center"/>
                    <w:rPr>
                      <w:rFonts w:ascii="Tahoma" w:eastAsia="Times New Roman" w:hAnsi="Tahoma" w:cs="Tahoma"/>
                      <w:color w:val="000000"/>
                    </w:rPr>
                  </w:pPr>
                  <w:r>
                    <w:rPr>
                      <w:rFonts w:ascii="Tahoma" w:hAnsi="Tahoma"/>
                      <w:color w:val="000000"/>
                    </w:rPr>
                    <w:t>y/y</w:t>
                  </w:r>
                </w:p>
              </w:tc>
              <w:tc>
                <w:tcPr>
                  <w:tcW w:w="180" w:type="dxa"/>
                  <w:tcBorders>
                    <w:top w:val="nil"/>
                    <w:left w:val="nil"/>
                    <w:bottom w:val="single" w:sz="4" w:space="0" w:color="FFFFFF"/>
                    <w:right w:val="single" w:sz="4" w:space="0" w:color="FFFFFF"/>
                  </w:tcBorders>
                  <w:shd w:val="clear" w:color="auto" w:fill="auto"/>
                  <w:noWrap/>
                  <w:vAlign w:val="center"/>
                  <w:hideMark/>
                </w:tcPr>
                <w:p w14:paraId="357C529D"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7E4C7F96" w14:textId="77777777" w:rsidTr="006252BE">
              <w:trPr>
                <w:trHeight w:val="420"/>
              </w:trPr>
              <w:tc>
                <w:tcPr>
                  <w:tcW w:w="3342" w:type="dxa"/>
                  <w:tcBorders>
                    <w:top w:val="nil"/>
                    <w:left w:val="single" w:sz="8" w:space="0" w:color="FFC000"/>
                    <w:bottom w:val="single" w:sz="8" w:space="0" w:color="auto"/>
                    <w:right w:val="nil"/>
                  </w:tcBorders>
                  <w:shd w:val="clear" w:color="000000" w:fill="FFC000"/>
                  <w:noWrap/>
                  <w:vAlign w:val="center"/>
                  <w:hideMark/>
                </w:tcPr>
                <w:p w14:paraId="4EAF9461"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Sale</w:t>
                  </w:r>
                </w:p>
              </w:tc>
              <w:tc>
                <w:tcPr>
                  <w:tcW w:w="1420" w:type="dxa"/>
                  <w:tcBorders>
                    <w:top w:val="single" w:sz="8" w:space="0" w:color="000000"/>
                    <w:left w:val="nil"/>
                    <w:bottom w:val="single" w:sz="8" w:space="0" w:color="000000"/>
                    <w:right w:val="nil"/>
                  </w:tcBorders>
                  <w:shd w:val="clear" w:color="000000" w:fill="FFC000"/>
                  <w:noWrap/>
                  <w:vAlign w:val="center"/>
                  <w:hideMark/>
                </w:tcPr>
                <w:p w14:paraId="40DC32C4"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8,619</w:t>
                  </w:r>
                </w:p>
              </w:tc>
              <w:tc>
                <w:tcPr>
                  <w:tcW w:w="1440" w:type="dxa"/>
                  <w:tcBorders>
                    <w:top w:val="nil"/>
                    <w:left w:val="nil"/>
                    <w:bottom w:val="single" w:sz="8" w:space="0" w:color="000000"/>
                    <w:right w:val="nil"/>
                  </w:tcBorders>
                  <w:shd w:val="clear" w:color="000000" w:fill="FFC000"/>
                  <w:noWrap/>
                  <w:vAlign w:val="center"/>
                  <w:hideMark/>
                </w:tcPr>
                <w:p w14:paraId="5A9467C3"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7,911</w:t>
                  </w:r>
                </w:p>
              </w:tc>
              <w:tc>
                <w:tcPr>
                  <w:tcW w:w="1240" w:type="dxa"/>
                  <w:tcBorders>
                    <w:top w:val="nil"/>
                    <w:left w:val="nil"/>
                    <w:bottom w:val="single" w:sz="8" w:space="0" w:color="000000"/>
                    <w:right w:val="single" w:sz="8" w:space="0" w:color="FFC000"/>
                  </w:tcBorders>
                  <w:shd w:val="clear" w:color="000000" w:fill="FFC000"/>
                  <w:noWrap/>
                  <w:vAlign w:val="center"/>
                  <w:hideMark/>
                </w:tcPr>
                <w:p w14:paraId="0A5D8686"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8.9%</w:t>
                  </w:r>
                </w:p>
              </w:tc>
              <w:tc>
                <w:tcPr>
                  <w:tcW w:w="180" w:type="dxa"/>
                  <w:tcBorders>
                    <w:top w:val="nil"/>
                    <w:left w:val="nil"/>
                    <w:bottom w:val="single" w:sz="4" w:space="0" w:color="FFFFFF"/>
                    <w:right w:val="single" w:sz="4" w:space="0" w:color="FFFFFF"/>
                  </w:tcBorders>
                  <w:shd w:val="clear" w:color="auto" w:fill="auto"/>
                  <w:noWrap/>
                  <w:vAlign w:val="center"/>
                  <w:hideMark/>
                </w:tcPr>
                <w:p w14:paraId="40FE7E9F"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607339BC" w14:textId="77777777" w:rsidTr="006252BE">
              <w:trPr>
                <w:trHeight w:val="420"/>
              </w:trPr>
              <w:tc>
                <w:tcPr>
                  <w:tcW w:w="3342" w:type="dxa"/>
                  <w:tcBorders>
                    <w:top w:val="single" w:sz="4" w:space="0" w:color="000000"/>
                    <w:left w:val="nil"/>
                    <w:bottom w:val="nil"/>
                    <w:right w:val="nil"/>
                  </w:tcBorders>
                  <w:shd w:val="clear" w:color="000000" w:fill="F2F2F2"/>
                  <w:noWrap/>
                  <w:vAlign w:val="center"/>
                  <w:hideMark/>
                </w:tcPr>
                <w:p w14:paraId="57C797ED"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Operational profit</w:t>
                  </w:r>
                </w:p>
              </w:tc>
              <w:tc>
                <w:tcPr>
                  <w:tcW w:w="1420" w:type="dxa"/>
                  <w:tcBorders>
                    <w:top w:val="nil"/>
                    <w:left w:val="nil"/>
                    <w:bottom w:val="nil"/>
                    <w:right w:val="nil"/>
                  </w:tcBorders>
                  <w:shd w:val="clear" w:color="000000" w:fill="F2F2F2"/>
                  <w:noWrap/>
                  <w:vAlign w:val="center"/>
                  <w:hideMark/>
                </w:tcPr>
                <w:p w14:paraId="1F1C3172"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562</w:t>
                  </w:r>
                </w:p>
              </w:tc>
              <w:tc>
                <w:tcPr>
                  <w:tcW w:w="1440" w:type="dxa"/>
                  <w:tcBorders>
                    <w:top w:val="nil"/>
                    <w:left w:val="nil"/>
                    <w:bottom w:val="nil"/>
                    <w:right w:val="nil"/>
                  </w:tcBorders>
                  <w:shd w:val="clear" w:color="000000" w:fill="F2F2F2"/>
                  <w:noWrap/>
                  <w:vAlign w:val="center"/>
                  <w:hideMark/>
                </w:tcPr>
                <w:p w14:paraId="17A1ADCB"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587</w:t>
                  </w:r>
                </w:p>
              </w:tc>
              <w:tc>
                <w:tcPr>
                  <w:tcW w:w="1240" w:type="dxa"/>
                  <w:tcBorders>
                    <w:top w:val="single" w:sz="4" w:space="0" w:color="000000"/>
                    <w:left w:val="nil"/>
                    <w:bottom w:val="nil"/>
                    <w:right w:val="nil"/>
                  </w:tcBorders>
                  <w:shd w:val="clear" w:color="000000" w:fill="F2F2F2"/>
                  <w:noWrap/>
                  <w:vAlign w:val="center"/>
                  <w:hideMark/>
                </w:tcPr>
                <w:p w14:paraId="3095143F"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-4.2%</w:t>
                  </w:r>
                </w:p>
              </w:tc>
              <w:tc>
                <w:tcPr>
                  <w:tcW w:w="180" w:type="dxa"/>
                  <w:tcBorders>
                    <w:top w:val="nil"/>
                    <w:left w:val="nil"/>
                    <w:bottom w:val="single" w:sz="4" w:space="0" w:color="FFFFFF"/>
                    <w:right w:val="single" w:sz="4" w:space="0" w:color="FFFFFF"/>
                  </w:tcBorders>
                  <w:shd w:val="clear" w:color="auto" w:fill="auto"/>
                  <w:noWrap/>
                  <w:vAlign w:val="center"/>
                  <w:hideMark/>
                </w:tcPr>
                <w:p w14:paraId="62368402"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77B3B0A8" w14:textId="77777777" w:rsidTr="006252BE">
              <w:trPr>
                <w:trHeight w:val="252"/>
              </w:trPr>
              <w:tc>
                <w:tcPr>
                  <w:tcW w:w="3342" w:type="dxa"/>
                  <w:tcBorders>
                    <w:top w:val="nil"/>
                    <w:left w:val="nil"/>
                    <w:bottom w:val="nil"/>
                    <w:right w:val="nil"/>
                  </w:tcBorders>
                  <w:shd w:val="clear" w:color="000000" w:fill="F2F2F2"/>
                  <w:noWrap/>
                  <w:vAlign w:val="center"/>
                  <w:hideMark/>
                </w:tcPr>
                <w:p w14:paraId="3F7AC88C"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nil"/>
                    <w:right w:val="nil"/>
                  </w:tcBorders>
                  <w:shd w:val="clear" w:color="000000" w:fill="F2F2F2"/>
                  <w:noWrap/>
                  <w:vAlign w:val="center"/>
                  <w:hideMark/>
                </w:tcPr>
                <w:p w14:paraId="646C883C"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6.5%</w:t>
                  </w:r>
                </w:p>
              </w:tc>
              <w:tc>
                <w:tcPr>
                  <w:tcW w:w="1440" w:type="dxa"/>
                  <w:tcBorders>
                    <w:top w:val="nil"/>
                    <w:left w:val="nil"/>
                    <w:bottom w:val="nil"/>
                    <w:right w:val="nil"/>
                  </w:tcBorders>
                  <w:shd w:val="clear" w:color="000000" w:fill="F2F2F2"/>
                  <w:noWrap/>
                  <w:vAlign w:val="center"/>
                  <w:hideMark/>
                </w:tcPr>
                <w:p w14:paraId="32B35CC9"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7.4%</w:t>
                  </w:r>
                </w:p>
              </w:tc>
              <w:tc>
                <w:tcPr>
                  <w:tcW w:w="1240" w:type="dxa"/>
                  <w:tcBorders>
                    <w:top w:val="nil"/>
                    <w:left w:val="nil"/>
                    <w:bottom w:val="nil"/>
                    <w:right w:val="nil"/>
                  </w:tcBorders>
                  <w:shd w:val="clear" w:color="000000" w:fill="F2F2F2"/>
                  <w:noWrap/>
                  <w:vAlign w:val="center"/>
                  <w:hideMark/>
                </w:tcPr>
                <w:p w14:paraId="25FB4F95" w14:textId="54022179"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-0.9 pp</w:t>
                  </w:r>
                </w:p>
              </w:tc>
              <w:tc>
                <w:tcPr>
                  <w:tcW w:w="180" w:type="dxa"/>
                  <w:tcBorders>
                    <w:top w:val="nil"/>
                    <w:left w:val="nil"/>
                    <w:bottom w:val="single" w:sz="4" w:space="0" w:color="FFFFFF"/>
                    <w:right w:val="single" w:sz="4" w:space="0" w:color="FFFFFF"/>
                  </w:tcBorders>
                  <w:shd w:val="clear" w:color="auto" w:fill="auto"/>
                  <w:noWrap/>
                  <w:vAlign w:val="center"/>
                  <w:hideMark/>
                </w:tcPr>
                <w:p w14:paraId="3528C253"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1BABE434" w14:textId="77777777" w:rsidTr="006252BE">
              <w:trPr>
                <w:trHeight w:val="420"/>
              </w:trPr>
              <w:tc>
                <w:tcPr>
                  <w:tcW w:w="3342" w:type="dxa"/>
                  <w:tcBorders>
                    <w:top w:val="single" w:sz="4" w:space="0" w:color="000000"/>
                    <w:left w:val="nil"/>
                    <w:bottom w:val="nil"/>
                    <w:right w:val="nil"/>
                  </w:tcBorders>
                  <w:shd w:val="clear" w:color="000000" w:fill="F2F2F2"/>
                  <w:noWrap/>
                  <w:vAlign w:val="center"/>
                  <w:hideMark/>
                </w:tcPr>
                <w:p w14:paraId="438D1A50"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Gross profit</w:t>
                  </w:r>
                </w:p>
              </w:tc>
              <w:tc>
                <w:tcPr>
                  <w:tcW w:w="1420" w:type="dxa"/>
                  <w:tcBorders>
                    <w:top w:val="single" w:sz="4" w:space="0" w:color="000000"/>
                    <w:left w:val="nil"/>
                    <w:bottom w:val="nil"/>
                    <w:right w:val="nil"/>
                  </w:tcBorders>
                  <w:shd w:val="clear" w:color="000000" w:fill="F2F2F2"/>
                  <w:noWrap/>
                  <w:vAlign w:val="center"/>
                  <w:hideMark/>
                </w:tcPr>
                <w:p w14:paraId="17373D84"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649</w:t>
                  </w:r>
                </w:p>
              </w:tc>
              <w:tc>
                <w:tcPr>
                  <w:tcW w:w="1440" w:type="dxa"/>
                  <w:tcBorders>
                    <w:top w:val="single" w:sz="4" w:space="0" w:color="000000"/>
                    <w:left w:val="nil"/>
                    <w:bottom w:val="nil"/>
                    <w:right w:val="nil"/>
                  </w:tcBorders>
                  <w:shd w:val="clear" w:color="000000" w:fill="F2F2F2"/>
                  <w:noWrap/>
                  <w:vAlign w:val="center"/>
                  <w:hideMark/>
                </w:tcPr>
                <w:p w14:paraId="3D3FAB3F"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554</w:t>
                  </w:r>
                </w:p>
              </w:tc>
              <w:tc>
                <w:tcPr>
                  <w:tcW w:w="1240" w:type="dxa"/>
                  <w:tcBorders>
                    <w:top w:val="single" w:sz="4" w:space="0" w:color="000000"/>
                    <w:left w:val="nil"/>
                    <w:bottom w:val="nil"/>
                    <w:right w:val="nil"/>
                  </w:tcBorders>
                  <w:shd w:val="clear" w:color="000000" w:fill="F2F2F2"/>
                  <w:noWrap/>
                  <w:vAlign w:val="center"/>
                  <w:hideMark/>
                </w:tcPr>
                <w:p w14:paraId="4E9975DD"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17.0%</w:t>
                  </w:r>
                </w:p>
              </w:tc>
              <w:tc>
                <w:tcPr>
                  <w:tcW w:w="180" w:type="dxa"/>
                  <w:tcBorders>
                    <w:top w:val="nil"/>
                    <w:left w:val="nil"/>
                    <w:bottom w:val="single" w:sz="4" w:space="0" w:color="FFFFFF"/>
                    <w:right w:val="single" w:sz="4" w:space="0" w:color="FFFFFF"/>
                  </w:tcBorders>
                  <w:shd w:val="clear" w:color="auto" w:fill="auto"/>
                  <w:noWrap/>
                  <w:vAlign w:val="center"/>
                  <w:hideMark/>
                </w:tcPr>
                <w:p w14:paraId="704B814A"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4894E08E" w14:textId="77777777" w:rsidTr="006252BE">
              <w:trPr>
                <w:trHeight w:val="252"/>
              </w:trPr>
              <w:tc>
                <w:tcPr>
                  <w:tcW w:w="3342" w:type="dxa"/>
                  <w:tcBorders>
                    <w:top w:val="nil"/>
                    <w:left w:val="nil"/>
                    <w:bottom w:val="nil"/>
                    <w:right w:val="nil"/>
                  </w:tcBorders>
                  <w:shd w:val="clear" w:color="000000" w:fill="F2F2F2"/>
                  <w:noWrap/>
                  <w:vAlign w:val="center"/>
                  <w:hideMark/>
                </w:tcPr>
                <w:p w14:paraId="2C5E5D28"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nil"/>
                    <w:right w:val="nil"/>
                  </w:tcBorders>
                  <w:shd w:val="clear" w:color="000000" w:fill="F2F2F2"/>
                  <w:noWrap/>
                  <w:vAlign w:val="center"/>
                  <w:hideMark/>
                </w:tcPr>
                <w:p w14:paraId="3B289F33"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7.5%</w:t>
                  </w:r>
                </w:p>
              </w:tc>
              <w:tc>
                <w:tcPr>
                  <w:tcW w:w="1440" w:type="dxa"/>
                  <w:tcBorders>
                    <w:top w:val="nil"/>
                    <w:left w:val="nil"/>
                    <w:bottom w:val="nil"/>
                    <w:right w:val="nil"/>
                  </w:tcBorders>
                  <w:shd w:val="clear" w:color="000000" w:fill="F2F2F2"/>
                  <w:noWrap/>
                  <w:vAlign w:val="center"/>
                  <w:hideMark/>
                </w:tcPr>
                <w:p w14:paraId="20702EF0"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7.0%</w:t>
                  </w:r>
                </w:p>
              </w:tc>
              <w:tc>
                <w:tcPr>
                  <w:tcW w:w="1240" w:type="dxa"/>
                  <w:tcBorders>
                    <w:top w:val="nil"/>
                    <w:left w:val="nil"/>
                    <w:bottom w:val="nil"/>
                    <w:right w:val="nil"/>
                  </w:tcBorders>
                  <w:shd w:val="clear" w:color="000000" w:fill="F2F2F2"/>
                  <w:noWrap/>
                  <w:vAlign w:val="center"/>
                  <w:hideMark/>
                </w:tcPr>
                <w:p w14:paraId="0AC564A3" w14:textId="70CB0083"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0.5 pp</w:t>
                  </w:r>
                </w:p>
              </w:tc>
              <w:tc>
                <w:tcPr>
                  <w:tcW w:w="180" w:type="dxa"/>
                  <w:tcBorders>
                    <w:top w:val="nil"/>
                    <w:left w:val="nil"/>
                    <w:bottom w:val="single" w:sz="4" w:space="0" w:color="FFFFFF"/>
                    <w:right w:val="single" w:sz="4" w:space="0" w:color="FFFFFF"/>
                  </w:tcBorders>
                  <w:shd w:val="clear" w:color="auto" w:fill="auto"/>
                  <w:noWrap/>
                  <w:vAlign w:val="center"/>
                  <w:hideMark/>
                </w:tcPr>
                <w:p w14:paraId="51B28493"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7A11929F" w14:textId="77777777" w:rsidTr="006252BE">
              <w:trPr>
                <w:trHeight w:val="525"/>
              </w:trPr>
              <w:tc>
                <w:tcPr>
                  <w:tcW w:w="3342" w:type="dxa"/>
                  <w:tcBorders>
                    <w:top w:val="single" w:sz="4" w:space="0" w:color="000000"/>
                    <w:left w:val="nil"/>
                    <w:bottom w:val="nil"/>
                    <w:right w:val="nil"/>
                  </w:tcBorders>
                  <w:shd w:val="clear" w:color="000000" w:fill="F2F2F2"/>
                  <w:vAlign w:val="center"/>
                  <w:hideMark/>
                </w:tcPr>
                <w:p w14:paraId="127789AC"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 xml:space="preserve">Net profit* </w:t>
                  </w:r>
                  <w:r>
                    <w:rPr>
                      <w:rFonts w:ascii="Tahoma" w:hAnsi="Tahoma"/>
                      <w:b/>
                      <w:color w:val="404040"/>
                    </w:rPr>
                    <w:br/>
                  </w:r>
                  <w:r>
                    <w:rPr>
                      <w:rFonts w:ascii="Tahoma" w:hAnsi="Tahoma"/>
                      <w:color w:val="404040"/>
                      <w:sz w:val="16"/>
                    </w:rPr>
                    <w:t>from continuing operations</w:t>
                  </w:r>
                </w:p>
              </w:tc>
              <w:tc>
                <w:tcPr>
                  <w:tcW w:w="1420" w:type="dxa"/>
                  <w:tcBorders>
                    <w:top w:val="single" w:sz="4" w:space="0" w:color="000000"/>
                    <w:left w:val="nil"/>
                    <w:bottom w:val="nil"/>
                    <w:right w:val="nil"/>
                  </w:tcBorders>
                  <w:shd w:val="clear" w:color="000000" w:fill="F2F2F2"/>
                  <w:noWrap/>
                  <w:vAlign w:val="center"/>
                  <w:hideMark/>
                </w:tcPr>
                <w:p w14:paraId="0EE9360C"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534</w:t>
                  </w:r>
                </w:p>
              </w:tc>
              <w:tc>
                <w:tcPr>
                  <w:tcW w:w="1440" w:type="dxa"/>
                  <w:tcBorders>
                    <w:top w:val="single" w:sz="4" w:space="0" w:color="000000"/>
                    <w:left w:val="nil"/>
                    <w:bottom w:val="nil"/>
                    <w:right w:val="nil"/>
                  </w:tcBorders>
                  <w:shd w:val="clear" w:color="000000" w:fill="F2F2F2"/>
                  <w:noWrap/>
                  <w:vAlign w:val="center"/>
                  <w:hideMark/>
                </w:tcPr>
                <w:p w14:paraId="23CB246E"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451</w:t>
                  </w:r>
                </w:p>
              </w:tc>
              <w:tc>
                <w:tcPr>
                  <w:tcW w:w="1240" w:type="dxa"/>
                  <w:tcBorders>
                    <w:top w:val="single" w:sz="4" w:space="0" w:color="000000"/>
                    <w:left w:val="nil"/>
                    <w:bottom w:val="nil"/>
                    <w:right w:val="nil"/>
                  </w:tcBorders>
                  <w:shd w:val="clear" w:color="000000" w:fill="F2F2F2"/>
                  <w:noWrap/>
                  <w:vAlign w:val="center"/>
                  <w:hideMark/>
                </w:tcPr>
                <w:p w14:paraId="43416109"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18.5%</w:t>
                  </w:r>
                </w:p>
              </w:tc>
              <w:tc>
                <w:tcPr>
                  <w:tcW w:w="180" w:type="dxa"/>
                  <w:tcBorders>
                    <w:top w:val="nil"/>
                    <w:left w:val="nil"/>
                    <w:bottom w:val="single" w:sz="4" w:space="0" w:color="FFFFFF"/>
                    <w:right w:val="single" w:sz="4" w:space="0" w:color="FFFFFF"/>
                  </w:tcBorders>
                  <w:shd w:val="clear" w:color="auto" w:fill="auto"/>
                  <w:noWrap/>
                  <w:vAlign w:val="center"/>
                  <w:hideMark/>
                </w:tcPr>
                <w:p w14:paraId="3E345E47"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6AE4175F" w14:textId="77777777" w:rsidTr="006252BE">
              <w:trPr>
                <w:trHeight w:val="252"/>
              </w:trPr>
              <w:tc>
                <w:tcPr>
                  <w:tcW w:w="3342" w:type="dxa"/>
                  <w:tcBorders>
                    <w:top w:val="nil"/>
                    <w:left w:val="nil"/>
                    <w:bottom w:val="nil"/>
                    <w:right w:val="nil"/>
                  </w:tcBorders>
                  <w:shd w:val="clear" w:color="000000" w:fill="F2F2F2"/>
                  <w:noWrap/>
                  <w:vAlign w:val="center"/>
                  <w:hideMark/>
                </w:tcPr>
                <w:p w14:paraId="0F32CCE2"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nil"/>
                    <w:right w:val="nil"/>
                  </w:tcBorders>
                  <w:shd w:val="clear" w:color="000000" w:fill="F2F2F2"/>
                  <w:noWrap/>
                  <w:vAlign w:val="center"/>
                  <w:hideMark/>
                </w:tcPr>
                <w:p w14:paraId="2AEABBF7"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6.2%</w:t>
                  </w:r>
                </w:p>
              </w:tc>
              <w:tc>
                <w:tcPr>
                  <w:tcW w:w="1440" w:type="dxa"/>
                  <w:tcBorders>
                    <w:top w:val="nil"/>
                    <w:left w:val="nil"/>
                    <w:bottom w:val="nil"/>
                    <w:right w:val="nil"/>
                  </w:tcBorders>
                  <w:shd w:val="clear" w:color="000000" w:fill="F2F2F2"/>
                  <w:noWrap/>
                  <w:vAlign w:val="center"/>
                  <w:hideMark/>
                </w:tcPr>
                <w:p w14:paraId="0A39BF9C"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5.7%</w:t>
                  </w:r>
                </w:p>
              </w:tc>
              <w:tc>
                <w:tcPr>
                  <w:tcW w:w="1240" w:type="dxa"/>
                  <w:tcBorders>
                    <w:top w:val="nil"/>
                    <w:left w:val="nil"/>
                    <w:bottom w:val="nil"/>
                    <w:right w:val="nil"/>
                  </w:tcBorders>
                  <w:shd w:val="clear" w:color="000000" w:fill="F2F2F2"/>
                  <w:noWrap/>
                  <w:vAlign w:val="center"/>
                  <w:hideMark/>
                </w:tcPr>
                <w:p w14:paraId="64788515" w14:textId="36DF8E76"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0.5 pp</w:t>
                  </w:r>
                </w:p>
              </w:tc>
              <w:tc>
                <w:tcPr>
                  <w:tcW w:w="180" w:type="dxa"/>
                  <w:tcBorders>
                    <w:top w:val="nil"/>
                    <w:left w:val="nil"/>
                    <w:bottom w:val="single" w:sz="4" w:space="0" w:color="FFFFFF"/>
                    <w:right w:val="single" w:sz="4" w:space="0" w:color="FFFFFF"/>
                  </w:tcBorders>
                  <w:shd w:val="clear" w:color="auto" w:fill="auto"/>
                  <w:noWrap/>
                  <w:vAlign w:val="center"/>
                  <w:hideMark/>
                </w:tcPr>
                <w:p w14:paraId="7E96666B"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279EBEC8" w14:textId="77777777" w:rsidTr="006252BE">
              <w:trPr>
                <w:trHeight w:val="255"/>
              </w:trPr>
              <w:tc>
                <w:tcPr>
                  <w:tcW w:w="3342" w:type="dxa"/>
                  <w:tcBorders>
                    <w:top w:val="single" w:sz="4" w:space="0" w:color="000000"/>
                    <w:left w:val="single" w:sz="4" w:space="0" w:color="FFFFFF"/>
                    <w:bottom w:val="nil"/>
                    <w:right w:val="single" w:sz="4" w:space="0" w:color="FFFFFF"/>
                  </w:tcBorders>
                  <w:shd w:val="clear" w:color="auto" w:fill="auto"/>
                  <w:noWrap/>
                  <w:hideMark/>
                </w:tcPr>
                <w:p w14:paraId="4B618522" w14:textId="77777777" w:rsidR="006252BE" w:rsidRPr="006252BE" w:rsidRDefault="006252BE" w:rsidP="006252BE">
                  <w:pPr>
                    <w:spacing w:after="0" w:line="240" w:lineRule="auto"/>
                    <w:rPr>
                      <w:rFonts w:ascii="Tahoma" w:eastAsia="Times New Roman" w:hAnsi="Tahoma" w:cs="Tahoma"/>
                      <w:i/>
                      <w:iCs/>
                      <w:color w:val="404040"/>
                      <w:sz w:val="14"/>
                      <w:szCs w:val="14"/>
                    </w:rPr>
                  </w:pPr>
                  <w:r>
                    <w:rPr>
                      <w:rFonts w:ascii="Tahoma" w:hAnsi="Tahoma"/>
                      <w:i/>
                      <w:color w:val="404040"/>
                      <w:sz w:val="14"/>
                    </w:rPr>
                    <w:t>*attributable to shareholders of the Parent Company</w:t>
                  </w:r>
                </w:p>
              </w:tc>
              <w:tc>
                <w:tcPr>
                  <w:tcW w:w="1420" w:type="dxa"/>
                  <w:tcBorders>
                    <w:top w:val="single" w:sz="4" w:space="0" w:color="000000"/>
                    <w:left w:val="nil"/>
                    <w:bottom w:val="nil"/>
                    <w:right w:val="single" w:sz="4" w:space="0" w:color="FFFFFF"/>
                  </w:tcBorders>
                  <w:shd w:val="clear" w:color="auto" w:fill="auto"/>
                  <w:noWrap/>
                  <w:vAlign w:val="center"/>
                  <w:hideMark/>
                </w:tcPr>
                <w:p w14:paraId="773D394C"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c>
                <w:tcPr>
                  <w:tcW w:w="1440" w:type="dxa"/>
                  <w:tcBorders>
                    <w:top w:val="single" w:sz="4" w:space="0" w:color="000000"/>
                    <w:left w:val="nil"/>
                    <w:bottom w:val="nil"/>
                    <w:right w:val="single" w:sz="4" w:space="0" w:color="FFFFFF"/>
                  </w:tcBorders>
                  <w:shd w:val="clear" w:color="auto" w:fill="auto"/>
                  <w:noWrap/>
                  <w:vAlign w:val="center"/>
                  <w:hideMark/>
                </w:tcPr>
                <w:p w14:paraId="02CC118C"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c>
                <w:tcPr>
                  <w:tcW w:w="1240" w:type="dxa"/>
                  <w:tcBorders>
                    <w:top w:val="single" w:sz="4" w:space="0" w:color="000000"/>
                    <w:left w:val="nil"/>
                    <w:bottom w:val="nil"/>
                    <w:right w:val="single" w:sz="4" w:space="0" w:color="FFFFFF"/>
                  </w:tcBorders>
                  <w:shd w:val="clear" w:color="auto" w:fill="auto"/>
                  <w:noWrap/>
                  <w:vAlign w:val="center"/>
                  <w:hideMark/>
                </w:tcPr>
                <w:p w14:paraId="69C9E1ED"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c>
                <w:tcPr>
                  <w:tcW w:w="180" w:type="dxa"/>
                  <w:tcBorders>
                    <w:top w:val="nil"/>
                    <w:left w:val="nil"/>
                    <w:bottom w:val="single" w:sz="4" w:space="0" w:color="FFFFFF"/>
                    <w:right w:val="single" w:sz="4" w:space="0" w:color="FFFFFF"/>
                  </w:tcBorders>
                  <w:shd w:val="clear" w:color="auto" w:fill="auto"/>
                  <w:noWrap/>
                  <w:vAlign w:val="center"/>
                  <w:hideMark/>
                </w:tcPr>
                <w:p w14:paraId="00ED388A"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r w:rsidR="006252BE" w:rsidRPr="006252BE" w14:paraId="1C5A0B3A" w14:textId="77777777" w:rsidTr="006252BE">
              <w:trPr>
                <w:trHeight w:val="255"/>
              </w:trPr>
              <w:tc>
                <w:tcPr>
                  <w:tcW w:w="3342" w:type="dxa"/>
                  <w:tcBorders>
                    <w:top w:val="dashed" w:sz="4" w:space="0" w:color="auto"/>
                    <w:left w:val="nil"/>
                    <w:bottom w:val="dashed" w:sz="4" w:space="0" w:color="auto"/>
                    <w:right w:val="nil"/>
                  </w:tcBorders>
                  <w:shd w:val="clear" w:color="000000" w:fill="F2F2F2"/>
                  <w:noWrap/>
                  <w:vAlign w:val="center"/>
                  <w:hideMark/>
                </w:tcPr>
                <w:p w14:paraId="1009BE6D"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discontinued operations</w:t>
                  </w:r>
                </w:p>
              </w:tc>
              <w:tc>
                <w:tcPr>
                  <w:tcW w:w="1420" w:type="dxa"/>
                  <w:tcBorders>
                    <w:top w:val="dashed" w:sz="4" w:space="0" w:color="auto"/>
                    <w:left w:val="nil"/>
                    <w:bottom w:val="dashed" w:sz="4" w:space="0" w:color="auto"/>
                    <w:right w:val="nil"/>
                  </w:tcBorders>
                  <w:shd w:val="clear" w:color="000000" w:fill="F2F2F2"/>
                  <w:noWrap/>
                  <w:vAlign w:val="center"/>
                  <w:hideMark/>
                </w:tcPr>
                <w:p w14:paraId="60DB0A50" w14:textId="77777777" w:rsidR="006252BE" w:rsidRPr="006252BE" w:rsidRDefault="006252BE" w:rsidP="006252BE">
                  <w:pPr>
                    <w:spacing w:after="0" w:line="240" w:lineRule="auto"/>
                    <w:rPr>
                      <w:rFonts w:ascii="Tahoma" w:eastAsia="Times New Roman" w:hAnsi="Tahoma" w:cs="Tahoma"/>
                      <w:i/>
                      <w:iCs/>
                      <w:color w:val="404040"/>
                    </w:rPr>
                  </w:pPr>
                  <w:r>
                    <w:rPr>
                      <w:rFonts w:ascii="Tahoma" w:hAnsi="Tahoma"/>
                      <w:i/>
                      <w:color w:val="404040"/>
                    </w:rPr>
                    <w:t>0</w:t>
                  </w:r>
                </w:p>
              </w:tc>
              <w:tc>
                <w:tcPr>
                  <w:tcW w:w="1440" w:type="dxa"/>
                  <w:tcBorders>
                    <w:top w:val="dashed" w:sz="4" w:space="0" w:color="auto"/>
                    <w:left w:val="nil"/>
                    <w:bottom w:val="dashed" w:sz="4" w:space="0" w:color="auto"/>
                    <w:right w:val="nil"/>
                  </w:tcBorders>
                  <w:shd w:val="clear" w:color="000000" w:fill="F2F2F2"/>
                  <w:noWrap/>
                  <w:vAlign w:val="center"/>
                  <w:hideMark/>
                </w:tcPr>
                <w:p w14:paraId="4E2795C9" w14:textId="77777777" w:rsidR="006252BE" w:rsidRPr="006252BE" w:rsidRDefault="006252BE" w:rsidP="006252BE">
                  <w:pPr>
                    <w:spacing w:after="0" w:line="240" w:lineRule="auto"/>
                    <w:rPr>
                      <w:rFonts w:ascii="Tahoma" w:eastAsia="Times New Roman" w:hAnsi="Tahoma" w:cs="Tahoma"/>
                      <w:i/>
                      <w:iCs/>
                      <w:color w:val="404040"/>
                    </w:rPr>
                  </w:pPr>
                  <w:r>
                    <w:rPr>
                      <w:rFonts w:ascii="Tahoma" w:hAnsi="Tahoma"/>
                      <w:i/>
                      <w:color w:val="404040"/>
                    </w:rPr>
                    <w:t>521</w:t>
                  </w:r>
                </w:p>
              </w:tc>
              <w:tc>
                <w:tcPr>
                  <w:tcW w:w="1240" w:type="dxa"/>
                  <w:tcBorders>
                    <w:top w:val="dashed" w:sz="4" w:space="0" w:color="auto"/>
                    <w:left w:val="nil"/>
                    <w:bottom w:val="dashed" w:sz="4" w:space="0" w:color="auto"/>
                    <w:right w:val="nil"/>
                  </w:tcBorders>
                  <w:shd w:val="clear" w:color="000000" w:fill="F2F2F2"/>
                  <w:noWrap/>
                  <w:vAlign w:val="center"/>
                  <w:hideMark/>
                </w:tcPr>
                <w:p w14:paraId="5FAA25C5" w14:textId="77777777" w:rsidR="006252BE" w:rsidRPr="006252BE" w:rsidRDefault="006252BE" w:rsidP="006252BE">
                  <w:pPr>
                    <w:spacing w:after="0" w:line="240" w:lineRule="auto"/>
                    <w:rPr>
                      <w:rFonts w:ascii="Tahoma" w:eastAsia="Times New Roman" w:hAnsi="Tahoma" w:cs="Tahoma"/>
                      <w:i/>
                      <w:iCs/>
                      <w:color w:val="404040"/>
                    </w:rPr>
                  </w:pPr>
                  <w:r>
                    <w:rPr>
                      <w:rFonts w:ascii="Tahoma" w:hAnsi="Tahoma"/>
                      <w:i/>
                      <w:color w:val="404040"/>
                    </w:rPr>
                    <w:t>n/a</w:t>
                  </w:r>
                </w:p>
              </w:tc>
              <w:tc>
                <w:tcPr>
                  <w:tcW w:w="180" w:type="dxa"/>
                  <w:tcBorders>
                    <w:top w:val="nil"/>
                    <w:left w:val="nil"/>
                    <w:bottom w:val="single" w:sz="4" w:space="0" w:color="FFFFFF"/>
                    <w:right w:val="single" w:sz="4" w:space="0" w:color="FFFFFF"/>
                  </w:tcBorders>
                  <w:shd w:val="clear" w:color="auto" w:fill="auto"/>
                  <w:noWrap/>
                  <w:vAlign w:val="center"/>
                  <w:hideMark/>
                </w:tcPr>
                <w:p w14:paraId="1D77EA09"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 </w:t>
                  </w:r>
                </w:p>
              </w:tc>
            </w:tr>
          </w:tbl>
          <w:p w14:paraId="5805A72A" w14:textId="1D3E380D" w:rsidR="00221758" w:rsidRPr="006B3CBD" w:rsidRDefault="00221758" w:rsidP="00107A4A">
            <w:pPr>
              <w:spacing w:line="360" w:lineRule="auto"/>
              <w:jc w:val="center"/>
              <w:rPr>
                <w:rFonts w:ascii="Tahoma" w:eastAsia="Tahoma" w:hAnsi="Tahoma" w:cs="Tahoma"/>
                <w:color w:val="808080"/>
                <w:sz w:val="18"/>
                <w:szCs w:val="18"/>
                <w:highlight w:val="yellow"/>
              </w:rPr>
            </w:pPr>
          </w:p>
          <w:p w14:paraId="22E5508A" w14:textId="4CA1C933" w:rsidR="00136D8F" w:rsidRDefault="007143D6" w:rsidP="00355A2C">
            <w:pPr>
              <w:spacing w:line="360" w:lineRule="auto"/>
              <w:jc w:val="both"/>
              <w:rPr>
                <w:rFonts w:ascii="Tahoma" w:eastAsia="Tahoma" w:hAnsi="Tahoma" w:cs="Tahoma"/>
                <w:b/>
                <w:color w:val="808080"/>
                <w:sz w:val="18"/>
                <w:szCs w:val="18"/>
                <w:highlight w:val="yellow"/>
              </w:rPr>
            </w:pPr>
            <w:r>
              <w:rPr>
                <w:rFonts w:ascii="Tahoma" w:hAnsi="Tahoma"/>
                <w:color w:val="808080"/>
                <w:sz w:val="18"/>
                <w:highlight w:val="yellow"/>
              </w:rPr>
              <w:br/>
            </w:r>
            <w:r>
              <w:rPr>
                <w:rFonts w:ascii="Tahoma" w:hAnsi="Tahoma"/>
                <w:b/>
                <w:color w:val="808080"/>
                <w:sz w:val="18"/>
              </w:rPr>
              <w:t>The construction and installation production in 2022</w:t>
            </w:r>
            <w:r>
              <w:rPr>
                <w:rFonts w:ascii="Tahoma" w:hAnsi="Tahoma"/>
                <w:color w:val="808080"/>
                <w:sz w:val="18"/>
              </w:rPr>
              <w:t xml:space="preserve"> (at current prices)</w:t>
            </w:r>
            <w:r>
              <w:rPr>
                <w:rFonts w:ascii="Tahoma" w:hAnsi="Tahoma"/>
                <w:b/>
                <w:color w:val="808080"/>
                <w:sz w:val="18"/>
              </w:rPr>
              <w:t xml:space="preserve"> increased year-over-year by 19.9%, from PLN 117.1 billion in 2021 to PLN 140.4 billion in 2022.</w:t>
            </w:r>
            <w:r>
              <w:rPr>
                <w:rFonts w:ascii="Tahoma" w:hAnsi="Tahoma"/>
                <w:color w:val="808080"/>
                <w:sz w:val="18"/>
              </w:rPr>
              <w:t xml:space="preserve">. In the buildings segment, the sold production increased by as much as 24.6%, while in the infrastructure segment, the increase was 15.5%. At the same time, it should be noted that the production growth dynamics in fixed prices (without the effect of increase of prices of construction and assembly production) was significantly lower, i.e., 6.2%. </w:t>
            </w:r>
          </w:p>
          <w:p w14:paraId="7B9D7688" w14:textId="77777777" w:rsidR="00136D8F" w:rsidRPr="006B3CBD" w:rsidRDefault="00136D8F" w:rsidP="00FE4F78">
            <w:pPr>
              <w:spacing w:line="360" w:lineRule="auto"/>
              <w:rPr>
                <w:rFonts w:ascii="Tahoma" w:eastAsia="Tahoma" w:hAnsi="Tahoma" w:cs="Tahoma"/>
                <w:b/>
                <w:color w:val="808080"/>
                <w:sz w:val="18"/>
                <w:szCs w:val="18"/>
                <w:highlight w:val="yellow"/>
              </w:rPr>
            </w:pPr>
          </w:p>
          <w:tbl>
            <w:tblPr>
              <w:tblW w:w="6986" w:type="dxa"/>
              <w:tblLayout w:type="fixed"/>
              <w:tblCellMar>
                <w:left w:w="70" w:type="dxa"/>
                <w:right w:w="70" w:type="dxa"/>
              </w:tblCellMar>
              <w:tblLook w:val="04A0" w:firstRow="1" w:lastRow="0" w:firstColumn="1" w:lastColumn="0" w:noHBand="0" w:noVBand="1"/>
            </w:tblPr>
            <w:tblGrid>
              <w:gridCol w:w="2340"/>
              <w:gridCol w:w="1386"/>
              <w:gridCol w:w="1701"/>
              <w:gridCol w:w="1559"/>
            </w:tblGrid>
            <w:tr w:rsidR="006252BE" w:rsidRPr="006252BE" w14:paraId="6748F8FC" w14:textId="77777777" w:rsidTr="006252BE">
              <w:trPr>
                <w:trHeight w:val="349"/>
              </w:trPr>
              <w:tc>
                <w:tcPr>
                  <w:tcW w:w="2340" w:type="dxa"/>
                  <w:vMerge w:val="restart"/>
                  <w:tcBorders>
                    <w:top w:val="nil"/>
                    <w:left w:val="single" w:sz="4" w:space="0" w:color="000000"/>
                    <w:bottom w:val="single" w:sz="8" w:space="0" w:color="000000"/>
                    <w:right w:val="nil"/>
                  </w:tcBorders>
                  <w:shd w:val="clear" w:color="000000" w:fill="595959"/>
                  <w:vAlign w:val="center"/>
                  <w:hideMark/>
                </w:tcPr>
                <w:p w14:paraId="777984F7" w14:textId="77777777" w:rsidR="006252BE" w:rsidRPr="006252BE" w:rsidRDefault="006252BE" w:rsidP="006252BE">
                  <w:pPr>
                    <w:spacing w:after="0" w:line="240" w:lineRule="auto"/>
                    <w:rPr>
                      <w:rFonts w:ascii="Tahoma" w:eastAsia="Times New Roman" w:hAnsi="Tahoma" w:cs="Tahoma"/>
                      <w:b/>
                      <w:bCs/>
                      <w:color w:val="F2F2F2"/>
                    </w:rPr>
                  </w:pPr>
                  <w:r>
                    <w:rPr>
                      <w:rFonts w:ascii="Tahoma" w:hAnsi="Tahoma"/>
                      <w:b/>
                      <w:color w:val="F2F2F2"/>
                    </w:rPr>
                    <w:t>Construction sector</w:t>
                  </w:r>
                </w:p>
              </w:tc>
              <w:tc>
                <w:tcPr>
                  <w:tcW w:w="4646" w:type="dxa"/>
                  <w:gridSpan w:val="3"/>
                  <w:tcBorders>
                    <w:top w:val="nil"/>
                    <w:left w:val="nil"/>
                    <w:bottom w:val="nil"/>
                    <w:right w:val="nil"/>
                  </w:tcBorders>
                  <w:shd w:val="clear" w:color="000000" w:fill="BFBFBF"/>
                  <w:noWrap/>
                  <w:vAlign w:val="center"/>
                  <w:hideMark/>
                </w:tcPr>
                <w:p w14:paraId="0BEEE80D" w14:textId="77777777" w:rsidR="006252BE" w:rsidRPr="006252BE" w:rsidRDefault="006252BE" w:rsidP="006252BE">
                  <w:pPr>
                    <w:spacing w:after="0" w:line="240" w:lineRule="auto"/>
                    <w:jc w:val="center"/>
                    <w:rPr>
                      <w:rFonts w:ascii="Tahoma" w:eastAsia="Times New Roman" w:hAnsi="Tahoma" w:cs="Tahoma"/>
                      <w:b/>
                      <w:bCs/>
                      <w:color w:val="000000"/>
                    </w:rPr>
                  </w:pPr>
                  <w:r>
                    <w:rPr>
                      <w:rFonts w:ascii="Tahoma" w:hAnsi="Tahoma"/>
                      <w:b/>
                      <w:color w:val="000000"/>
                    </w:rPr>
                    <w:t>Statistical data</w:t>
                  </w:r>
                  <w:r>
                    <w:rPr>
                      <w:rFonts w:ascii="Tahoma" w:hAnsi="Tahoma"/>
                      <w:color w:val="000000"/>
                    </w:rPr>
                    <w:t xml:space="preserve"> (PLN billion)</w:t>
                  </w:r>
                </w:p>
              </w:tc>
            </w:tr>
            <w:tr w:rsidR="006252BE" w:rsidRPr="006252BE" w14:paraId="0C43FAA4" w14:textId="77777777" w:rsidTr="006252BE">
              <w:trPr>
                <w:trHeight w:val="540"/>
              </w:trPr>
              <w:tc>
                <w:tcPr>
                  <w:tcW w:w="2340" w:type="dxa"/>
                  <w:vMerge/>
                  <w:tcBorders>
                    <w:top w:val="nil"/>
                    <w:left w:val="single" w:sz="4" w:space="0" w:color="000000"/>
                    <w:bottom w:val="single" w:sz="8" w:space="0" w:color="000000"/>
                    <w:right w:val="nil"/>
                  </w:tcBorders>
                  <w:vAlign w:val="center"/>
                  <w:hideMark/>
                </w:tcPr>
                <w:p w14:paraId="7584D993" w14:textId="77777777" w:rsidR="006252BE" w:rsidRPr="006252BE" w:rsidRDefault="006252BE" w:rsidP="006252BE">
                  <w:pPr>
                    <w:spacing w:after="0" w:line="240" w:lineRule="auto"/>
                    <w:rPr>
                      <w:rFonts w:ascii="Tahoma" w:eastAsia="Times New Roman" w:hAnsi="Tahoma" w:cs="Tahoma"/>
                      <w:b/>
                      <w:bCs/>
                      <w:color w:val="F2F2F2"/>
                    </w:rPr>
                  </w:pPr>
                </w:p>
              </w:tc>
              <w:tc>
                <w:tcPr>
                  <w:tcW w:w="1386" w:type="dxa"/>
                  <w:tcBorders>
                    <w:top w:val="single" w:sz="4" w:space="0" w:color="auto"/>
                    <w:left w:val="nil"/>
                    <w:bottom w:val="single" w:sz="8" w:space="0" w:color="auto"/>
                    <w:right w:val="single" w:sz="4" w:space="0" w:color="000000"/>
                  </w:tcBorders>
                  <w:shd w:val="clear" w:color="000000" w:fill="BFBFBF"/>
                  <w:vAlign w:val="center"/>
                  <w:hideMark/>
                </w:tcPr>
                <w:p w14:paraId="049BCA2D" w14:textId="77777777" w:rsidR="006252BE" w:rsidRPr="006252BE" w:rsidRDefault="006252BE" w:rsidP="006252BE">
                  <w:pPr>
                    <w:spacing w:after="0" w:line="240" w:lineRule="auto"/>
                    <w:rPr>
                      <w:rFonts w:ascii="Tahoma" w:eastAsia="Times New Roman" w:hAnsi="Tahoma" w:cs="Tahoma"/>
                      <w:color w:val="000000"/>
                    </w:rPr>
                  </w:pPr>
                  <w:r>
                    <w:rPr>
                      <w:rFonts w:ascii="Tahoma" w:hAnsi="Tahoma"/>
                      <w:color w:val="000000"/>
                    </w:rPr>
                    <w:t>1-12 2022</w:t>
                  </w:r>
                </w:p>
              </w:tc>
              <w:tc>
                <w:tcPr>
                  <w:tcW w:w="1701" w:type="dxa"/>
                  <w:tcBorders>
                    <w:top w:val="single" w:sz="4" w:space="0" w:color="000000"/>
                    <w:left w:val="nil"/>
                    <w:bottom w:val="single" w:sz="8" w:space="0" w:color="000000"/>
                    <w:right w:val="single" w:sz="4" w:space="0" w:color="000000"/>
                  </w:tcBorders>
                  <w:shd w:val="clear" w:color="000000" w:fill="BFBFBF"/>
                  <w:vAlign w:val="center"/>
                  <w:hideMark/>
                </w:tcPr>
                <w:p w14:paraId="67A7D7DE" w14:textId="77777777" w:rsidR="006252BE" w:rsidRPr="006252BE" w:rsidRDefault="006252BE" w:rsidP="006252BE">
                  <w:pPr>
                    <w:spacing w:after="0" w:line="240" w:lineRule="auto"/>
                    <w:jc w:val="center"/>
                    <w:rPr>
                      <w:rFonts w:ascii="Tahoma" w:eastAsia="Times New Roman" w:hAnsi="Tahoma" w:cs="Tahoma"/>
                      <w:color w:val="000000"/>
                    </w:rPr>
                  </w:pPr>
                  <w:r>
                    <w:rPr>
                      <w:rFonts w:ascii="Tahoma" w:hAnsi="Tahoma"/>
                      <w:color w:val="000000"/>
                    </w:rPr>
                    <w:t>1-12 2021</w:t>
                  </w:r>
                </w:p>
              </w:tc>
              <w:tc>
                <w:tcPr>
                  <w:tcW w:w="1559" w:type="dxa"/>
                  <w:tcBorders>
                    <w:top w:val="single" w:sz="4" w:space="0" w:color="000000"/>
                    <w:left w:val="nil"/>
                    <w:bottom w:val="single" w:sz="8" w:space="0" w:color="000000"/>
                    <w:right w:val="nil"/>
                  </w:tcBorders>
                  <w:shd w:val="clear" w:color="000000" w:fill="BFBFBF"/>
                  <w:noWrap/>
                  <w:vAlign w:val="center"/>
                  <w:hideMark/>
                </w:tcPr>
                <w:p w14:paraId="2D115058" w14:textId="77777777" w:rsidR="006252BE" w:rsidRPr="006252BE" w:rsidRDefault="006252BE" w:rsidP="006252BE">
                  <w:pPr>
                    <w:spacing w:after="0" w:line="240" w:lineRule="auto"/>
                    <w:jc w:val="center"/>
                    <w:rPr>
                      <w:rFonts w:ascii="Tahoma" w:eastAsia="Times New Roman" w:hAnsi="Tahoma" w:cs="Tahoma"/>
                      <w:color w:val="000000"/>
                    </w:rPr>
                  </w:pPr>
                  <w:r>
                    <w:rPr>
                      <w:rFonts w:ascii="Tahoma" w:hAnsi="Tahoma"/>
                      <w:color w:val="000000"/>
                    </w:rPr>
                    <w:t>y/y</w:t>
                  </w:r>
                </w:p>
              </w:tc>
            </w:tr>
            <w:tr w:rsidR="006252BE" w:rsidRPr="006252BE" w14:paraId="2EE12490" w14:textId="77777777" w:rsidTr="006252BE">
              <w:trPr>
                <w:trHeight w:val="660"/>
              </w:trPr>
              <w:tc>
                <w:tcPr>
                  <w:tcW w:w="2340" w:type="dxa"/>
                  <w:tcBorders>
                    <w:top w:val="nil"/>
                    <w:left w:val="single" w:sz="8" w:space="0" w:color="FFC000"/>
                    <w:bottom w:val="single" w:sz="8" w:space="0" w:color="auto"/>
                    <w:right w:val="nil"/>
                  </w:tcBorders>
                  <w:shd w:val="clear" w:color="000000" w:fill="FFC000"/>
                  <w:vAlign w:val="center"/>
                  <w:hideMark/>
                </w:tcPr>
                <w:p w14:paraId="26F321AC"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 xml:space="preserve">Sold </w:t>
                  </w:r>
                  <w:r>
                    <w:rPr>
                      <w:rFonts w:ascii="Tahoma" w:hAnsi="Tahoma"/>
                      <w:b/>
                      <w:color w:val="404040"/>
                    </w:rPr>
                    <w:br/>
                    <w:t>production</w:t>
                  </w:r>
                </w:p>
              </w:tc>
              <w:tc>
                <w:tcPr>
                  <w:tcW w:w="1386" w:type="dxa"/>
                  <w:tcBorders>
                    <w:top w:val="nil"/>
                    <w:left w:val="nil"/>
                    <w:bottom w:val="single" w:sz="8" w:space="0" w:color="000000"/>
                    <w:right w:val="nil"/>
                  </w:tcBorders>
                  <w:shd w:val="clear" w:color="000000" w:fill="FFC000"/>
                  <w:noWrap/>
                  <w:vAlign w:val="center"/>
                  <w:hideMark/>
                </w:tcPr>
                <w:p w14:paraId="585F90E2"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140.4</w:t>
                  </w:r>
                </w:p>
              </w:tc>
              <w:tc>
                <w:tcPr>
                  <w:tcW w:w="1701" w:type="dxa"/>
                  <w:tcBorders>
                    <w:top w:val="nil"/>
                    <w:left w:val="nil"/>
                    <w:bottom w:val="single" w:sz="8" w:space="0" w:color="000000"/>
                    <w:right w:val="nil"/>
                  </w:tcBorders>
                  <w:shd w:val="clear" w:color="000000" w:fill="FFC000"/>
                  <w:noWrap/>
                  <w:vAlign w:val="center"/>
                  <w:hideMark/>
                </w:tcPr>
                <w:p w14:paraId="6546204A"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117.1</w:t>
                  </w:r>
                </w:p>
              </w:tc>
              <w:tc>
                <w:tcPr>
                  <w:tcW w:w="1559" w:type="dxa"/>
                  <w:tcBorders>
                    <w:top w:val="nil"/>
                    <w:left w:val="nil"/>
                    <w:bottom w:val="single" w:sz="8" w:space="0" w:color="000000"/>
                    <w:right w:val="nil"/>
                  </w:tcBorders>
                  <w:shd w:val="clear" w:color="000000" w:fill="FFC000"/>
                  <w:noWrap/>
                  <w:vAlign w:val="center"/>
                  <w:hideMark/>
                </w:tcPr>
                <w:p w14:paraId="4E51B031"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19.9%</w:t>
                  </w:r>
                </w:p>
              </w:tc>
            </w:tr>
            <w:tr w:rsidR="006252BE" w:rsidRPr="006252BE" w14:paraId="218B9B0F" w14:textId="77777777" w:rsidTr="006252BE">
              <w:trPr>
                <w:trHeight w:val="405"/>
              </w:trPr>
              <w:tc>
                <w:tcPr>
                  <w:tcW w:w="2340" w:type="dxa"/>
                  <w:tcBorders>
                    <w:top w:val="nil"/>
                    <w:left w:val="nil"/>
                    <w:bottom w:val="nil"/>
                    <w:right w:val="nil"/>
                  </w:tcBorders>
                  <w:shd w:val="clear" w:color="000000" w:fill="F2F2F2"/>
                  <w:noWrap/>
                  <w:vAlign w:val="center"/>
                  <w:hideMark/>
                </w:tcPr>
                <w:p w14:paraId="0E447D36" w14:textId="77777777" w:rsidR="006252BE" w:rsidRPr="006252BE" w:rsidRDefault="006252BE" w:rsidP="006252BE">
                  <w:pPr>
                    <w:spacing w:after="0" w:line="240" w:lineRule="auto"/>
                    <w:outlineLvl w:val="0"/>
                    <w:rPr>
                      <w:rFonts w:ascii="Tahoma" w:eastAsia="Times New Roman" w:hAnsi="Tahoma" w:cs="Tahoma"/>
                      <w:b/>
                      <w:bCs/>
                      <w:color w:val="404040"/>
                    </w:rPr>
                  </w:pPr>
                  <w:r>
                    <w:rPr>
                      <w:rFonts w:ascii="Tahoma" w:hAnsi="Tahoma"/>
                      <w:b/>
                      <w:color w:val="404040"/>
                    </w:rPr>
                    <w:t>Buildings</w:t>
                  </w:r>
                </w:p>
              </w:tc>
              <w:tc>
                <w:tcPr>
                  <w:tcW w:w="1386" w:type="dxa"/>
                  <w:tcBorders>
                    <w:top w:val="nil"/>
                    <w:left w:val="nil"/>
                    <w:bottom w:val="nil"/>
                    <w:right w:val="nil"/>
                  </w:tcBorders>
                  <w:shd w:val="clear" w:color="000000" w:fill="F2F2F2"/>
                  <w:noWrap/>
                  <w:vAlign w:val="center"/>
                  <w:hideMark/>
                </w:tcPr>
                <w:p w14:paraId="74842C5F" w14:textId="77777777" w:rsidR="006252BE" w:rsidRPr="006252BE" w:rsidRDefault="006252BE" w:rsidP="006252BE">
                  <w:pPr>
                    <w:spacing w:after="0" w:line="240" w:lineRule="auto"/>
                    <w:outlineLvl w:val="0"/>
                    <w:rPr>
                      <w:rFonts w:ascii="Tahoma" w:eastAsia="Times New Roman" w:hAnsi="Tahoma" w:cs="Tahoma"/>
                      <w:b/>
                      <w:bCs/>
                      <w:color w:val="404040"/>
                    </w:rPr>
                  </w:pPr>
                  <w:r>
                    <w:rPr>
                      <w:rFonts w:ascii="Tahoma" w:hAnsi="Tahoma"/>
                      <w:b/>
                      <w:color w:val="404040"/>
                    </w:rPr>
                    <w:t>69.7</w:t>
                  </w:r>
                </w:p>
              </w:tc>
              <w:tc>
                <w:tcPr>
                  <w:tcW w:w="1701" w:type="dxa"/>
                  <w:tcBorders>
                    <w:top w:val="nil"/>
                    <w:left w:val="nil"/>
                    <w:bottom w:val="nil"/>
                    <w:right w:val="nil"/>
                  </w:tcBorders>
                  <w:shd w:val="clear" w:color="000000" w:fill="F2F2F2"/>
                  <w:noWrap/>
                  <w:vAlign w:val="center"/>
                  <w:hideMark/>
                </w:tcPr>
                <w:p w14:paraId="0DA73BB7" w14:textId="77777777" w:rsidR="006252BE" w:rsidRPr="006252BE" w:rsidRDefault="006252BE" w:rsidP="006252BE">
                  <w:pPr>
                    <w:spacing w:after="0" w:line="240" w:lineRule="auto"/>
                    <w:outlineLvl w:val="0"/>
                    <w:rPr>
                      <w:rFonts w:ascii="Tahoma" w:eastAsia="Times New Roman" w:hAnsi="Tahoma" w:cs="Tahoma"/>
                      <w:b/>
                      <w:bCs/>
                      <w:color w:val="404040"/>
                    </w:rPr>
                  </w:pPr>
                  <w:r>
                    <w:rPr>
                      <w:rFonts w:ascii="Tahoma" w:hAnsi="Tahoma"/>
                      <w:b/>
                      <w:color w:val="404040"/>
                    </w:rPr>
                    <w:t>56.0</w:t>
                  </w:r>
                </w:p>
              </w:tc>
              <w:tc>
                <w:tcPr>
                  <w:tcW w:w="1559" w:type="dxa"/>
                  <w:tcBorders>
                    <w:top w:val="nil"/>
                    <w:left w:val="nil"/>
                    <w:bottom w:val="nil"/>
                    <w:right w:val="nil"/>
                  </w:tcBorders>
                  <w:shd w:val="clear" w:color="000000" w:fill="F2F2F2"/>
                  <w:noWrap/>
                  <w:vAlign w:val="center"/>
                  <w:hideMark/>
                </w:tcPr>
                <w:p w14:paraId="63AA910D" w14:textId="77777777" w:rsidR="006252BE" w:rsidRPr="006252BE" w:rsidRDefault="006252BE" w:rsidP="006252BE">
                  <w:pPr>
                    <w:spacing w:after="0" w:line="240" w:lineRule="auto"/>
                    <w:outlineLvl w:val="0"/>
                    <w:rPr>
                      <w:rFonts w:ascii="Tahoma" w:eastAsia="Times New Roman" w:hAnsi="Tahoma" w:cs="Tahoma"/>
                      <w:b/>
                      <w:bCs/>
                      <w:color w:val="404040"/>
                    </w:rPr>
                  </w:pPr>
                  <w:r>
                    <w:rPr>
                      <w:rFonts w:ascii="Tahoma" w:hAnsi="Tahoma"/>
                      <w:b/>
                      <w:color w:val="404040"/>
                    </w:rPr>
                    <w:t>24.6%</w:t>
                  </w:r>
                </w:p>
              </w:tc>
            </w:tr>
            <w:tr w:rsidR="006252BE" w:rsidRPr="006252BE" w14:paraId="7330127E" w14:textId="77777777" w:rsidTr="006252BE">
              <w:trPr>
                <w:trHeight w:val="285"/>
              </w:trPr>
              <w:tc>
                <w:tcPr>
                  <w:tcW w:w="2340" w:type="dxa"/>
                  <w:tcBorders>
                    <w:top w:val="nil"/>
                    <w:left w:val="nil"/>
                    <w:bottom w:val="nil"/>
                    <w:right w:val="nil"/>
                  </w:tcBorders>
                  <w:shd w:val="clear" w:color="000000" w:fill="F2F2F2"/>
                  <w:noWrap/>
                  <w:vAlign w:val="center"/>
                  <w:hideMark/>
                </w:tcPr>
                <w:p w14:paraId="03C8412E" w14:textId="77777777" w:rsidR="006252BE" w:rsidRPr="006252BE" w:rsidRDefault="006252BE" w:rsidP="006252BE">
                  <w:pPr>
                    <w:spacing w:after="0" w:line="240" w:lineRule="auto"/>
                    <w:outlineLvl w:val="0"/>
                    <w:rPr>
                      <w:rFonts w:ascii="Tahoma" w:eastAsia="Times New Roman" w:hAnsi="Tahoma" w:cs="Tahoma"/>
                      <w:color w:val="404040"/>
                    </w:rPr>
                  </w:pPr>
                  <w:r>
                    <w:rPr>
                      <w:rFonts w:ascii="Tahoma" w:hAnsi="Tahoma"/>
                      <w:color w:val="404040"/>
                    </w:rPr>
                    <w:t>share</w:t>
                  </w:r>
                </w:p>
              </w:tc>
              <w:tc>
                <w:tcPr>
                  <w:tcW w:w="1386" w:type="dxa"/>
                  <w:tcBorders>
                    <w:top w:val="nil"/>
                    <w:left w:val="nil"/>
                    <w:bottom w:val="single" w:sz="4" w:space="0" w:color="000000"/>
                    <w:right w:val="nil"/>
                  </w:tcBorders>
                  <w:shd w:val="clear" w:color="000000" w:fill="F2F2F2"/>
                  <w:noWrap/>
                  <w:vAlign w:val="center"/>
                  <w:hideMark/>
                </w:tcPr>
                <w:p w14:paraId="34793410" w14:textId="77777777" w:rsidR="006252BE" w:rsidRPr="006252BE" w:rsidRDefault="006252BE" w:rsidP="006252BE">
                  <w:pPr>
                    <w:spacing w:after="0" w:line="240" w:lineRule="auto"/>
                    <w:outlineLvl w:val="0"/>
                    <w:rPr>
                      <w:rFonts w:ascii="Tahoma" w:eastAsia="Times New Roman" w:hAnsi="Tahoma" w:cs="Tahoma"/>
                      <w:color w:val="404040"/>
                    </w:rPr>
                  </w:pPr>
                  <w:r>
                    <w:rPr>
                      <w:rFonts w:ascii="Tahoma" w:hAnsi="Tahoma"/>
                      <w:color w:val="404040"/>
                    </w:rPr>
                    <w:t>49.7%</w:t>
                  </w:r>
                </w:p>
              </w:tc>
              <w:tc>
                <w:tcPr>
                  <w:tcW w:w="1701" w:type="dxa"/>
                  <w:tcBorders>
                    <w:top w:val="nil"/>
                    <w:left w:val="nil"/>
                    <w:bottom w:val="single" w:sz="4" w:space="0" w:color="000000"/>
                    <w:right w:val="nil"/>
                  </w:tcBorders>
                  <w:shd w:val="clear" w:color="000000" w:fill="F2F2F2"/>
                  <w:noWrap/>
                  <w:vAlign w:val="center"/>
                  <w:hideMark/>
                </w:tcPr>
                <w:p w14:paraId="28CF260D" w14:textId="77777777" w:rsidR="006252BE" w:rsidRPr="006252BE" w:rsidRDefault="006252BE" w:rsidP="006252BE">
                  <w:pPr>
                    <w:spacing w:after="0" w:line="240" w:lineRule="auto"/>
                    <w:outlineLvl w:val="0"/>
                    <w:rPr>
                      <w:rFonts w:ascii="Tahoma" w:eastAsia="Times New Roman" w:hAnsi="Tahoma" w:cs="Tahoma"/>
                      <w:color w:val="404040"/>
                    </w:rPr>
                  </w:pPr>
                  <w:r>
                    <w:rPr>
                      <w:rFonts w:ascii="Tahoma" w:hAnsi="Tahoma"/>
                      <w:color w:val="404040"/>
                    </w:rPr>
                    <w:t>47.8%</w:t>
                  </w:r>
                </w:p>
              </w:tc>
              <w:tc>
                <w:tcPr>
                  <w:tcW w:w="1559" w:type="dxa"/>
                  <w:tcBorders>
                    <w:top w:val="nil"/>
                    <w:left w:val="nil"/>
                    <w:bottom w:val="single" w:sz="4" w:space="0" w:color="000000"/>
                    <w:right w:val="nil"/>
                  </w:tcBorders>
                  <w:shd w:val="clear" w:color="000000" w:fill="F2F2F2"/>
                  <w:noWrap/>
                  <w:vAlign w:val="center"/>
                  <w:hideMark/>
                </w:tcPr>
                <w:p w14:paraId="2DF38B34" w14:textId="77777777" w:rsidR="006252BE" w:rsidRPr="006252BE" w:rsidRDefault="006252BE" w:rsidP="006252BE">
                  <w:pPr>
                    <w:spacing w:after="0" w:line="240" w:lineRule="auto"/>
                    <w:outlineLvl w:val="0"/>
                    <w:rPr>
                      <w:rFonts w:ascii="Tahoma" w:eastAsia="Times New Roman" w:hAnsi="Tahoma" w:cs="Tahoma"/>
                      <w:color w:val="404040"/>
                    </w:rPr>
                  </w:pPr>
                  <w:r>
                    <w:rPr>
                      <w:rFonts w:ascii="Tahoma" w:hAnsi="Tahoma"/>
                      <w:color w:val="404040"/>
                    </w:rPr>
                    <w:t>1.9%</w:t>
                  </w:r>
                </w:p>
              </w:tc>
            </w:tr>
            <w:tr w:rsidR="006252BE" w:rsidRPr="006252BE" w14:paraId="136440B9" w14:textId="77777777" w:rsidTr="006252BE">
              <w:trPr>
                <w:trHeight w:val="405"/>
              </w:trPr>
              <w:tc>
                <w:tcPr>
                  <w:tcW w:w="2340" w:type="dxa"/>
                  <w:tcBorders>
                    <w:top w:val="single" w:sz="4" w:space="0" w:color="000000"/>
                    <w:left w:val="nil"/>
                    <w:bottom w:val="dashed" w:sz="4" w:space="0" w:color="000000"/>
                    <w:right w:val="nil"/>
                  </w:tcBorders>
                  <w:shd w:val="clear" w:color="000000" w:fill="F2F2F2"/>
                  <w:noWrap/>
                  <w:vAlign w:val="center"/>
                  <w:hideMark/>
                </w:tcPr>
                <w:p w14:paraId="16426C5A"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Engineering</w:t>
                  </w:r>
                </w:p>
              </w:tc>
              <w:tc>
                <w:tcPr>
                  <w:tcW w:w="1386" w:type="dxa"/>
                  <w:tcBorders>
                    <w:top w:val="nil"/>
                    <w:left w:val="nil"/>
                    <w:bottom w:val="dashed" w:sz="4" w:space="0" w:color="000000"/>
                    <w:right w:val="nil"/>
                  </w:tcBorders>
                  <w:shd w:val="clear" w:color="000000" w:fill="F2F2F2"/>
                  <w:noWrap/>
                  <w:vAlign w:val="center"/>
                  <w:hideMark/>
                </w:tcPr>
                <w:p w14:paraId="0D4386D9"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70.6</w:t>
                  </w:r>
                </w:p>
              </w:tc>
              <w:tc>
                <w:tcPr>
                  <w:tcW w:w="1701" w:type="dxa"/>
                  <w:tcBorders>
                    <w:top w:val="nil"/>
                    <w:left w:val="nil"/>
                    <w:bottom w:val="dashed" w:sz="4" w:space="0" w:color="000000"/>
                    <w:right w:val="nil"/>
                  </w:tcBorders>
                  <w:shd w:val="clear" w:color="000000" w:fill="F2F2F2"/>
                  <w:noWrap/>
                  <w:vAlign w:val="center"/>
                  <w:hideMark/>
                </w:tcPr>
                <w:p w14:paraId="7298F79D"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61.1</w:t>
                  </w:r>
                </w:p>
              </w:tc>
              <w:tc>
                <w:tcPr>
                  <w:tcW w:w="1559" w:type="dxa"/>
                  <w:tcBorders>
                    <w:top w:val="nil"/>
                    <w:left w:val="nil"/>
                    <w:bottom w:val="dashed" w:sz="4" w:space="0" w:color="000000"/>
                    <w:right w:val="nil"/>
                  </w:tcBorders>
                  <w:shd w:val="clear" w:color="000000" w:fill="F2F2F2"/>
                  <w:noWrap/>
                  <w:vAlign w:val="center"/>
                  <w:hideMark/>
                </w:tcPr>
                <w:p w14:paraId="7160387E" w14:textId="77777777" w:rsidR="006252BE" w:rsidRPr="006252BE" w:rsidRDefault="006252BE" w:rsidP="006252BE">
                  <w:pPr>
                    <w:spacing w:after="0" w:line="240" w:lineRule="auto"/>
                    <w:rPr>
                      <w:rFonts w:ascii="Tahoma" w:eastAsia="Times New Roman" w:hAnsi="Tahoma" w:cs="Tahoma"/>
                      <w:b/>
                      <w:bCs/>
                      <w:color w:val="404040"/>
                    </w:rPr>
                  </w:pPr>
                  <w:r>
                    <w:rPr>
                      <w:rFonts w:ascii="Tahoma" w:hAnsi="Tahoma"/>
                      <w:b/>
                      <w:color w:val="404040"/>
                    </w:rPr>
                    <w:t>15.5%</w:t>
                  </w:r>
                </w:p>
              </w:tc>
            </w:tr>
            <w:tr w:rsidR="006252BE" w:rsidRPr="006252BE" w14:paraId="483C7645" w14:textId="77777777" w:rsidTr="006252BE">
              <w:trPr>
                <w:trHeight w:val="330"/>
              </w:trPr>
              <w:tc>
                <w:tcPr>
                  <w:tcW w:w="2340" w:type="dxa"/>
                  <w:tcBorders>
                    <w:top w:val="nil"/>
                    <w:left w:val="nil"/>
                    <w:bottom w:val="dotted" w:sz="4" w:space="0" w:color="808080"/>
                    <w:right w:val="nil"/>
                  </w:tcBorders>
                  <w:shd w:val="clear" w:color="000000" w:fill="F9F9F9"/>
                  <w:noWrap/>
                  <w:vAlign w:val="center"/>
                  <w:hideMark/>
                </w:tcPr>
                <w:p w14:paraId="0813B1EE"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including: roads</w:t>
                  </w:r>
                </w:p>
              </w:tc>
              <w:tc>
                <w:tcPr>
                  <w:tcW w:w="1386" w:type="dxa"/>
                  <w:tcBorders>
                    <w:top w:val="nil"/>
                    <w:left w:val="nil"/>
                    <w:bottom w:val="dotted" w:sz="4" w:space="0" w:color="808080"/>
                    <w:right w:val="nil"/>
                  </w:tcBorders>
                  <w:shd w:val="clear" w:color="000000" w:fill="F9F9F9"/>
                  <w:noWrap/>
                  <w:vAlign w:val="center"/>
                  <w:hideMark/>
                </w:tcPr>
                <w:p w14:paraId="769DBE31"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26.9</w:t>
                  </w:r>
                </w:p>
              </w:tc>
              <w:tc>
                <w:tcPr>
                  <w:tcW w:w="1701" w:type="dxa"/>
                  <w:tcBorders>
                    <w:top w:val="nil"/>
                    <w:left w:val="nil"/>
                    <w:bottom w:val="dotted" w:sz="4" w:space="0" w:color="808080"/>
                    <w:right w:val="nil"/>
                  </w:tcBorders>
                  <w:shd w:val="clear" w:color="000000" w:fill="F9F9F9"/>
                  <w:noWrap/>
                  <w:vAlign w:val="center"/>
                  <w:hideMark/>
                </w:tcPr>
                <w:p w14:paraId="1C9649A0"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21.9</w:t>
                  </w:r>
                </w:p>
              </w:tc>
              <w:tc>
                <w:tcPr>
                  <w:tcW w:w="1559" w:type="dxa"/>
                  <w:tcBorders>
                    <w:top w:val="nil"/>
                    <w:left w:val="nil"/>
                    <w:bottom w:val="dotted" w:sz="4" w:space="0" w:color="808080"/>
                    <w:right w:val="nil"/>
                  </w:tcBorders>
                  <w:shd w:val="clear" w:color="000000" w:fill="F9F9F9"/>
                  <w:noWrap/>
                  <w:vAlign w:val="center"/>
                  <w:hideMark/>
                </w:tcPr>
                <w:p w14:paraId="4C934149"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22.8%</w:t>
                  </w:r>
                </w:p>
              </w:tc>
            </w:tr>
            <w:tr w:rsidR="006252BE" w:rsidRPr="006252BE" w14:paraId="7D35378E" w14:textId="77777777" w:rsidTr="006252BE">
              <w:trPr>
                <w:trHeight w:val="330"/>
              </w:trPr>
              <w:tc>
                <w:tcPr>
                  <w:tcW w:w="2340" w:type="dxa"/>
                  <w:tcBorders>
                    <w:top w:val="nil"/>
                    <w:left w:val="nil"/>
                    <w:bottom w:val="dotted" w:sz="4" w:space="0" w:color="808080"/>
                    <w:right w:val="nil"/>
                  </w:tcBorders>
                  <w:shd w:val="clear" w:color="000000" w:fill="F9F9F9"/>
                  <w:noWrap/>
                  <w:vAlign w:val="center"/>
                  <w:hideMark/>
                </w:tcPr>
                <w:p w14:paraId="52920C5B"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including: railways</w:t>
                  </w:r>
                </w:p>
              </w:tc>
              <w:tc>
                <w:tcPr>
                  <w:tcW w:w="1386" w:type="dxa"/>
                  <w:tcBorders>
                    <w:top w:val="nil"/>
                    <w:left w:val="nil"/>
                    <w:bottom w:val="dotted" w:sz="4" w:space="0" w:color="808080"/>
                    <w:right w:val="nil"/>
                  </w:tcBorders>
                  <w:shd w:val="clear" w:color="000000" w:fill="F9F9F9"/>
                  <w:noWrap/>
                  <w:vAlign w:val="center"/>
                  <w:hideMark/>
                </w:tcPr>
                <w:p w14:paraId="47F0F05A"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8.4</w:t>
                  </w:r>
                </w:p>
              </w:tc>
              <w:tc>
                <w:tcPr>
                  <w:tcW w:w="1701" w:type="dxa"/>
                  <w:tcBorders>
                    <w:top w:val="nil"/>
                    <w:left w:val="nil"/>
                    <w:bottom w:val="dotted" w:sz="4" w:space="0" w:color="808080"/>
                    <w:right w:val="nil"/>
                  </w:tcBorders>
                  <w:shd w:val="clear" w:color="000000" w:fill="F9F9F9"/>
                  <w:noWrap/>
                  <w:vAlign w:val="center"/>
                  <w:hideMark/>
                </w:tcPr>
                <w:p w14:paraId="014178C0"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7.8</w:t>
                  </w:r>
                </w:p>
              </w:tc>
              <w:tc>
                <w:tcPr>
                  <w:tcW w:w="1559" w:type="dxa"/>
                  <w:tcBorders>
                    <w:top w:val="nil"/>
                    <w:left w:val="nil"/>
                    <w:bottom w:val="dotted" w:sz="4" w:space="0" w:color="808080"/>
                    <w:right w:val="nil"/>
                  </w:tcBorders>
                  <w:shd w:val="clear" w:color="000000" w:fill="F9F9F9"/>
                  <w:noWrap/>
                  <w:vAlign w:val="center"/>
                  <w:hideMark/>
                </w:tcPr>
                <w:p w14:paraId="47C21F3D" w14:textId="77777777" w:rsidR="006252BE" w:rsidRPr="006252BE" w:rsidRDefault="006252BE" w:rsidP="006252BE">
                  <w:pPr>
                    <w:spacing w:after="0" w:line="240" w:lineRule="auto"/>
                    <w:rPr>
                      <w:rFonts w:ascii="Tahoma" w:eastAsia="Times New Roman" w:hAnsi="Tahoma" w:cs="Tahoma"/>
                      <w:i/>
                      <w:iCs/>
                      <w:color w:val="404040"/>
                      <w:sz w:val="20"/>
                      <w:szCs w:val="20"/>
                    </w:rPr>
                  </w:pPr>
                  <w:r>
                    <w:rPr>
                      <w:rFonts w:ascii="Tahoma" w:hAnsi="Tahoma"/>
                      <w:i/>
                      <w:color w:val="404040"/>
                      <w:sz w:val="20"/>
                    </w:rPr>
                    <w:t>7.4%</w:t>
                  </w:r>
                </w:p>
              </w:tc>
            </w:tr>
            <w:tr w:rsidR="006252BE" w:rsidRPr="006252BE" w14:paraId="56C3A558" w14:textId="77777777" w:rsidTr="006252BE">
              <w:trPr>
                <w:trHeight w:val="285"/>
              </w:trPr>
              <w:tc>
                <w:tcPr>
                  <w:tcW w:w="2340" w:type="dxa"/>
                  <w:tcBorders>
                    <w:top w:val="nil"/>
                    <w:left w:val="nil"/>
                    <w:bottom w:val="nil"/>
                    <w:right w:val="nil"/>
                  </w:tcBorders>
                  <w:shd w:val="clear" w:color="000000" w:fill="F2F2F2"/>
                  <w:noWrap/>
                  <w:vAlign w:val="center"/>
                  <w:hideMark/>
                </w:tcPr>
                <w:p w14:paraId="7DA14A6D"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share</w:t>
                  </w:r>
                </w:p>
              </w:tc>
              <w:tc>
                <w:tcPr>
                  <w:tcW w:w="1386" w:type="dxa"/>
                  <w:tcBorders>
                    <w:top w:val="nil"/>
                    <w:left w:val="nil"/>
                    <w:bottom w:val="nil"/>
                    <w:right w:val="nil"/>
                  </w:tcBorders>
                  <w:shd w:val="clear" w:color="000000" w:fill="F2F2F2"/>
                  <w:noWrap/>
                  <w:vAlign w:val="center"/>
                  <w:hideMark/>
                </w:tcPr>
                <w:p w14:paraId="2FB143F1"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50.3%</w:t>
                  </w:r>
                </w:p>
              </w:tc>
              <w:tc>
                <w:tcPr>
                  <w:tcW w:w="1701" w:type="dxa"/>
                  <w:tcBorders>
                    <w:top w:val="nil"/>
                    <w:left w:val="nil"/>
                    <w:bottom w:val="nil"/>
                    <w:right w:val="nil"/>
                  </w:tcBorders>
                  <w:shd w:val="clear" w:color="000000" w:fill="F2F2F2"/>
                  <w:noWrap/>
                  <w:vAlign w:val="center"/>
                  <w:hideMark/>
                </w:tcPr>
                <w:p w14:paraId="3E883045"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52.2%</w:t>
                  </w:r>
                </w:p>
              </w:tc>
              <w:tc>
                <w:tcPr>
                  <w:tcW w:w="1559" w:type="dxa"/>
                  <w:tcBorders>
                    <w:top w:val="nil"/>
                    <w:left w:val="nil"/>
                    <w:bottom w:val="nil"/>
                    <w:right w:val="nil"/>
                  </w:tcBorders>
                  <w:shd w:val="clear" w:color="000000" w:fill="F2F2F2"/>
                  <w:noWrap/>
                  <w:vAlign w:val="center"/>
                  <w:hideMark/>
                </w:tcPr>
                <w:p w14:paraId="09B097FE" w14:textId="77777777" w:rsidR="006252BE" w:rsidRPr="006252BE" w:rsidRDefault="006252BE" w:rsidP="006252BE">
                  <w:pPr>
                    <w:spacing w:after="0" w:line="240" w:lineRule="auto"/>
                    <w:rPr>
                      <w:rFonts w:ascii="Tahoma" w:eastAsia="Times New Roman" w:hAnsi="Tahoma" w:cs="Tahoma"/>
                      <w:color w:val="404040"/>
                    </w:rPr>
                  </w:pPr>
                  <w:r>
                    <w:rPr>
                      <w:rFonts w:ascii="Tahoma" w:hAnsi="Tahoma"/>
                      <w:color w:val="404040"/>
                    </w:rPr>
                    <w:t>-1.9%</w:t>
                  </w:r>
                </w:p>
              </w:tc>
            </w:tr>
          </w:tbl>
          <w:p w14:paraId="67A447BE" w14:textId="7188718E" w:rsidR="00D660C1" w:rsidRPr="006B3CBD" w:rsidRDefault="00D660C1" w:rsidP="006252BE">
            <w:pPr>
              <w:spacing w:line="360" w:lineRule="auto"/>
              <w:rPr>
                <w:rFonts w:ascii="Tahoma" w:eastAsia="Tahoma" w:hAnsi="Tahoma" w:cs="Tahoma"/>
                <w:b/>
                <w:color w:val="808080"/>
                <w:sz w:val="18"/>
                <w:szCs w:val="18"/>
                <w:highlight w:val="yellow"/>
              </w:rPr>
            </w:pPr>
          </w:p>
          <w:p w14:paraId="7E5371A6" w14:textId="6FA671F2" w:rsidR="00355A2C" w:rsidRDefault="00355A2C" w:rsidP="00415D20">
            <w:pPr>
              <w:spacing w:line="360" w:lineRule="auto"/>
              <w:jc w:val="both"/>
              <w:rPr>
                <w:rFonts w:ascii="Tahoma" w:eastAsia="Tahoma" w:hAnsi="Tahoma" w:cs="Tahoma"/>
                <w:b/>
                <w:color w:val="808080"/>
                <w:sz w:val="18"/>
                <w:szCs w:val="18"/>
              </w:rPr>
            </w:pPr>
          </w:p>
          <w:p w14:paraId="337ABD48" w14:textId="06BC3911" w:rsidR="002B2953" w:rsidRDefault="002B2953" w:rsidP="00415D20">
            <w:pPr>
              <w:spacing w:line="360" w:lineRule="auto"/>
              <w:jc w:val="both"/>
              <w:rPr>
                <w:rFonts w:ascii="Tahoma" w:eastAsia="Tahoma" w:hAnsi="Tahoma" w:cs="Tahoma"/>
                <w:b/>
                <w:color w:val="808080"/>
                <w:sz w:val="18"/>
                <w:szCs w:val="18"/>
              </w:rPr>
            </w:pPr>
          </w:p>
          <w:p w14:paraId="77AAF011" w14:textId="77777777" w:rsidR="00967628" w:rsidRDefault="00967628" w:rsidP="00415D20">
            <w:pPr>
              <w:spacing w:line="360" w:lineRule="auto"/>
              <w:jc w:val="both"/>
              <w:rPr>
                <w:rFonts w:ascii="Tahoma" w:eastAsia="Tahoma" w:hAnsi="Tahoma" w:cs="Tahoma"/>
                <w:b/>
                <w:color w:val="808080"/>
                <w:sz w:val="18"/>
                <w:szCs w:val="18"/>
              </w:rPr>
            </w:pPr>
          </w:p>
          <w:p w14:paraId="73C8B243" w14:textId="77777777" w:rsidR="00967628" w:rsidRDefault="00967628" w:rsidP="00415D20">
            <w:pPr>
              <w:spacing w:line="360" w:lineRule="auto"/>
              <w:jc w:val="both"/>
              <w:rPr>
                <w:rFonts w:ascii="Tahoma" w:eastAsia="Tahoma" w:hAnsi="Tahoma" w:cs="Tahoma"/>
                <w:b/>
                <w:color w:val="808080"/>
                <w:sz w:val="18"/>
                <w:szCs w:val="18"/>
              </w:rPr>
            </w:pPr>
          </w:p>
          <w:p w14:paraId="756B985E" w14:textId="77777777" w:rsidR="00967628" w:rsidRDefault="00967628" w:rsidP="00415D20">
            <w:pPr>
              <w:spacing w:line="360" w:lineRule="auto"/>
              <w:jc w:val="both"/>
              <w:rPr>
                <w:rFonts w:ascii="Tahoma" w:eastAsia="Tahoma" w:hAnsi="Tahoma" w:cs="Tahoma"/>
                <w:b/>
                <w:color w:val="808080"/>
                <w:sz w:val="18"/>
                <w:szCs w:val="18"/>
              </w:rPr>
            </w:pPr>
          </w:p>
          <w:p w14:paraId="3BC13ADF" w14:textId="77777777" w:rsidR="00967628" w:rsidRDefault="00967628" w:rsidP="00415D20">
            <w:pPr>
              <w:spacing w:line="360" w:lineRule="auto"/>
              <w:jc w:val="both"/>
              <w:rPr>
                <w:rFonts w:ascii="Tahoma" w:eastAsia="Tahoma" w:hAnsi="Tahoma" w:cs="Tahoma"/>
                <w:b/>
                <w:color w:val="808080"/>
                <w:sz w:val="18"/>
                <w:szCs w:val="18"/>
              </w:rPr>
            </w:pPr>
          </w:p>
          <w:p w14:paraId="7EFC4610" w14:textId="77777777" w:rsidR="00967628" w:rsidRDefault="00967628" w:rsidP="00415D20">
            <w:pPr>
              <w:spacing w:line="360" w:lineRule="auto"/>
              <w:jc w:val="both"/>
              <w:rPr>
                <w:rFonts w:ascii="Tahoma" w:eastAsia="Tahoma" w:hAnsi="Tahoma" w:cs="Tahoma"/>
                <w:b/>
                <w:color w:val="808080"/>
                <w:sz w:val="18"/>
                <w:szCs w:val="18"/>
              </w:rPr>
            </w:pPr>
          </w:p>
          <w:p w14:paraId="7DE606B5" w14:textId="77777777" w:rsidR="002B2953" w:rsidRDefault="002B2953" w:rsidP="00415D20">
            <w:pPr>
              <w:spacing w:line="360" w:lineRule="auto"/>
              <w:jc w:val="both"/>
              <w:rPr>
                <w:rFonts w:ascii="Tahoma" w:eastAsia="Tahoma" w:hAnsi="Tahoma" w:cs="Tahoma"/>
                <w:b/>
                <w:color w:val="808080"/>
                <w:sz w:val="18"/>
                <w:szCs w:val="18"/>
              </w:rPr>
            </w:pPr>
          </w:p>
          <w:p w14:paraId="0CE0DD6C" w14:textId="0F425214" w:rsidR="00415D20" w:rsidRPr="00726F91" w:rsidRDefault="00415D20" w:rsidP="00415D20">
            <w:pPr>
              <w:spacing w:line="360" w:lineRule="auto"/>
              <w:jc w:val="both"/>
              <w:rPr>
                <w:rFonts w:ascii="Tahoma" w:eastAsia="Tahoma" w:hAnsi="Tahoma" w:cs="Tahoma"/>
                <w:b/>
                <w:color w:val="808080"/>
                <w:sz w:val="18"/>
                <w:szCs w:val="18"/>
              </w:rPr>
            </w:pPr>
            <w:r>
              <w:rPr>
                <w:rFonts w:ascii="Tahoma" w:hAnsi="Tahoma"/>
                <w:b/>
                <w:color w:val="808080"/>
                <w:sz w:val="18"/>
              </w:rPr>
              <w:lastRenderedPageBreak/>
              <w:t xml:space="preserve">Sales in the construction segment of the </w:t>
            </w:r>
            <w:proofErr w:type="spellStart"/>
            <w:r>
              <w:rPr>
                <w:rFonts w:ascii="Tahoma" w:hAnsi="Tahoma"/>
                <w:b/>
                <w:color w:val="808080"/>
                <w:sz w:val="18"/>
              </w:rPr>
              <w:t>Budimex</w:t>
            </w:r>
            <w:proofErr w:type="spellEnd"/>
            <w:r>
              <w:rPr>
                <w:rFonts w:ascii="Tahoma" w:hAnsi="Tahoma"/>
                <w:b/>
                <w:color w:val="808080"/>
                <w:sz w:val="18"/>
              </w:rPr>
              <w:t xml:space="preserve"> Group was PLN 7 billion and 821 million.</w:t>
            </w:r>
          </w:p>
          <w:p w14:paraId="299B4244" w14:textId="77777777" w:rsidR="00415D20" w:rsidRPr="00726F91" w:rsidRDefault="00415D20" w:rsidP="00415D20">
            <w:pPr>
              <w:spacing w:line="360" w:lineRule="auto"/>
              <w:rPr>
                <w:rFonts w:ascii="Tahoma" w:eastAsia="Tahoma" w:hAnsi="Tahoma" w:cs="Tahoma"/>
                <w:b/>
                <w:color w:val="808080"/>
                <w:sz w:val="18"/>
                <w:szCs w:val="18"/>
              </w:rPr>
            </w:pPr>
          </w:p>
          <w:tbl>
            <w:tblPr>
              <w:tblW w:w="7040" w:type="dxa"/>
              <w:tblLayout w:type="fixed"/>
              <w:tblCellMar>
                <w:left w:w="70" w:type="dxa"/>
                <w:right w:w="70" w:type="dxa"/>
              </w:tblCellMar>
              <w:tblLook w:val="04A0" w:firstRow="1" w:lastRow="0" w:firstColumn="1" w:lastColumn="0" w:noHBand="0" w:noVBand="1"/>
            </w:tblPr>
            <w:tblGrid>
              <w:gridCol w:w="2680"/>
              <w:gridCol w:w="1510"/>
              <w:gridCol w:w="1531"/>
              <w:gridCol w:w="1319"/>
            </w:tblGrid>
            <w:tr w:rsidR="00415D20" w:rsidRPr="00726F91" w14:paraId="50179330" w14:textId="77777777" w:rsidTr="00EC72E3">
              <w:trPr>
                <w:trHeight w:val="362"/>
              </w:trPr>
              <w:tc>
                <w:tcPr>
                  <w:tcW w:w="2680" w:type="dxa"/>
                  <w:vMerge w:val="restart"/>
                  <w:tcBorders>
                    <w:top w:val="nil"/>
                    <w:left w:val="nil"/>
                    <w:bottom w:val="nil"/>
                    <w:right w:val="nil"/>
                  </w:tcBorders>
                  <w:shd w:val="clear" w:color="000000" w:fill="595959"/>
                  <w:vAlign w:val="center"/>
                  <w:hideMark/>
                </w:tcPr>
                <w:p w14:paraId="4449EFDD" w14:textId="77777777" w:rsidR="00415D20" w:rsidRPr="00726F91" w:rsidRDefault="00415D20" w:rsidP="00415D20">
                  <w:pPr>
                    <w:spacing w:after="0" w:line="240" w:lineRule="auto"/>
                    <w:rPr>
                      <w:rFonts w:ascii="Tahoma" w:eastAsia="Times New Roman" w:hAnsi="Tahoma" w:cs="Tahoma"/>
                      <w:b/>
                      <w:bCs/>
                      <w:color w:val="FFFFFF"/>
                    </w:rPr>
                  </w:pPr>
                  <w:r>
                    <w:rPr>
                      <w:rFonts w:ascii="Tahoma" w:hAnsi="Tahoma"/>
                      <w:b/>
                      <w:color w:val="FFFFFF"/>
                    </w:rPr>
                    <w:t>Construction segment</w:t>
                  </w:r>
                  <w:r>
                    <w:rPr>
                      <w:rFonts w:ascii="Tahoma" w:hAnsi="Tahoma"/>
                      <w:b/>
                      <w:color w:val="FFFFFF"/>
                    </w:rPr>
                    <w:br/>
                    <w:t>(PLN million)</w:t>
                  </w:r>
                </w:p>
              </w:tc>
              <w:tc>
                <w:tcPr>
                  <w:tcW w:w="4360" w:type="dxa"/>
                  <w:gridSpan w:val="3"/>
                  <w:tcBorders>
                    <w:top w:val="nil"/>
                    <w:left w:val="nil"/>
                    <w:bottom w:val="single" w:sz="4" w:space="0" w:color="000000"/>
                    <w:right w:val="nil"/>
                  </w:tcBorders>
                  <w:shd w:val="clear" w:color="000000" w:fill="BFBFBF"/>
                  <w:noWrap/>
                  <w:vAlign w:val="center"/>
                  <w:hideMark/>
                </w:tcPr>
                <w:p w14:paraId="6383BDDC" w14:textId="77777777" w:rsidR="00415D20" w:rsidRPr="00726F91" w:rsidRDefault="00415D20" w:rsidP="00415D20">
                  <w:pPr>
                    <w:spacing w:after="0" w:line="240" w:lineRule="auto"/>
                    <w:jc w:val="center"/>
                    <w:rPr>
                      <w:rFonts w:ascii="Tahoma" w:eastAsia="Times New Roman" w:hAnsi="Tahoma" w:cs="Tahoma"/>
                      <w:b/>
                      <w:bCs/>
                      <w:color w:val="000000"/>
                    </w:rPr>
                  </w:pPr>
                  <w:r>
                    <w:rPr>
                      <w:rFonts w:ascii="Tahoma" w:hAnsi="Tahoma"/>
                      <w:b/>
                      <w:color w:val="000000"/>
                    </w:rPr>
                    <w:t>Profit and loss account</w:t>
                  </w:r>
                </w:p>
              </w:tc>
            </w:tr>
            <w:tr w:rsidR="00415D20" w:rsidRPr="00093B38" w14:paraId="67030308" w14:textId="77777777" w:rsidTr="00EC72E3">
              <w:trPr>
                <w:trHeight w:val="561"/>
              </w:trPr>
              <w:tc>
                <w:tcPr>
                  <w:tcW w:w="2680" w:type="dxa"/>
                  <w:vMerge/>
                  <w:tcBorders>
                    <w:top w:val="nil"/>
                    <w:left w:val="nil"/>
                    <w:bottom w:val="nil"/>
                    <w:right w:val="nil"/>
                  </w:tcBorders>
                  <w:vAlign w:val="center"/>
                  <w:hideMark/>
                </w:tcPr>
                <w:p w14:paraId="3376725A" w14:textId="77777777" w:rsidR="00415D20" w:rsidRPr="00726F91" w:rsidRDefault="00415D20" w:rsidP="00415D20">
                  <w:pPr>
                    <w:spacing w:after="0" w:line="240" w:lineRule="auto"/>
                    <w:rPr>
                      <w:rFonts w:ascii="Tahoma" w:eastAsia="Times New Roman" w:hAnsi="Tahoma" w:cs="Tahoma"/>
                      <w:b/>
                      <w:bCs/>
                      <w:color w:val="FFFFFF"/>
                    </w:rPr>
                  </w:pPr>
                </w:p>
              </w:tc>
              <w:tc>
                <w:tcPr>
                  <w:tcW w:w="1510" w:type="dxa"/>
                  <w:tcBorders>
                    <w:top w:val="nil"/>
                    <w:left w:val="nil"/>
                    <w:bottom w:val="nil"/>
                    <w:right w:val="nil"/>
                  </w:tcBorders>
                  <w:shd w:val="clear" w:color="000000" w:fill="BFBFBF"/>
                  <w:vAlign w:val="center"/>
                  <w:hideMark/>
                </w:tcPr>
                <w:p w14:paraId="620DBF55" w14:textId="77777777" w:rsidR="00415D20" w:rsidRPr="00726F91" w:rsidRDefault="00415D20" w:rsidP="00415D20">
                  <w:pPr>
                    <w:spacing w:after="0" w:line="240" w:lineRule="auto"/>
                    <w:jc w:val="center"/>
                    <w:rPr>
                      <w:rFonts w:ascii="Tahoma" w:eastAsia="Times New Roman" w:hAnsi="Tahoma" w:cs="Tahoma"/>
                      <w:color w:val="000000"/>
                    </w:rPr>
                  </w:pPr>
                  <w:r>
                    <w:rPr>
                      <w:rFonts w:ascii="Tahoma" w:hAnsi="Tahoma"/>
                      <w:color w:val="000000"/>
                    </w:rPr>
                    <w:t>2022</w:t>
                  </w:r>
                </w:p>
              </w:tc>
              <w:tc>
                <w:tcPr>
                  <w:tcW w:w="1531" w:type="dxa"/>
                  <w:tcBorders>
                    <w:top w:val="nil"/>
                    <w:left w:val="single" w:sz="4" w:space="0" w:color="000000"/>
                    <w:bottom w:val="single" w:sz="8" w:space="0" w:color="000000"/>
                    <w:right w:val="single" w:sz="4" w:space="0" w:color="000000"/>
                  </w:tcBorders>
                  <w:shd w:val="clear" w:color="000000" w:fill="BFBFBF"/>
                  <w:vAlign w:val="center"/>
                  <w:hideMark/>
                </w:tcPr>
                <w:p w14:paraId="44721B83" w14:textId="77777777" w:rsidR="00415D20" w:rsidRPr="00726F91" w:rsidRDefault="00415D20" w:rsidP="00415D20">
                  <w:pPr>
                    <w:spacing w:after="0" w:line="240" w:lineRule="auto"/>
                    <w:jc w:val="center"/>
                    <w:rPr>
                      <w:rFonts w:ascii="Tahoma" w:eastAsia="Times New Roman" w:hAnsi="Tahoma" w:cs="Tahoma"/>
                      <w:color w:val="000000"/>
                    </w:rPr>
                  </w:pPr>
                  <w:r>
                    <w:rPr>
                      <w:rFonts w:ascii="Tahoma" w:hAnsi="Tahoma"/>
                      <w:color w:val="000000"/>
                    </w:rPr>
                    <w:t>2021</w:t>
                  </w:r>
                </w:p>
              </w:tc>
              <w:tc>
                <w:tcPr>
                  <w:tcW w:w="1319" w:type="dxa"/>
                  <w:tcBorders>
                    <w:top w:val="nil"/>
                    <w:left w:val="nil"/>
                    <w:bottom w:val="single" w:sz="8" w:space="0" w:color="000000"/>
                    <w:right w:val="nil"/>
                  </w:tcBorders>
                  <w:shd w:val="clear" w:color="000000" w:fill="BFBFBF"/>
                  <w:noWrap/>
                  <w:vAlign w:val="center"/>
                  <w:hideMark/>
                </w:tcPr>
                <w:p w14:paraId="68963F30" w14:textId="77777777" w:rsidR="00415D20" w:rsidRPr="00726F91" w:rsidRDefault="00415D20" w:rsidP="00415D20">
                  <w:pPr>
                    <w:spacing w:after="0" w:line="240" w:lineRule="auto"/>
                    <w:jc w:val="center"/>
                    <w:rPr>
                      <w:rFonts w:ascii="Tahoma" w:eastAsia="Times New Roman" w:hAnsi="Tahoma" w:cs="Tahoma"/>
                      <w:color w:val="000000"/>
                    </w:rPr>
                  </w:pPr>
                  <w:r>
                    <w:rPr>
                      <w:rFonts w:ascii="Tahoma" w:hAnsi="Tahoma"/>
                      <w:color w:val="000000"/>
                    </w:rPr>
                    <w:t>y/y</w:t>
                  </w:r>
                </w:p>
              </w:tc>
            </w:tr>
            <w:tr w:rsidR="00415D20" w:rsidRPr="00093B38" w14:paraId="1083E9C1" w14:textId="77777777" w:rsidTr="00EC72E3">
              <w:trPr>
                <w:trHeight w:val="436"/>
              </w:trPr>
              <w:tc>
                <w:tcPr>
                  <w:tcW w:w="2680" w:type="dxa"/>
                  <w:tcBorders>
                    <w:top w:val="single" w:sz="8" w:space="0" w:color="auto"/>
                    <w:left w:val="nil"/>
                    <w:bottom w:val="nil"/>
                    <w:right w:val="nil"/>
                  </w:tcBorders>
                  <w:shd w:val="clear" w:color="000000" w:fill="FFC000"/>
                  <w:noWrap/>
                  <w:vAlign w:val="center"/>
                  <w:hideMark/>
                </w:tcPr>
                <w:p w14:paraId="799827A3"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Sale</w:t>
                  </w:r>
                </w:p>
              </w:tc>
              <w:tc>
                <w:tcPr>
                  <w:tcW w:w="1510" w:type="dxa"/>
                  <w:tcBorders>
                    <w:top w:val="single" w:sz="8" w:space="0" w:color="auto"/>
                    <w:left w:val="nil"/>
                    <w:bottom w:val="nil"/>
                    <w:right w:val="nil"/>
                  </w:tcBorders>
                  <w:shd w:val="clear" w:color="000000" w:fill="FFC000"/>
                  <w:noWrap/>
                  <w:vAlign w:val="center"/>
                  <w:hideMark/>
                </w:tcPr>
                <w:p w14:paraId="5D35A155" w14:textId="4671676E"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7</w:t>
                  </w:r>
                  <w:r w:rsidR="00392761">
                    <w:rPr>
                      <w:rFonts w:ascii="Tahoma" w:hAnsi="Tahoma"/>
                      <w:b/>
                      <w:color w:val="404040"/>
                    </w:rPr>
                    <w:t>,</w:t>
                  </w:r>
                  <w:r>
                    <w:rPr>
                      <w:rFonts w:ascii="Tahoma" w:hAnsi="Tahoma"/>
                      <w:b/>
                      <w:color w:val="404040"/>
                    </w:rPr>
                    <w:t>821</w:t>
                  </w:r>
                </w:p>
              </w:tc>
              <w:tc>
                <w:tcPr>
                  <w:tcW w:w="1531" w:type="dxa"/>
                  <w:tcBorders>
                    <w:top w:val="nil"/>
                    <w:left w:val="nil"/>
                    <w:bottom w:val="nil"/>
                    <w:right w:val="nil"/>
                  </w:tcBorders>
                  <w:shd w:val="clear" w:color="000000" w:fill="FFC000"/>
                  <w:noWrap/>
                  <w:vAlign w:val="center"/>
                  <w:hideMark/>
                </w:tcPr>
                <w:p w14:paraId="6D7B234D" w14:textId="0799B43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7</w:t>
                  </w:r>
                  <w:r w:rsidR="00392761">
                    <w:rPr>
                      <w:rFonts w:ascii="Tahoma" w:hAnsi="Tahoma"/>
                      <w:b/>
                      <w:color w:val="404040"/>
                    </w:rPr>
                    <w:t>,</w:t>
                  </w:r>
                  <w:r>
                    <w:rPr>
                      <w:rFonts w:ascii="Tahoma" w:hAnsi="Tahoma"/>
                      <w:b/>
                      <w:color w:val="404040"/>
                    </w:rPr>
                    <w:t>282</w:t>
                  </w:r>
                </w:p>
              </w:tc>
              <w:tc>
                <w:tcPr>
                  <w:tcW w:w="1319" w:type="dxa"/>
                  <w:tcBorders>
                    <w:top w:val="nil"/>
                    <w:left w:val="nil"/>
                    <w:bottom w:val="single" w:sz="8" w:space="0" w:color="auto"/>
                    <w:right w:val="nil"/>
                  </w:tcBorders>
                  <w:shd w:val="clear" w:color="000000" w:fill="FFC000"/>
                  <w:noWrap/>
                  <w:vAlign w:val="center"/>
                  <w:hideMark/>
                </w:tcPr>
                <w:p w14:paraId="2806309E"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7.4%</w:t>
                  </w:r>
                </w:p>
              </w:tc>
            </w:tr>
            <w:tr w:rsidR="00415D20" w:rsidRPr="00093B38" w14:paraId="31A79952" w14:textId="77777777" w:rsidTr="00EC72E3">
              <w:trPr>
                <w:trHeight w:val="436"/>
              </w:trPr>
              <w:tc>
                <w:tcPr>
                  <w:tcW w:w="2680" w:type="dxa"/>
                  <w:tcBorders>
                    <w:top w:val="single" w:sz="8" w:space="0" w:color="auto"/>
                    <w:left w:val="nil"/>
                    <w:bottom w:val="nil"/>
                    <w:right w:val="nil"/>
                  </w:tcBorders>
                  <w:shd w:val="clear" w:color="000000" w:fill="F2F2F2"/>
                  <w:noWrap/>
                  <w:vAlign w:val="center"/>
                  <w:hideMark/>
                </w:tcPr>
                <w:p w14:paraId="2FAB481D"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Operational profit</w:t>
                  </w:r>
                </w:p>
              </w:tc>
              <w:tc>
                <w:tcPr>
                  <w:tcW w:w="1510" w:type="dxa"/>
                  <w:tcBorders>
                    <w:top w:val="single" w:sz="8" w:space="0" w:color="auto"/>
                    <w:left w:val="nil"/>
                    <w:bottom w:val="nil"/>
                    <w:right w:val="nil"/>
                  </w:tcBorders>
                  <w:shd w:val="clear" w:color="000000" w:fill="F2F2F2"/>
                  <w:noWrap/>
                  <w:vAlign w:val="center"/>
                  <w:hideMark/>
                </w:tcPr>
                <w:p w14:paraId="58FA4073"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471</w:t>
                  </w:r>
                </w:p>
              </w:tc>
              <w:tc>
                <w:tcPr>
                  <w:tcW w:w="1531" w:type="dxa"/>
                  <w:tcBorders>
                    <w:top w:val="single" w:sz="8" w:space="0" w:color="auto"/>
                    <w:left w:val="nil"/>
                    <w:bottom w:val="nil"/>
                    <w:right w:val="nil"/>
                  </w:tcBorders>
                  <w:shd w:val="clear" w:color="000000" w:fill="F2F2F2"/>
                  <w:noWrap/>
                  <w:vAlign w:val="center"/>
                  <w:hideMark/>
                </w:tcPr>
                <w:p w14:paraId="1387534C"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446</w:t>
                  </w:r>
                </w:p>
              </w:tc>
              <w:tc>
                <w:tcPr>
                  <w:tcW w:w="1319" w:type="dxa"/>
                  <w:tcBorders>
                    <w:top w:val="nil"/>
                    <w:left w:val="nil"/>
                    <w:bottom w:val="nil"/>
                    <w:right w:val="nil"/>
                  </w:tcBorders>
                  <w:shd w:val="clear" w:color="000000" w:fill="F2F2F2"/>
                  <w:noWrap/>
                  <w:vAlign w:val="center"/>
                  <w:hideMark/>
                </w:tcPr>
                <w:p w14:paraId="49934414"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5.8%</w:t>
                  </w:r>
                </w:p>
              </w:tc>
            </w:tr>
            <w:tr w:rsidR="00415D20" w:rsidRPr="00093B38" w14:paraId="3D9004C0" w14:textId="77777777" w:rsidTr="00EC72E3">
              <w:trPr>
                <w:trHeight w:val="262"/>
              </w:trPr>
              <w:tc>
                <w:tcPr>
                  <w:tcW w:w="2680" w:type="dxa"/>
                  <w:tcBorders>
                    <w:top w:val="nil"/>
                    <w:left w:val="nil"/>
                    <w:bottom w:val="nil"/>
                    <w:right w:val="nil"/>
                  </w:tcBorders>
                  <w:shd w:val="clear" w:color="000000" w:fill="F2F2F2"/>
                  <w:noWrap/>
                  <w:vAlign w:val="center"/>
                  <w:hideMark/>
                </w:tcPr>
                <w:p w14:paraId="05B1A167"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 of sales</w:t>
                  </w:r>
                </w:p>
              </w:tc>
              <w:tc>
                <w:tcPr>
                  <w:tcW w:w="1510" w:type="dxa"/>
                  <w:tcBorders>
                    <w:top w:val="nil"/>
                    <w:left w:val="nil"/>
                    <w:bottom w:val="single" w:sz="4" w:space="0" w:color="auto"/>
                    <w:right w:val="nil"/>
                  </w:tcBorders>
                  <w:shd w:val="clear" w:color="000000" w:fill="F2F2F2"/>
                  <w:noWrap/>
                  <w:vAlign w:val="center"/>
                  <w:hideMark/>
                </w:tcPr>
                <w:p w14:paraId="0A89B241"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6.0%</w:t>
                  </w:r>
                </w:p>
              </w:tc>
              <w:tc>
                <w:tcPr>
                  <w:tcW w:w="1531" w:type="dxa"/>
                  <w:tcBorders>
                    <w:top w:val="nil"/>
                    <w:left w:val="nil"/>
                    <w:bottom w:val="single" w:sz="4" w:space="0" w:color="auto"/>
                    <w:right w:val="nil"/>
                  </w:tcBorders>
                  <w:shd w:val="clear" w:color="000000" w:fill="F2F2F2"/>
                  <w:noWrap/>
                  <w:vAlign w:val="center"/>
                  <w:hideMark/>
                </w:tcPr>
                <w:p w14:paraId="5F88262D"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6.1%</w:t>
                  </w:r>
                </w:p>
              </w:tc>
              <w:tc>
                <w:tcPr>
                  <w:tcW w:w="1319" w:type="dxa"/>
                  <w:tcBorders>
                    <w:top w:val="nil"/>
                    <w:left w:val="nil"/>
                    <w:bottom w:val="nil"/>
                    <w:right w:val="nil"/>
                  </w:tcBorders>
                  <w:shd w:val="clear" w:color="000000" w:fill="F2F2F2"/>
                  <w:noWrap/>
                  <w:vAlign w:val="center"/>
                  <w:hideMark/>
                </w:tcPr>
                <w:p w14:paraId="052D7FE4" w14:textId="059F68F5"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-0.1 pp</w:t>
                  </w:r>
                </w:p>
              </w:tc>
            </w:tr>
            <w:tr w:rsidR="00415D20" w:rsidRPr="00093B38" w14:paraId="500677E9" w14:textId="77777777" w:rsidTr="00EC72E3">
              <w:trPr>
                <w:trHeight w:val="436"/>
              </w:trPr>
              <w:tc>
                <w:tcPr>
                  <w:tcW w:w="2680" w:type="dxa"/>
                  <w:tcBorders>
                    <w:top w:val="single" w:sz="4" w:space="0" w:color="auto"/>
                    <w:left w:val="nil"/>
                    <w:bottom w:val="nil"/>
                    <w:right w:val="nil"/>
                  </w:tcBorders>
                  <w:shd w:val="clear" w:color="000000" w:fill="F2F2F2"/>
                  <w:noWrap/>
                  <w:vAlign w:val="center"/>
                  <w:hideMark/>
                </w:tcPr>
                <w:p w14:paraId="5913190F"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Gross profit</w:t>
                  </w:r>
                </w:p>
              </w:tc>
              <w:tc>
                <w:tcPr>
                  <w:tcW w:w="1510" w:type="dxa"/>
                  <w:tcBorders>
                    <w:top w:val="nil"/>
                    <w:left w:val="nil"/>
                    <w:bottom w:val="nil"/>
                    <w:right w:val="nil"/>
                  </w:tcBorders>
                  <w:shd w:val="clear" w:color="000000" w:fill="F2F2F2"/>
                  <w:noWrap/>
                  <w:vAlign w:val="center"/>
                  <w:hideMark/>
                </w:tcPr>
                <w:p w14:paraId="4CB53016"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552</w:t>
                  </w:r>
                </w:p>
              </w:tc>
              <w:tc>
                <w:tcPr>
                  <w:tcW w:w="1531" w:type="dxa"/>
                  <w:tcBorders>
                    <w:top w:val="nil"/>
                    <w:left w:val="nil"/>
                    <w:bottom w:val="nil"/>
                    <w:right w:val="nil"/>
                  </w:tcBorders>
                  <w:shd w:val="clear" w:color="000000" w:fill="F2F2F2"/>
                  <w:noWrap/>
                  <w:vAlign w:val="center"/>
                  <w:hideMark/>
                </w:tcPr>
                <w:p w14:paraId="5E029B73"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410</w:t>
                  </w:r>
                </w:p>
              </w:tc>
              <w:tc>
                <w:tcPr>
                  <w:tcW w:w="1319" w:type="dxa"/>
                  <w:tcBorders>
                    <w:top w:val="single" w:sz="4" w:space="0" w:color="auto"/>
                    <w:left w:val="nil"/>
                    <w:bottom w:val="nil"/>
                    <w:right w:val="nil"/>
                  </w:tcBorders>
                  <w:shd w:val="clear" w:color="000000" w:fill="F2F2F2"/>
                  <w:noWrap/>
                  <w:vAlign w:val="center"/>
                  <w:hideMark/>
                </w:tcPr>
                <w:p w14:paraId="2512745A"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34.6%</w:t>
                  </w:r>
                </w:p>
              </w:tc>
            </w:tr>
            <w:tr w:rsidR="00415D20" w:rsidRPr="00093B38" w14:paraId="617DBC0E" w14:textId="77777777" w:rsidTr="00EC72E3">
              <w:trPr>
                <w:trHeight w:val="262"/>
              </w:trPr>
              <w:tc>
                <w:tcPr>
                  <w:tcW w:w="2680" w:type="dxa"/>
                  <w:tcBorders>
                    <w:top w:val="nil"/>
                    <w:left w:val="nil"/>
                    <w:bottom w:val="nil"/>
                    <w:right w:val="nil"/>
                  </w:tcBorders>
                  <w:shd w:val="clear" w:color="000000" w:fill="F2F2F2"/>
                  <w:noWrap/>
                  <w:vAlign w:val="center"/>
                  <w:hideMark/>
                </w:tcPr>
                <w:p w14:paraId="23330FF8"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 of sales</w:t>
                  </w:r>
                </w:p>
              </w:tc>
              <w:tc>
                <w:tcPr>
                  <w:tcW w:w="1510" w:type="dxa"/>
                  <w:tcBorders>
                    <w:top w:val="nil"/>
                    <w:left w:val="nil"/>
                    <w:bottom w:val="nil"/>
                    <w:right w:val="nil"/>
                  </w:tcBorders>
                  <w:shd w:val="clear" w:color="000000" w:fill="F2F2F2"/>
                  <w:noWrap/>
                  <w:vAlign w:val="center"/>
                  <w:hideMark/>
                </w:tcPr>
                <w:p w14:paraId="78F86D44"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7.1%</w:t>
                  </w:r>
                </w:p>
              </w:tc>
              <w:tc>
                <w:tcPr>
                  <w:tcW w:w="1531" w:type="dxa"/>
                  <w:tcBorders>
                    <w:top w:val="nil"/>
                    <w:left w:val="nil"/>
                    <w:bottom w:val="nil"/>
                    <w:right w:val="nil"/>
                  </w:tcBorders>
                  <w:shd w:val="clear" w:color="000000" w:fill="F2F2F2"/>
                  <w:noWrap/>
                  <w:vAlign w:val="center"/>
                  <w:hideMark/>
                </w:tcPr>
                <w:p w14:paraId="6D84B12D"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5.6%</w:t>
                  </w:r>
                </w:p>
              </w:tc>
              <w:tc>
                <w:tcPr>
                  <w:tcW w:w="1319" w:type="dxa"/>
                  <w:tcBorders>
                    <w:top w:val="nil"/>
                    <w:left w:val="nil"/>
                    <w:bottom w:val="nil"/>
                    <w:right w:val="nil"/>
                  </w:tcBorders>
                  <w:shd w:val="clear" w:color="000000" w:fill="F2F2F2"/>
                  <w:noWrap/>
                  <w:vAlign w:val="center"/>
                  <w:hideMark/>
                </w:tcPr>
                <w:p w14:paraId="168E05B5" w14:textId="1E6ABBAB"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1.5 pp</w:t>
                  </w:r>
                </w:p>
              </w:tc>
            </w:tr>
            <w:tr w:rsidR="00415D20" w:rsidRPr="00093B38" w14:paraId="6D696FDF" w14:textId="77777777" w:rsidTr="00EC72E3">
              <w:trPr>
                <w:trHeight w:val="523"/>
              </w:trPr>
              <w:tc>
                <w:tcPr>
                  <w:tcW w:w="2680" w:type="dxa"/>
                  <w:tcBorders>
                    <w:top w:val="single" w:sz="4" w:space="0" w:color="auto"/>
                    <w:left w:val="nil"/>
                    <w:bottom w:val="nil"/>
                    <w:right w:val="nil"/>
                  </w:tcBorders>
                  <w:shd w:val="clear" w:color="000000" w:fill="F2F2F2"/>
                  <w:vAlign w:val="center"/>
                  <w:hideMark/>
                </w:tcPr>
                <w:p w14:paraId="2FA453FB"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Contract portfolio</w:t>
                  </w:r>
                </w:p>
              </w:tc>
              <w:tc>
                <w:tcPr>
                  <w:tcW w:w="1510" w:type="dxa"/>
                  <w:tcBorders>
                    <w:top w:val="single" w:sz="4" w:space="0" w:color="auto"/>
                    <w:left w:val="nil"/>
                    <w:bottom w:val="nil"/>
                    <w:right w:val="nil"/>
                  </w:tcBorders>
                  <w:shd w:val="clear" w:color="000000" w:fill="F2F2F2"/>
                  <w:noWrap/>
                  <w:vAlign w:val="center"/>
                  <w:hideMark/>
                </w:tcPr>
                <w:p w14:paraId="4E36976E"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13,290</w:t>
                  </w:r>
                </w:p>
              </w:tc>
              <w:tc>
                <w:tcPr>
                  <w:tcW w:w="1531" w:type="dxa"/>
                  <w:tcBorders>
                    <w:top w:val="single" w:sz="4" w:space="0" w:color="auto"/>
                    <w:left w:val="nil"/>
                    <w:bottom w:val="nil"/>
                    <w:right w:val="nil"/>
                  </w:tcBorders>
                  <w:shd w:val="clear" w:color="000000" w:fill="F2F2F2"/>
                  <w:noWrap/>
                  <w:vAlign w:val="center"/>
                  <w:hideMark/>
                </w:tcPr>
                <w:p w14:paraId="1F5C293C"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12,977</w:t>
                  </w:r>
                </w:p>
              </w:tc>
              <w:tc>
                <w:tcPr>
                  <w:tcW w:w="1319" w:type="dxa"/>
                  <w:tcBorders>
                    <w:top w:val="single" w:sz="4" w:space="0" w:color="auto"/>
                    <w:left w:val="nil"/>
                    <w:bottom w:val="nil"/>
                    <w:right w:val="nil"/>
                  </w:tcBorders>
                  <w:shd w:val="clear" w:color="000000" w:fill="F2F2F2"/>
                  <w:noWrap/>
                  <w:vAlign w:val="center"/>
                  <w:hideMark/>
                </w:tcPr>
                <w:p w14:paraId="2DA6A735"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2.4%</w:t>
                  </w:r>
                </w:p>
              </w:tc>
            </w:tr>
            <w:tr w:rsidR="00415D20" w:rsidRPr="00093B38" w14:paraId="02E73448" w14:textId="77777777" w:rsidTr="00EC72E3">
              <w:trPr>
                <w:trHeight w:val="523"/>
              </w:trPr>
              <w:tc>
                <w:tcPr>
                  <w:tcW w:w="2680" w:type="dxa"/>
                  <w:tcBorders>
                    <w:top w:val="single" w:sz="4" w:space="0" w:color="auto"/>
                    <w:left w:val="nil"/>
                    <w:bottom w:val="nil"/>
                    <w:right w:val="nil"/>
                  </w:tcBorders>
                  <w:shd w:val="clear" w:color="000000" w:fill="F2F2F2"/>
                  <w:noWrap/>
                  <w:vAlign w:val="center"/>
                  <w:hideMark/>
                </w:tcPr>
                <w:p w14:paraId="00F5B321" w14:textId="77777777" w:rsidR="00415D20" w:rsidRPr="00093B38" w:rsidRDefault="00415D20" w:rsidP="00415D20">
                  <w:pPr>
                    <w:spacing w:after="0" w:line="240" w:lineRule="auto"/>
                    <w:rPr>
                      <w:rFonts w:ascii="Tahoma" w:eastAsia="Times New Roman" w:hAnsi="Tahoma" w:cs="Tahoma"/>
                      <w:b/>
                      <w:bCs/>
                      <w:color w:val="404040"/>
                      <w:highlight w:val="green"/>
                    </w:rPr>
                  </w:pPr>
                  <w:r>
                    <w:rPr>
                      <w:rFonts w:ascii="Tahoma" w:hAnsi="Tahoma"/>
                      <w:b/>
                      <w:color w:val="404040"/>
                    </w:rPr>
                    <w:t>Contracting</w:t>
                  </w:r>
                </w:p>
              </w:tc>
              <w:tc>
                <w:tcPr>
                  <w:tcW w:w="1510" w:type="dxa"/>
                  <w:tcBorders>
                    <w:top w:val="single" w:sz="4" w:space="0" w:color="auto"/>
                    <w:left w:val="nil"/>
                    <w:bottom w:val="nil"/>
                    <w:right w:val="nil"/>
                  </w:tcBorders>
                  <w:shd w:val="clear" w:color="000000" w:fill="F2F2F2"/>
                  <w:noWrap/>
                  <w:vAlign w:val="center"/>
                  <w:hideMark/>
                </w:tcPr>
                <w:p w14:paraId="6CE5A8DD"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7,879</w:t>
                  </w:r>
                </w:p>
              </w:tc>
              <w:tc>
                <w:tcPr>
                  <w:tcW w:w="1531" w:type="dxa"/>
                  <w:tcBorders>
                    <w:top w:val="single" w:sz="4" w:space="0" w:color="auto"/>
                    <w:left w:val="nil"/>
                    <w:bottom w:val="nil"/>
                    <w:right w:val="nil"/>
                  </w:tcBorders>
                  <w:shd w:val="clear" w:color="000000" w:fill="F2F2F2"/>
                  <w:noWrap/>
                  <w:vAlign w:val="center"/>
                  <w:hideMark/>
                </w:tcPr>
                <w:p w14:paraId="418C291D"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7,002</w:t>
                  </w:r>
                </w:p>
              </w:tc>
              <w:tc>
                <w:tcPr>
                  <w:tcW w:w="1319" w:type="dxa"/>
                  <w:tcBorders>
                    <w:top w:val="single" w:sz="4" w:space="0" w:color="auto"/>
                    <w:left w:val="nil"/>
                    <w:bottom w:val="nil"/>
                    <w:right w:val="nil"/>
                  </w:tcBorders>
                  <w:shd w:val="clear" w:color="000000" w:fill="F2F2F2"/>
                  <w:noWrap/>
                  <w:vAlign w:val="center"/>
                  <w:hideMark/>
                </w:tcPr>
                <w:p w14:paraId="39120218" w14:textId="77777777" w:rsidR="00415D20" w:rsidRPr="00093B38" w:rsidRDefault="00415D20" w:rsidP="00415D20">
                  <w:pPr>
                    <w:spacing w:after="0" w:line="240" w:lineRule="auto"/>
                    <w:rPr>
                      <w:rFonts w:ascii="Tahoma" w:eastAsia="Times New Roman" w:hAnsi="Tahoma" w:cs="Tahoma"/>
                      <w:color w:val="404040"/>
                      <w:highlight w:val="green"/>
                    </w:rPr>
                  </w:pPr>
                  <w:r>
                    <w:rPr>
                      <w:rFonts w:ascii="Tahoma" w:hAnsi="Tahoma"/>
                      <w:color w:val="404040"/>
                    </w:rPr>
                    <w:t>12.5%</w:t>
                  </w:r>
                </w:p>
              </w:tc>
            </w:tr>
          </w:tbl>
          <w:p w14:paraId="7ACD4E4C" w14:textId="77777777" w:rsidR="00415D20" w:rsidRPr="00093B38" w:rsidRDefault="00415D20" w:rsidP="00415D20">
            <w:pPr>
              <w:spacing w:line="360" w:lineRule="auto"/>
              <w:jc w:val="both"/>
              <w:rPr>
                <w:rFonts w:ascii="Tahoma" w:eastAsia="Tahoma" w:hAnsi="Tahoma" w:cs="Tahoma"/>
                <w:b/>
                <w:color w:val="808080"/>
                <w:sz w:val="18"/>
                <w:szCs w:val="18"/>
                <w:highlight w:val="green"/>
              </w:rPr>
            </w:pPr>
          </w:p>
          <w:p w14:paraId="3141B6E5" w14:textId="77777777" w:rsidR="00415D20" w:rsidRPr="00093B38" w:rsidRDefault="00415D20" w:rsidP="00415D20">
            <w:pPr>
              <w:spacing w:line="360" w:lineRule="auto"/>
              <w:jc w:val="both"/>
              <w:rPr>
                <w:rFonts w:ascii="Tahoma" w:eastAsia="Tahoma" w:hAnsi="Tahoma" w:cs="Tahoma"/>
                <w:b/>
                <w:color w:val="808080"/>
                <w:sz w:val="18"/>
                <w:szCs w:val="18"/>
                <w:highlight w:val="green"/>
              </w:rPr>
            </w:pPr>
          </w:p>
          <w:p w14:paraId="41122E5B" w14:textId="77777777" w:rsidR="00415D20" w:rsidRPr="00726F91" w:rsidRDefault="00415D20" w:rsidP="00415D20">
            <w:pPr>
              <w:spacing w:line="360" w:lineRule="auto"/>
              <w:jc w:val="both"/>
              <w:rPr>
                <w:rFonts w:ascii="Tahoma" w:eastAsia="Tahoma" w:hAnsi="Tahoma" w:cs="Tahoma"/>
                <w:color w:val="808080"/>
                <w:sz w:val="18"/>
                <w:szCs w:val="18"/>
              </w:rPr>
            </w:pPr>
            <w:r>
              <w:rPr>
                <w:rFonts w:ascii="Tahoma" w:hAnsi="Tahoma"/>
                <w:color w:val="808080"/>
                <w:sz w:val="18"/>
              </w:rPr>
              <w:t xml:space="preserve">In 2022, the construction industry was under a strong pressure by a series of adverse external factors. However, despite market difficulties, such as broken supply chains of materials, lack of construction workers, significant slowdown in housing and self-government investments, sales in the construction segment of the </w:t>
            </w:r>
            <w:proofErr w:type="spellStart"/>
            <w:r>
              <w:rPr>
                <w:rFonts w:ascii="Tahoma" w:hAnsi="Tahoma"/>
                <w:color w:val="808080"/>
                <w:sz w:val="18"/>
              </w:rPr>
              <w:t>Budimex</w:t>
            </w:r>
            <w:proofErr w:type="spellEnd"/>
            <w:r>
              <w:rPr>
                <w:rFonts w:ascii="Tahoma" w:hAnsi="Tahoma"/>
                <w:color w:val="808080"/>
                <w:sz w:val="18"/>
              </w:rPr>
              <w:t xml:space="preserve"> Group were noticeably lower compared to the same period of the previous year. The high and well-diversified order portfolio at the beginning of 2022 as well as well-thought-out purchase policy and favourable weather conditions allowed us to increase the sales revenues by over 7%.</w:t>
            </w:r>
          </w:p>
          <w:p w14:paraId="7189379E" w14:textId="77777777" w:rsidR="00415D20" w:rsidRPr="00726F91" w:rsidRDefault="00415D20" w:rsidP="00415D20">
            <w:pPr>
              <w:spacing w:line="360" w:lineRule="auto"/>
              <w:jc w:val="both"/>
              <w:rPr>
                <w:rFonts w:ascii="Tahoma" w:eastAsia="Tahoma" w:hAnsi="Tahoma" w:cs="Tahoma"/>
                <w:bCs/>
                <w:color w:val="808080"/>
                <w:sz w:val="18"/>
                <w:szCs w:val="18"/>
              </w:rPr>
            </w:pPr>
          </w:p>
          <w:p w14:paraId="566075AE" w14:textId="5EFCBADD" w:rsidR="00BD291B" w:rsidRDefault="00415D20" w:rsidP="00415D20">
            <w:pPr>
              <w:spacing w:line="360" w:lineRule="auto"/>
              <w:jc w:val="both"/>
              <w:rPr>
                <w:rFonts w:ascii="Tahoma" w:eastAsia="Tahoma" w:hAnsi="Tahoma" w:cs="Tahoma"/>
                <w:bCs/>
                <w:color w:val="808080"/>
                <w:sz w:val="18"/>
                <w:szCs w:val="18"/>
              </w:rPr>
            </w:pPr>
            <w:r>
              <w:rPr>
                <w:rFonts w:ascii="Tahoma" w:hAnsi="Tahoma"/>
                <w:color w:val="808080"/>
                <w:sz w:val="18"/>
              </w:rPr>
              <w:t xml:space="preserve">In the second half of 2022, we observed stabilisation of key product ranges, and in certain cases (e.g., steel), reduction of prices compared to the levels recorded several weeks after the outbreak of war. The effect of increase of costs was partially reduced by increased indexation in construction contracts. A responsible contracting strategy and a well-tailored purchasing policy allowed us to reduce losses associated with the current market situation to a minimum. </w:t>
            </w:r>
          </w:p>
          <w:p w14:paraId="08833D2F" w14:textId="77777777" w:rsidR="00BD291B" w:rsidRDefault="00BD291B" w:rsidP="00415D20">
            <w:pPr>
              <w:spacing w:line="360" w:lineRule="auto"/>
              <w:jc w:val="both"/>
              <w:rPr>
                <w:rFonts w:ascii="Tahoma" w:eastAsia="Tahoma" w:hAnsi="Tahoma" w:cs="Tahoma"/>
                <w:bCs/>
                <w:color w:val="808080"/>
                <w:sz w:val="18"/>
                <w:szCs w:val="18"/>
              </w:rPr>
            </w:pPr>
          </w:p>
          <w:p w14:paraId="600F60A5" w14:textId="2099A626" w:rsidR="00415D20" w:rsidRDefault="008349A3" w:rsidP="00415D20">
            <w:pPr>
              <w:spacing w:line="360" w:lineRule="auto"/>
              <w:jc w:val="both"/>
              <w:rPr>
                <w:rFonts w:ascii="Tahoma" w:eastAsia="Tahoma" w:hAnsi="Tahoma" w:cs="Tahoma"/>
                <w:bCs/>
                <w:color w:val="808080"/>
                <w:sz w:val="18"/>
                <w:szCs w:val="18"/>
              </w:rPr>
            </w:pPr>
            <w:r>
              <w:rPr>
                <w:rFonts w:ascii="Tahoma" w:hAnsi="Tahoma"/>
                <w:color w:val="808080"/>
                <w:sz w:val="18"/>
              </w:rPr>
              <w:t xml:space="preserve">The maintenance of profitability was also possible due to higher incomes on interests in our financial activity. </w:t>
            </w:r>
          </w:p>
          <w:p w14:paraId="48FB86BD" w14:textId="77777777" w:rsidR="00415D20" w:rsidRPr="00726F91" w:rsidRDefault="00415D20" w:rsidP="00415D20">
            <w:pPr>
              <w:spacing w:line="360" w:lineRule="auto"/>
              <w:jc w:val="both"/>
              <w:rPr>
                <w:rFonts w:ascii="Tahoma" w:eastAsia="Tahoma" w:hAnsi="Tahoma" w:cs="Tahoma"/>
                <w:bCs/>
                <w:color w:val="808080"/>
                <w:sz w:val="18"/>
                <w:szCs w:val="18"/>
              </w:rPr>
            </w:pPr>
          </w:p>
          <w:p w14:paraId="746CD09B" w14:textId="5F3A58D6" w:rsidR="00415D20" w:rsidRDefault="008C3B72" w:rsidP="00415D20">
            <w:pPr>
              <w:spacing w:line="360" w:lineRule="auto"/>
              <w:jc w:val="both"/>
              <w:rPr>
                <w:rFonts w:ascii="Tahoma" w:eastAsia="Tahoma" w:hAnsi="Tahoma" w:cs="Tahoma"/>
                <w:bCs/>
                <w:color w:val="808080"/>
                <w:sz w:val="18"/>
                <w:szCs w:val="18"/>
              </w:rPr>
            </w:pPr>
            <w:r>
              <w:rPr>
                <w:rFonts w:ascii="Tahoma" w:hAnsi="Tahoma"/>
                <w:color w:val="808080"/>
                <w:sz w:val="18"/>
              </w:rPr>
              <w:t xml:space="preserve">We have also maintained a stable position on the market through intense works on acquisition of new contracts. The value of projects signed in January 2023 and waiting to be signed is nearly PLN 6 billion, which should ensure stability of the order portfolio. These contracts include, e.g., the railway line 201 between </w:t>
            </w:r>
            <w:proofErr w:type="spellStart"/>
            <w:r>
              <w:rPr>
                <w:rFonts w:ascii="Tahoma" w:hAnsi="Tahoma"/>
                <w:color w:val="808080"/>
                <w:sz w:val="18"/>
              </w:rPr>
              <w:t>Kościerzyna</w:t>
            </w:r>
            <w:proofErr w:type="spellEnd"/>
            <w:r>
              <w:rPr>
                <w:rFonts w:ascii="Tahoma" w:hAnsi="Tahoma"/>
                <w:color w:val="808080"/>
                <w:sz w:val="18"/>
              </w:rPr>
              <w:t xml:space="preserve"> and </w:t>
            </w:r>
            <w:proofErr w:type="spellStart"/>
            <w:r>
              <w:rPr>
                <w:rFonts w:ascii="Tahoma" w:hAnsi="Tahoma"/>
                <w:color w:val="808080"/>
                <w:sz w:val="18"/>
              </w:rPr>
              <w:t>Somonino</w:t>
            </w:r>
            <w:proofErr w:type="spellEnd"/>
            <w:r>
              <w:rPr>
                <w:rFonts w:ascii="Tahoma" w:hAnsi="Tahoma"/>
                <w:color w:val="808080"/>
                <w:sz w:val="18"/>
              </w:rPr>
              <w:t xml:space="preserve"> (PLN 1,284 million), the ring road of </w:t>
            </w:r>
            <w:proofErr w:type="spellStart"/>
            <w:r>
              <w:rPr>
                <w:rFonts w:ascii="Tahoma" w:hAnsi="Tahoma"/>
                <w:color w:val="808080"/>
                <w:sz w:val="18"/>
              </w:rPr>
              <w:t>Zabierzów</w:t>
            </w:r>
            <w:proofErr w:type="spellEnd"/>
            <w:r>
              <w:rPr>
                <w:rFonts w:ascii="Tahoma" w:hAnsi="Tahoma"/>
                <w:color w:val="808080"/>
                <w:sz w:val="18"/>
              </w:rPr>
              <w:t xml:space="preserve"> (PLN 549 million), road I75 </w:t>
            </w:r>
            <w:proofErr w:type="spellStart"/>
            <w:r>
              <w:rPr>
                <w:rFonts w:ascii="Tahoma" w:hAnsi="Tahoma"/>
                <w:color w:val="808080"/>
                <w:sz w:val="18"/>
              </w:rPr>
              <w:t>Šaľa</w:t>
            </w:r>
            <w:proofErr w:type="spellEnd"/>
            <w:r>
              <w:rPr>
                <w:rFonts w:ascii="Tahoma" w:hAnsi="Tahoma"/>
                <w:color w:val="808080"/>
                <w:sz w:val="18"/>
              </w:rPr>
              <w:t xml:space="preserve"> in Slovakia (PLN 374 million) or the railway line 104 between </w:t>
            </w:r>
            <w:proofErr w:type="spellStart"/>
            <w:r>
              <w:rPr>
                <w:rFonts w:ascii="Tahoma" w:hAnsi="Tahoma"/>
                <w:color w:val="808080"/>
                <w:sz w:val="18"/>
              </w:rPr>
              <w:t>Chabówka</w:t>
            </w:r>
            <w:proofErr w:type="spellEnd"/>
            <w:r>
              <w:rPr>
                <w:rFonts w:ascii="Tahoma" w:hAnsi="Tahoma"/>
                <w:color w:val="808080"/>
                <w:sz w:val="18"/>
              </w:rPr>
              <w:t xml:space="preserve"> and </w:t>
            </w:r>
            <w:proofErr w:type="spellStart"/>
            <w:r>
              <w:rPr>
                <w:rFonts w:ascii="Tahoma" w:hAnsi="Tahoma"/>
                <w:color w:val="808080"/>
                <w:sz w:val="18"/>
              </w:rPr>
              <w:t>Nowy</w:t>
            </w:r>
            <w:proofErr w:type="spellEnd"/>
            <w:r>
              <w:rPr>
                <w:rFonts w:ascii="Tahoma" w:hAnsi="Tahoma"/>
                <w:color w:val="808080"/>
                <w:sz w:val="18"/>
              </w:rPr>
              <w:t xml:space="preserve"> </w:t>
            </w:r>
            <w:proofErr w:type="spellStart"/>
            <w:r>
              <w:rPr>
                <w:rFonts w:ascii="Tahoma" w:hAnsi="Tahoma"/>
                <w:color w:val="808080"/>
                <w:sz w:val="18"/>
              </w:rPr>
              <w:t>Sącz</w:t>
            </w:r>
            <w:proofErr w:type="spellEnd"/>
            <w:r>
              <w:rPr>
                <w:rFonts w:ascii="Tahoma" w:hAnsi="Tahoma"/>
                <w:color w:val="808080"/>
                <w:sz w:val="18"/>
              </w:rPr>
              <w:t xml:space="preserve"> (PLN 366 million). In 2022, we obtained contracts worth nearly PLN 7.9 billion, and the order portfolio of the </w:t>
            </w:r>
            <w:proofErr w:type="spellStart"/>
            <w:r>
              <w:rPr>
                <w:rFonts w:ascii="Tahoma" w:hAnsi="Tahoma"/>
                <w:color w:val="808080"/>
                <w:sz w:val="18"/>
              </w:rPr>
              <w:lastRenderedPageBreak/>
              <w:t>Budimex</w:t>
            </w:r>
            <w:proofErr w:type="spellEnd"/>
            <w:r>
              <w:rPr>
                <w:rFonts w:ascii="Tahoma" w:hAnsi="Tahoma"/>
                <w:color w:val="808080"/>
                <w:sz w:val="18"/>
              </w:rPr>
              <w:t xml:space="preserve"> Group at the end of 2022 was PLN 13.3 billion.</w:t>
            </w:r>
          </w:p>
          <w:p w14:paraId="5213F3AC" w14:textId="77777777" w:rsidR="00834C94" w:rsidRDefault="00834C94" w:rsidP="00415D20">
            <w:pPr>
              <w:spacing w:line="360" w:lineRule="auto"/>
              <w:jc w:val="both"/>
              <w:rPr>
                <w:rFonts w:ascii="Tahoma" w:eastAsia="Tahoma" w:hAnsi="Tahoma" w:cs="Tahoma"/>
                <w:bCs/>
                <w:color w:val="808080"/>
                <w:sz w:val="18"/>
                <w:szCs w:val="18"/>
              </w:rPr>
            </w:pPr>
          </w:p>
          <w:p w14:paraId="32A8B0CA" w14:textId="0050535E" w:rsidR="00834C94" w:rsidRPr="00726F91" w:rsidRDefault="00415D20" w:rsidP="00834C94">
            <w:pPr>
              <w:spacing w:line="360" w:lineRule="auto"/>
              <w:jc w:val="both"/>
              <w:rPr>
                <w:rFonts w:ascii="Tahoma" w:eastAsia="Tahoma" w:hAnsi="Tahoma" w:cs="Tahoma"/>
                <w:bCs/>
                <w:color w:val="808080"/>
                <w:sz w:val="18"/>
                <w:szCs w:val="18"/>
              </w:rPr>
            </w:pPr>
            <w:r>
              <w:rPr>
                <w:rFonts w:ascii="Tahoma" w:hAnsi="Tahoma"/>
                <w:color w:val="808080"/>
                <w:sz w:val="18"/>
              </w:rPr>
              <w:t xml:space="preserve">The </w:t>
            </w:r>
            <w:proofErr w:type="spellStart"/>
            <w:r>
              <w:rPr>
                <w:rFonts w:ascii="Tahoma" w:hAnsi="Tahoma"/>
                <w:color w:val="808080"/>
                <w:sz w:val="18"/>
              </w:rPr>
              <w:t>Budimex</w:t>
            </w:r>
            <w:proofErr w:type="spellEnd"/>
            <w:r>
              <w:rPr>
                <w:rFonts w:ascii="Tahoma" w:hAnsi="Tahoma"/>
                <w:color w:val="808080"/>
                <w:sz w:val="18"/>
              </w:rPr>
              <w:t xml:space="preserve"> Group finished 2022 with the net cash position at the level exceeding PLN 3.1 billion, which gives us an advantage on the construction companies market, and at the same time, despite difficult times for the market, allows us to invest in the development of the Group and engage also as an Investor in new ventures. In June 2022, we paid the remaining dividend for 2021 in the amount of PLN 23.47 per share. Thus, the total dividend per share for 2021 was a record PLN 38.37. Stable financial position and high resources of the </w:t>
            </w:r>
            <w:proofErr w:type="spellStart"/>
            <w:r>
              <w:rPr>
                <w:rFonts w:ascii="Tahoma" w:hAnsi="Tahoma"/>
                <w:color w:val="808080"/>
                <w:sz w:val="18"/>
              </w:rPr>
              <w:t>Budimex</w:t>
            </w:r>
            <w:proofErr w:type="spellEnd"/>
            <w:r>
              <w:rPr>
                <w:rFonts w:ascii="Tahoma" w:hAnsi="Tahoma"/>
                <w:color w:val="808080"/>
                <w:sz w:val="18"/>
              </w:rPr>
              <w:t xml:space="preserve"> Group were favourable for high investments in modernisation and extension of equipment facilities in both </w:t>
            </w:r>
            <w:proofErr w:type="spellStart"/>
            <w:r>
              <w:rPr>
                <w:rFonts w:ascii="Tahoma" w:hAnsi="Tahoma"/>
                <w:color w:val="808080"/>
                <w:sz w:val="18"/>
              </w:rPr>
              <w:t>Budimex</w:t>
            </w:r>
            <w:proofErr w:type="spellEnd"/>
            <w:r>
              <w:rPr>
                <w:rFonts w:ascii="Tahoma" w:hAnsi="Tahoma"/>
                <w:color w:val="808080"/>
                <w:sz w:val="18"/>
              </w:rPr>
              <w:t xml:space="preserve"> SA and other companies of the Group. We invested in, e.g., a modern railway equipment, construction machines and a machine base intended for implementation of maintenance contracts in the services segment. </w:t>
            </w:r>
          </w:p>
          <w:p w14:paraId="23AEB0E0" w14:textId="637EBC90" w:rsidR="009C59A0" w:rsidRPr="006B3CBD" w:rsidRDefault="0001727E" w:rsidP="00D4399C">
            <w:pPr>
              <w:spacing w:line="360" w:lineRule="auto"/>
              <w:jc w:val="both"/>
              <w:rPr>
                <w:rFonts w:ascii="Tahoma" w:eastAsia="Tahoma" w:hAnsi="Tahoma" w:cs="Tahoma"/>
                <w:bCs/>
                <w:color w:val="808080"/>
                <w:sz w:val="18"/>
                <w:szCs w:val="18"/>
              </w:rPr>
            </w:pPr>
            <w:r>
              <w:rPr>
                <w:rFonts w:ascii="Tahoma" w:hAnsi="Tahoma"/>
                <w:b/>
                <w:noProof/>
                <w:color w:val="808080"/>
                <w:sz w:val="18"/>
                <w:highlight w:val="yellow"/>
                <w:lang w:val="pl-PL"/>
              </w:rPr>
              <mc:AlternateContent>
                <mc:Choice Requires="wps">
                  <w:drawing>
                    <wp:anchor distT="0" distB="0" distL="114300" distR="114300" simplePos="0" relativeHeight="251708416" behindDoc="0" locked="0" layoutInCell="1" allowOverlap="1" wp14:anchorId="5F8B69C2" wp14:editId="12BB66F5">
                      <wp:simplePos x="0" y="0"/>
                      <wp:positionH relativeFrom="margin">
                        <wp:align>center</wp:align>
                      </wp:positionH>
                      <wp:positionV relativeFrom="page">
                        <wp:posOffset>9931207</wp:posOffset>
                      </wp:positionV>
                      <wp:extent cx="6487795" cy="244475"/>
                      <wp:effectExtent l="0" t="0" r="0" b="3175"/>
                      <wp:wrapNone/>
                      <wp:docPr id="12" name="Pole tekstowe 12"/>
                      <wp:cNvGraphicFramePr/>
                      <a:graphic xmlns:a="http://schemas.openxmlformats.org/drawingml/2006/main">
                        <a:graphicData uri="http://schemas.microsoft.com/office/word/2010/wordprocessingShape">
                          <wps:wsp>
                            <wps:cNvSpPr txBox="1"/>
                            <wps:spPr>
                              <a:xfrm>
                                <a:off x="0" y="0"/>
                                <a:ext cx="6487795" cy="244475"/>
                              </a:xfrm>
                              <a:prstGeom prst="rect">
                                <a:avLst/>
                              </a:prstGeom>
                              <a:noFill/>
                              <a:ln w="6350">
                                <a:noFill/>
                              </a:ln>
                            </wps:spPr>
                            <wps:txbx>
                              <w:txbxContent>
                                <w:p w14:paraId="40C54039" w14:textId="77777777" w:rsidR="0001727E" w:rsidRPr="002B1C9B" w:rsidRDefault="0001727E" w:rsidP="0001727E">
                                  <w:pPr>
                                    <w:rPr>
                                      <w:rFonts w:ascii="Tahoma" w:hAnsi="Tahoma" w:cs="Tahoma"/>
                                      <w:i/>
                                      <w:color w:val="808080" w:themeColor="background1" w:themeShade="80"/>
                                      <w:sz w:val="14"/>
                                      <w:szCs w:val="14"/>
                                    </w:rPr>
                                  </w:pPr>
                                  <w:r>
                                    <w:rPr>
                                      <w:rFonts w:ascii="Tahoma" w:hAnsi="Tahoma"/>
                                      <w:i/>
                                      <w:color w:val="808080" w:themeColor="background1" w:themeShade="80"/>
                                      <w:sz w:val="14"/>
                                    </w:rPr>
                                    <w:t xml:space="preserve">*pro-forma data, prepared assuming consolidation of </w:t>
                                  </w:r>
                                  <w:proofErr w:type="spellStart"/>
                                  <w:r>
                                    <w:rPr>
                                      <w:rFonts w:ascii="Tahoma" w:hAnsi="Tahoma"/>
                                      <w:i/>
                                      <w:color w:val="808080" w:themeColor="background1" w:themeShade="80"/>
                                      <w:sz w:val="14"/>
                                    </w:rPr>
                                    <w:t>FBSerwis</w:t>
                                  </w:r>
                                  <w:proofErr w:type="spellEnd"/>
                                  <w:r>
                                    <w:rPr>
                                      <w:rFonts w:ascii="Tahoma" w:hAnsi="Tahoma"/>
                                      <w:i/>
                                      <w:color w:val="808080" w:themeColor="background1" w:themeShade="80"/>
                                      <w:sz w:val="14"/>
                                    </w:rPr>
                                    <w:t xml:space="preserve"> Group as of 01.01.2019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B69C2" id="_x0000_t202" coordsize="21600,21600" o:spt="202" path="m,l,21600r21600,l21600,xe">
                      <v:stroke joinstyle="miter"/>
                      <v:path gradientshapeok="t" o:connecttype="rect"/>
                    </v:shapetype>
                    <v:shape id="Pole tekstowe 12" o:spid="_x0000_s1026" type="#_x0000_t202" style="position:absolute;left:0;text-align:left;margin-left:0;margin-top:782pt;width:510.85pt;height:19.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x6FwIAACwEAAAOAAAAZHJzL2Uyb0RvYy54bWysU8tu2zAQvBfoPxC815JdOU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" filled="f" stroked="f" strokeweight=".5pt">
                      <v:textbox>
                        <w:txbxContent>
                          <w:p w14:paraId="40C54039" w14:textId="77777777" w:rsidR="0001727E" w:rsidRPr="002B1C9B" w:rsidRDefault="0001727E" w:rsidP="0001727E">
                            <w:pPr>
                              <w:rPr>
                                <w:rFonts w:ascii="Tahoma" w:hAnsi="Tahoma" w:cs="Tahoma"/>
                                <w:i/>
                                <w:color w:val="808080" w:themeColor="background1" w:themeShade="80"/>
                                <w:sz w:val="14"/>
                                <w:szCs w:val="14"/>
                              </w:rPr>
                            </w:pPr>
                            <w:r>
                              <w:rPr>
                                <w:rFonts w:ascii="Tahoma" w:hAnsi="Tahoma"/>
                                <w:i/>
                                <w:color w:val="808080" w:themeColor="background1" w:themeShade="80"/>
                                <w:sz w:val="14"/>
                              </w:rPr>
                              <w:t>*pro-forma data, prepared assuming consolidation of FBSerwis Group as of 01.01.2019</w:t>
                            </w:r>
                          </w:p>
                        </w:txbxContent>
                      </v:textbox>
                      <w10:wrap anchorx="margin" anchory="page"/>
                    </v:shape>
                  </w:pict>
                </mc:Fallback>
              </mc:AlternateContent>
            </w:r>
          </w:p>
          <w:p w14:paraId="4C20D3F6" w14:textId="41CE892F" w:rsidR="004C0D54" w:rsidRDefault="004C0D54" w:rsidP="004C0D54">
            <w:pPr>
              <w:spacing w:line="360" w:lineRule="auto"/>
              <w:jc w:val="both"/>
              <w:rPr>
                <w:rFonts w:ascii="Tahoma" w:eastAsia="Tahoma" w:hAnsi="Tahoma" w:cs="Tahoma"/>
                <w:b/>
                <w:noProof/>
                <w:color w:val="808080"/>
                <w:sz w:val="18"/>
                <w:szCs w:val="18"/>
              </w:rPr>
            </w:pPr>
            <w:r>
              <w:rPr>
                <w:rFonts w:ascii="Tahoma" w:hAnsi="Tahoma"/>
                <w:b/>
                <w:color w:val="808080"/>
                <w:sz w:val="18"/>
              </w:rPr>
              <w:t>In 2022, the services segment recorded an increased level of revenues and improved profitability.</w:t>
            </w:r>
          </w:p>
          <w:p w14:paraId="22706C85" w14:textId="77777777" w:rsidR="004C0D54" w:rsidRPr="006B3CBD" w:rsidRDefault="004C0D54" w:rsidP="004C0D54">
            <w:pPr>
              <w:spacing w:line="360" w:lineRule="auto"/>
              <w:jc w:val="both"/>
              <w:rPr>
                <w:rStyle w:val="Odwoaniedokomentarza"/>
              </w:rPr>
            </w:pPr>
          </w:p>
          <w:tbl>
            <w:tblPr>
              <w:tblW w:w="7738" w:type="dxa"/>
              <w:tblLayout w:type="fixed"/>
              <w:tblCellMar>
                <w:left w:w="70" w:type="dxa"/>
                <w:right w:w="70" w:type="dxa"/>
              </w:tblCellMar>
              <w:tblLook w:val="04A0" w:firstRow="1" w:lastRow="0" w:firstColumn="1" w:lastColumn="0" w:noHBand="0" w:noVBand="1"/>
            </w:tblPr>
            <w:tblGrid>
              <w:gridCol w:w="2520"/>
              <w:gridCol w:w="1778"/>
              <w:gridCol w:w="1559"/>
              <w:gridCol w:w="1559"/>
              <w:gridCol w:w="142"/>
              <w:gridCol w:w="38"/>
              <w:gridCol w:w="142"/>
            </w:tblGrid>
            <w:tr w:rsidR="004C0D54" w:rsidRPr="006252BE" w14:paraId="3F193A85" w14:textId="77777777" w:rsidTr="00EC72E3">
              <w:trPr>
                <w:trHeight w:val="349"/>
              </w:trPr>
              <w:tc>
                <w:tcPr>
                  <w:tcW w:w="2520" w:type="dxa"/>
                  <w:vMerge w:val="restart"/>
                  <w:tcBorders>
                    <w:top w:val="nil"/>
                    <w:left w:val="nil"/>
                    <w:bottom w:val="nil"/>
                    <w:right w:val="nil"/>
                  </w:tcBorders>
                  <w:shd w:val="clear" w:color="000000" w:fill="595959"/>
                  <w:vAlign w:val="center"/>
                  <w:hideMark/>
                </w:tcPr>
                <w:p w14:paraId="4DFFF039" w14:textId="77777777" w:rsidR="004C0D54" w:rsidRPr="006252BE" w:rsidRDefault="004C0D54" w:rsidP="004C0D54">
                  <w:pPr>
                    <w:spacing w:after="0" w:line="240" w:lineRule="auto"/>
                    <w:rPr>
                      <w:rFonts w:ascii="Tahoma" w:eastAsia="Times New Roman" w:hAnsi="Tahoma" w:cs="Tahoma"/>
                      <w:b/>
                      <w:bCs/>
                      <w:color w:val="FFFFFF"/>
                    </w:rPr>
                  </w:pPr>
                  <w:r>
                    <w:rPr>
                      <w:rFonts w:ascii="Tahoma" w:hAnsi="Tahoma"/>
                      <w:b/>
                      <w:color w:val="FFFFFF"/>
                    </w:rPr>
                    <w:t>Services segments</w:t>
                  </w:r>
                  <w:r>
                    <w:rPr>
                      <w:rFonts w:ascii="Tahoma" w:hAnsi="Tahoma"/>
                      <w:b/>
                      <w:color w:val="FFFFFF"/>
                    </w:rPr>
                    <w:br/>
                    <w:t>(PLN million)</w:t>
                  </w:r>
                </w:p>
              </w:tc>
              <w:tc>
                <w:tcPr>
                  <w:tcW w:w="5038" w:type="dxa"/>
                  <w:gridSpan w:val="4"/>
                  <w:tcBorders>
                    <w:top w:val="nil"/>
                    <w:left w:val="nil"/>
                    <w:bottom w:val="single" w:sz="4" w:space="0" w:color="000000"/>
                    <w:right w:val="nil"/>
                  </w:tcBorders>
                  <w:shd w:val="clear" w:color="000000" w:fill="BFBFBF"/>
                  <w:noWrap/>
                  <w:vAlign w:val="center"/>
                  <w:hideMark/>
                </w:tcPr>
                <w:p w14:paraId="6EAFA69A" w14:textId="77777777" w:rsidR="004C0D54" w:rsidRPr="006252BE" w:rsidRDefault="004C0D54" w:rsidP="004C0D54">
                  <w:pPr>
                    <w:spacing w:after="0" w:line="240" w:lineRule="auto"/>
                    <w:jc w:val="center"/>
                    <w:rPr>
                      <w:rFonts w:ascii="Tahoma" w:eastAsia="Times New Roman" w:hAnsi="Tahoma" w:cs="Tahoma"/>
                      <w:b/>
                      <w:bCs/>
                      <w:color w:val="000000"/>
                    </w:rPr>
                  </w:pPr>
                  <w:r>
                    <w:rPr>
                      <w:rFonts w:ascii="Tahoma" w:hAnsi="Tahoma"/>
                      <w:b/>
                      <w:color w:val="000000"/>
                    </w:rPr>
                    <w:t>Profit and loss account</w:t>
                  </w:r>
                </w:p>
              </w:tc>
              <w:tc>
                <w:tcPr>
                  <w:tcW w:w="180" w:type="dxa"/>
                  <w:gridSpan w:val="2"/>
                  <w:tcBorders>
                    <w:top w:val="nil"/>
                    <w:left w:val="nil"/>
                    <w:bottom w:val="nil"/>
                    <w:right w:val="nil"/>
                  </w:tcBorders>
                  <w:shd w:val="clear" w:color="000000" w:fill="BFBFBF"/>
                  <w:noWrap/>
                  <w:vAlign w:val="center"/>
                  <w:hideMark/>
                </w:tcPr>
                <w:p w14:paraId="6397515D" w14:textId="77777777" w:rsidR="004C0D54" w:rsidRPr="006252BE" w:rsidRDefault="004C0D54" w:rsidP="004C0D54">
                  <w:pPr>
                    <w:spacing w:after="0" w:line="240" w:lineRule="auto"/>
                    <w:jc w:val="center"/>
                    <w:rPr>
                      <w:rFonts w:ascii="Tahoma" w:eastAsia="Times New Roman" w:hAnsi="Tahoma" w:cs="Tahoma"/>
                      <w:b/>
                      <w:bCs/>
                      <w:color w:val="000000"/>
                    </w:rPr>
                  </w:pPr>
                  <w:r>
                    <w:rPr>
                      <w:rFonts w:ascii="Tahoma" w:hAnsi="Tahoma"/>
                      <w:b/>
                      <w:color w:val="000000"/>
                    </w:rPr>
                    <w:t> </w:t>
                  </w:r>
                </w:p>
              </w:tc>
            </w:tr>
            <w:tr w:rsidR="004C0D54" w:rsidRPr="006252BE" w14:paraId="330545C6" w14:textId="77777777" w:rsidTr="00EC72E3">
              <w:trPr>
                <w:gridAfter w:val="1"/>
                <w:wAfter w:w="142" w:type="dxa"/>
                <w:trHeight w:val="525"/>
              </w:trPr>
              <w:tc>
                <w:tcPr>
                  <w:tcW w:w="2520" w:type="dxa"/>
                  <w:vMerge/>
                  <w:tcBorders>
                    <w:top w:val="nil"/>
                    <w:left w:val="nil"/>
                    <w:bottom w:val="nil"/>
                    <w:right w:val="nil"/>
                  </w:tcBorders>
                  <w:vAlign w:val="center"/>
                  <w:hideMark/>
                </w:tcPr>
                <w:p w14:paraId="45E6E312" w14:textId="77777777" w:rsidR="004C0D54" w:rsidRPr="006252BE" w:rsidRDefault="004C0D54" w:rsidP="004C0D54">
                  <w:pPr>
                    <w:spacing w:after="0" w:line="240" w:lineRule="auto"/>
                    <w:rPr>
                      <w:rFonts w:ascii="Tahoma" w:eastAsia="Times New Roman" w:hAnsi="Tahoma" w:cs="Tahoma"/>
                      <w:b/>
                      <w:bCs/>
                      <w:color w:val="FFFFFF"/>
                    </w:rPr>
                  </w:pPr>
                </w:p>
              </w:tc>
              <w:tc>
                <w:tcPr>
                  <w:tcW w:w="1778" w:type="dxa"/>
                  <w:tcBorders>
                    <w:top w:val="nil"/>
                    <w:left w:val="nil"/>
                    <w:bottom w:val="nil"/>
                    <w:right w:val="nil"/>
                  </w:tcBorders>
                  <w:shd w:val="clear" w:color="000000" w:fill="BFBFBF"/>
                  <w:vAlign w:val="center"/>
                  <w:hideMark/>
                </w:tcPr>
                <w:p w14:paraId="45A212D0" w14:textId="77777777" w:rsidR="004C0D54" w:rsidRPr="006252BE" w:rsidRDefault="004C0D54" w:rsidP="004C0D54">
                  <w:pPr>
                    <w:spacing w:after="0" w:line="240" w:lineRule="auto"/>
                    <w:jc w:val="center"/>
                    <w:rPr>
                      <w:rFonts w:ascii="Tahoma" w:eastAsia="Times New Roman" w:hAnsi="Tahoma" w:cs="Tahoma"/>
                      <w:color w:val="000000"/>
                    </w:rPr>
                  </w:pPr>
                  <w:r>
                    <w:rPr>
                      <w:rFonts w:ascii="Tahoma" w:hAnsi="Tahoma"/>
                      <w:color w:val="000000"/>
                    </w:rPr>
                    <w:t>2022</w:t>
                  </w:r>
                </w:p>
              </w:tc>
              <w:tc>
                <w:tcPr>
                  <w:tcW w:w="1559" w:type="dxa"/>
                  <w:tcBorders>
                    <w:top w:val="nil"/>
                    <w:left w:val="single" w:sz="4" w:space="0" w:color="000000"/>
                    <w:bottom w:val="single" w:sz="8" w:space="0" w:color="000000"/>
                    <w:right w:val="single" w:sz="4" w:space="0" w:color="000000"/>
                  </w:tcBorders>
                  <w:shd w:val="clear" w:color="000000" w:fill="BFBFBF"/>
                  <w:vAlign w:val="center"/>
                  <w:hideMark/>
                </w:tcPr>
                <w:p w14:paraId="75B89744" w14:textId="77777777" w:rsidR="004C0D54" w:rsidRPr="006252BE" w:rsidRDefault="004C0D54" w:rsidP="004C0D54">
                  <w:pPr>
                    <w:spacing w:after="0" w:line="240" w:lineRule="auto"/>
                    <w:jc w:val="center"/>
                    <w:rPr>
                      <w:rFonts w:ascii="Tahoma" w:eastAsia="Times New Roman" w:hAnsi="Tahoma" w:cs="Tahoma"/>
                      <w:color w:val="000000"/>
                    </w:rPr>
                  </w:pPr>
                  <w:r>
                    <w:rPr>
                      <w:rFonts w:ascii="Tahoma" w:hAnsi="Tahoma"/>
                      <w:color w:val="000000"/>
                    </w:rPr>
                    <w:t>2021</w:t>
                  </w:r>
                </w:p>
              </w:tc>
              <w:tc>
                <w:tcPr>
                  <w:tcW w:w="1559" w:type="dxa"/>
                  <w:tcBorders>
                    <w:top w:val="nil"/>
                    <w:left w:val="nil"/>
                    <w:bottom w:val="single" w:sz="8" w:space="0" w:color="000000"/>
                    <w:right w:val="nil"/>
                  </w:tcBorders>
                  <w:shd w:val="clear" w:color="000000" w:fill="BFBFBF"/>
                  <w:noWrap/>
                  <w:vAlign w:val="center"/>
                  <w:hideMark/>
                </w:tcPr>
                <w:p w14:paraId="45900683" w14:textId="77777777" w:rsidR="004C0D54" w:rsidRPr="006252BE" w:rsidRDefault="004C0D54" w:rsidP="004C0D54">
                  <w:pPr>
                    <w:spacing w:after="0" w:line="240" w:lineRule="auto"/>
                    <w:jc w:val="center"/>
                    <w:rPr>
                      <w:rFonts w:ascii="Tahoma" w:eastAsia="Times New Roman" w:hAnsi="Tahoma" w:cs="Tahoma"/>
                      <w:color w:val="000000"/>
                    </w:rPr>
                  </w:pPr>
                  <w:r>
                    <w:rPr>
                      <w:rFonts w:ascii="Tahoma" w:hAnsi="Tahoma"/>
                      <w:color w:val="000000"/>
                    </w:rPr>
                    <w:t>y/y</w:t>
                  </w:r>
                </w:p>
              </w:tc>
              <w:tc>
                <w:tcPr>
                  <w:tcW w:w="180" w:type="dxa"/>
                  <w:gridSpan w:val="2"/>
                  <w:tcBorders>
                    <w:top w:val="nil"/>
                    <w:left w:val="nil"/>
                    <w:bottom w:val="nil"/>
                    <w:right w:val="nil"/>
                  </w:tcBorders>
                  <w:shd w:val="clear" w:color="000000" w:fill="BFBFBF"/>
                  <w:noWrap/>
                  <w:vAlign w:val="center"/>
                  <w:hideMark/>
                </w:tcPr>
                <w:p w14:paraId="41569E57" w14:textId="77777777" w:rsidR="004C0D54" w:rsidRPr="006252BE" w:rsidRDefault="004C0D54" w:rsidP="004C0D54">
                  <w:pPr>
                    <w:spacing w:after="0" w:line="240" w:lineRule="auto"/>
                    <w:jc w:val="center"/>
                    <w:rPr>
                      <w:rFonts w:ascii="Tahoma" w:eastAsia="Times New Roman" w:hAnsi="Tahoma" w:cs="Tahoma"/>
                      <w:color w:val="000000"/>
                    </w:rPr>
                  </w:pPr>
                  <w:r>
                    <w:rPr>
                      <w:rFonts w:ascii="Tahoma" w:hAnsi="Tahoma"/>
                      <w:color w:val="000000"/>
                    </w:rPr>
                    <w:t> </w:t>
                  </w:r>
                </w:p>
              </w:tc>
            </w:tr>
            <w:tr w:rsidR="004C0D54" w:rsidRPr="006252BE" w14:paraId="64450CCF" w14:textId="77777777" w:rsidTr="00EC72E3">
              <w:trPr>
                <w:gridAfter w:val="1"/>
                <w:wAfter w:w="142" w:type="dxa"/>
                <w:trHeight w:val="420"/>
              </w:trPr>
              <w:tc>
                <w:tcPr>
                  <w:tcW w:w="2520" w:type="dxa"/>
                  <w:tcBorders>
                    <w:top w:val="single" w:sz="8" w:space="0" w:color="auto"/>
                    <w:left w:val="nil"/>
                    <w:bottom w:val="nil"/>
                    <w:right w:val="nil"/>
                  </w:tcBorders>
                  <w:shd w:val="clear" w:color="000000" w:fill="FFC000"/>
                  <w:noWrap/>
                  <w:vAlign w:val="center"/>
                  <w:hideMark/>
                </w:tcPr>
                <w:p w14:paraId="6C52926C" w14:textId="77777777" w:rsidR="004C0D54" w:rsidRPr="006252BE" w:rsidRDefault="004C0D54" w:rsidP="004C0D54">
                  <w:pPr>
                    <w:spacing w:after="0" w:line="240" w:lineRule="auto"/>
                    <w:rPr>
                      <w:rFonts w:ascii="Tahoma" w:eastAsia="Times New Roman" w:hAnsi="Tahoma" w:cs="Tahoma"/>
                      <w:b/>
                      <w:bCs/>
                      <w:color w:val="404040"/>
                    </w:rPr>
                  </w:pPr>
                  <w:r>
                    <w:rPr>
                      <w:rFonts w:ascii="Tahoma" w:hAnsi="Tahoma"/>
                      <w:b/>
                      <w:color w:val="404040"/>
                    </w:rPr>
                    <w:t>Sale</w:t>
                  </w:r>
                </w:p>
              </w:tc>
              <w:tc>
                <w:tcPr>
                  <w:tcW w:w="1778" w:type="dxa"/>
                  <w:tcBorders>
                    <w:top w:val="single" w:sz="8" w:space="0" w:color="auto"/>
                    <w:left w:val="nil"/>
                    <w:bottom w:val="nil"/>
                    <w:right w:val="nil"/>
                  </w:tcBorders>
                  <w:shd w:val="clear" w:color="000000" w:fill="FFC000"/>
                  <w:noWrap/>
                  <w:vAlign w:val="center"/>
                  <w:hideMark/>
                </w:tcPr>
                <w:p w14:paraId="36C81CBD"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821</w:t>
                  </w:r>
                </w:p>
              </w:tc>
              <w:tc>
                <w:tcPr>
                  <w:tcW w:w="1559" w:type="dxa"/>
                  <w:tcBorders>
                    <w:top w:val="nil"/>
                    <w:left w:val="nil"/>
                    <w:bottom w:val="nil"/>
                    <w:right w:val="nil"/>
                  </w:tcBorders>
                  <w:shd w:val="clear" w:color="000000" w:fill="FFC000"/>
                  <w:noWrap/>
                  <w:vAlign w:val="center"/>
                  <w:hideMark/>
                </w:tcPr>
                <w:p w14:paraId="360360E4"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783</w:t>
                  </w:r>
                </w:p>
              </w:tc>
              <w:tc>
                <w:tcPr>
                  <w:tcW w:w="1559" w:type="dxa"/>
                  <w:tcBorders>
                    <w:top w:val="nil"/>
                    <w:left w:val="nil"/>
                    <w:bottom w:val="nil"/>
                    <w:right w:val="nil"/>
                  </w:tcBorders>
                  <w:shd w:val="clear" w:color="000000" w:fill="FFC000"/>
                  <w:noWrap/>
                  <w:vAlign w:val="center"/>
                  <w:hideMark/>
                </w:tcPr>
                <w:p w14:paraId="3AA8E9B0"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4.9%</w:t>
                  </w:r>
                </w:p>
              </w:tc>
              <w:tc>
                <w:tcPr>
                  <w:tcW w:w="180" w:type="dxa"/>
                  <w:gridSpan w:val="2"/>
                  <w:tcBorders>
                    <w:top w:val="nil"/>
                    <w:left w:val="nil"/>
                    <w:bottom w:val="nil"/>
                    <w:right w:val="nil"/>
                  </w:tcBorders>
                  <w:shd w:val="clear" w:color="000000" w:fill="FFC000"/>
                  <w:noWrap/>
                  <w:vAlign w:val="center"/>
                  <w:hideMark/>
                </w:tcPr>
                <w:p w14:paraId="7D19DD20" w14:textId="77777777" w:rsidR="004C0D54" w:rsidRPr="006252BE" w:rsidRDefault="004C0D54" w:rsidP="004C0D54">
                  <w:pPr>
                    <w:spacing w:after="0" w:line="240" w:lineRule="auto"/>
                    <w:rPr>
                      <w:rFonts w:ascii="Tahoma" w:eastAsia="Times New Roman" w:hAnsi="Tahoma" w:cs="Tahoma"/>
                      <w:b/>
                      <w:bCs/>
                      <w:color w:val="404040"/>
                    </w:rPr>
                  </w:pPr>
                  <w:r>
                    <w:rPr>
                      <w:rFonts w:ascii="Tahoma" w:hAnsi="Tahoma"/>
                      <w:b/>
                      <w:color w:val="404040"/>
                    </w:rPr>
                    <w:t> </w:t>
                  </w:r>
                </w:p>
              </w:tc>
            </w:tr>
            <w:tr w:rsidR="004C0D54" w:rsidRPr="006252BE" w14:paraId="67F6006B" w14:textId="77777777" w:rsidTr="00EC72E3">
              <w:trPr>
                <w:gridAfter w:val="1"/>
                <w:wAfter w:w="142" w:type="dxa"/>
                <w:trHeight w:val="420"/>
              </w:trPr>
              <w:tc>
                <w:tcPr>
                  <w:tcW w:w="2520" w:type="dxa"/>
                  <w:tcBorders>
                    <w:top w:val="single" w:sz="8" w:space="0" w:color="auto"/>
                    <w:left w:val="nil"/>
                    <w:bottom w:val="nil"/>
                    <w:right w:val="nil"/>
                  </w:tcBorders>
                  <w:shd w:val="clear" w:color="000000" w:fill="F2F2F2"/>
                  <w:noWrap/>
                  <w:vAlign w:val="center"/>
                  <w:hideMark/>
                </w:tcPr>
                <w:p w14:paraId="48094886" w14:textId="77777777" w:rsidR="004C0D54" w:rsidRPr="006252BE" w:rsidRDefault="004C0D54" w:rsidP="004C0D54">
                  <w:pPr>
                    <w:spacing w:after="0" w:line="240" w:lineRule="auto"/>
                    <w:rPr>
                      <w:rFonts w:ascii="Tahoma" w:eastAsia="Times New Roman" w:hAnsi="Tahoma" w:cs="Tahoma"/>
                      <w:b/>
                      <w:bCs/>
                      <w:color w:val="404040"/>
                    </w:rPr>
                  </w:pPr>
                  <w:r>
                    <w:rPr>
                      <w:rFonts w:ascii="Tahoma" w:hAnsi="Tahoma"/>
                      <w:b/>
                      <w:color w:val="404040"/>
                    </w:rPr>
                    <w:t>Operational profit</w:t>
                  </w:r>
                </w:p>
              </w:tc>
              <w:tc>
                <w:tcPr>
                  <w:tcW w:w="1778" w:type="dxa"/>
                  <w:tcBorders>
                    <w:top w:val="single" w:sz="8" w:space="0" w:color="auto"/>
                    <w:left w:val="nil"/>
                    <w:bottom w:val="nil"/>
                    <w:right w:val="nil"/>
                  </w:tcBorders>
                  <w:shd w:val="clear" w:color="000000" w:fill="F2F2F2"/>
                  <w:noWrap/>
                  <w:vAlign w:val="center"/>
                  <w:hideMark/>
                </w:tcPr>
                <w:p w14:paraId="27302907"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92</w:t>
                  </w:r>
                </w:p>
              </w:tc>
              <w:tc>
                <w:tcPr>
                  <w:tcW w:w="1559" w:type="dxa"/>
                  <w:tcBorders>
                    <w:top w:val="single" w:sz="8" w:space="0" w:color="auto"/>
                    <w:left w:val="nil"/>
                    <w:bottom w:val="nil"/>
                    <w:right w:val="nil"/>
                  </w:tcBorders>
                  <w:shd w:val="clear" w:color="000000" w:fill="F2F2F2"/>
                  <w:noWrap/>
                  <w:vAlign w:val="center"/>
                  <w:hideMark/>
                </w:tcPr>
                <w:p w14:paraId="7DA2BE0B"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82</w:t>
                  </w:r>
                </w:p>
              </w:tc>
              <w:tc>
                <w:tcPr>
                  <w:tcW w:w="1559" w:type="dxa"/>
                  <w:tcBorders>
                    <w:top w:val="single" w:sz="8" w:space="0" w:color="auto"/>
                    <w:left w:val="nil"/>
                    <w:bottom w:val="nil"/>
                    <w:right w:val="nil"/>
                  </w:tcBorders>
                  <w:shd w:val="clear" w:color="000000" w:fill="F2F2F2"/>
                  <w:noWrap/>
                  <w:vAlign w:val="center"/>
                  <w:hideMark/>
                </w:tcPr>
                <w:p w14:paraId="6761974B"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12.8%</w:t>
                  </w:r>
                </w:p>
              </w:tc>
              <w:tc>
                <w:tcPr>
                  <w:tcW w:w="180" w:type="dxa"/>
                  <w:gridSpan w:val="2"/>
                  <w:tcBorders>
                    <w:top w:val="nil"/>
                    <w:left w:val="nil"/>
                    <w:bottom w:val="nil"/>
                    <w:right w:val="nil"/>
                  </w:tcBorders>
                  <w:shd w:val="clear" w:color="000000" w:fill="F2F2F2"/>
                  <w:noWrap/>
                  <w:vAlign w:val="center"/>
                  <w:hideMark/>
                </w:tcPr>
                <w:p w14:paraId="25F5F648" w14:textId="77777777" w:rsidR="004C0D54" w:rsidRPr="006252BE" w:rsidRDefault="004C0D54" w:rsidP="004C0D54">
                  <w:pPr>
                    <w:spacing w:after="0" w:line="240" w:lineRule="auto"/>
                    <w:rPr>
                      <w:rFonts w:ascii="Tahoma" w:eastAsia="Times New Roman" w:hAnsi="Tahoma" w:cs="Tahoma"/>
                      <w:b/>
                      <w:bCs/>
                      <w:color w:val="404040"/>
                    </w:rPr>
                  </w:pPr>
                  <w:r>
                    <w:rPr>
                      <w:rFonts w:ascii="Tahoma" w:hAnsi="Tahoma"/>
                      <w:b/>
                      <w:color w:val="404040"/>
                    </w:rPr>
                    <w:t> </w:t>
                  </w:r>
                </w:p>
              </w:tc>
            </w:tr>
            <w:tr w:rsidR="004C0D54" w:rsidRPr="006252BE" w14:paraId="5CB21F33" w14:textId="77777777" w:rsidTr="00EC72E3">
              <w:trPr>
                <w:gridAfter w:val="1"/>
                <w:wAfter w:w="142" w:type="dxa"/>
                <w:trHeight w:val="252"/>
              </w:trPr>
              <w:tc>
                <w:tcPr>
                  <w:tcW w:w="2520" w:type="dxa"/>
                  <w:tcBorders>
                    <w:top w:val="nil"/>
                    <w:left w:val="nil"/>
                    <w:bottom w:val="nil"/>
                    <w:right w:val="nil"/>
                  </w:tcBorders>
                  <w:shd w:val="clear" w:color="000000" w:fill="F2F2F2"/>
                  <w:noWrap/>
                  <w:vAlign w:val="center"/>
                  <w:hideMark/>
                </w:tcPr>
                <w:p w14:paraId="637B0806" w14:textId="77777777" w:rsidR="004C0D54" w:rsidRPr="006252BE" w:rsidRDefault="004C0D54" w:rsidP="004C0D54">
                  <w:pPr>
                    <w:spacing w:after="0" w:line="240" w:lineRule="auto"/>
                    <w:rPr>
                      <w:rFonts w:ascii="Tahoma" w:eastAsia="Times New Roman" w:hAnsi="Tahoma" w:cs="Tahoma"/>
                      <w:color w:val="404040"/>
                    </w:rPr>
                  </w:pPr>
                  <w:r>
                    <w:rPr>
                      <w:rFonts w:ascii="Tahoma" w:hAnsi="Tahoma"/>
                      <w:color w:val="404040"/>
                    </w:rPr>
                    <w:t>% of sales</w:t>
                  </w:r>
                </w:p>
              </w:tc>
              <w:tc>
                <w:tcPr>
                  <w:tcW w:w="1778" w:type="dxa"/>
                  <w:tcBorders>
                    <w:top w:val="nil"/>
                    <w:left w:val="nil"/>
                    <w:bottom w:val="nil"/>
                    <w:right w:val="nil"/>
                  </w:tcBorders>
                  <w:shd w:val="clear" w:color="000000" w:fill="F2F2F2"/>
                  <w:noWrap/>
                  <w:vAlign w:val="center"/>
                  <w:hideMark/>
                </w:tcPr>
                <w:p w14:paraId="01EFB164" w14:textId="77777777" w:rsidR="004C0D54" w:rsidRPr="006252BE" w:rsidRDefault="004C0D54" w:rsidP="004C0D54">
                  <w:pPr>
                    <w:spacing w:after="0" w:line="240" w:lineRule="auto"/>
                    <w:jc w:val="center"/>
                    <w:rPr>
                      <w:rFonts w:ascii="Tahoma" w:eastAsia="Times New Roman" w:hAnsi="Tahoma" w:cs="Tahoma"/>
                      <w:color w:val="404040"/>
                    </w:rPr>
                  </w:pPr>
                  <w:r>
                    <w:rPr>
                      <w:rFonts w:ascii="Tahoma" w:hAnsi="Tahoma"/>
                      <w:color w:val="404040"/>
                    </w:rPr>
                    <w:t>11.2%</w:t>
                  </w:r>
                </w:p>
              </w:tc>
              <w:tc>
                <w:tcPr>
                  <w:tcW w:w="1559" w:type="dxa"/>
                  <w:tcBorders>
                    <w:top w:val="nil"/>
                    <w:left w:val="nil"/>
                    <w:bottom w:val="nil"/>
                    <w:right w:val="nil"/>
                  </w:tcBorders>
                  <w:shd w:val="clear" w:color="000000" w:fill="F2F2F2"/>
                  <w:noWrap/>
                  <w:vAlign w:val="center"/>
                  <w:hideMark/>
                </w:tcPr>
                <w:p w14:paraId="6374E952" w14:textId="77777777" w:rsidR="004C0D54" w:rsidRPr="006252BE" w:rsidRDefault="004C0D54" w:rsidP="004C0D54">
                  <w:pPr>
                    <w:spacing w:after="0" w:line="240" w:lineRule="auto"/>
                    <w:jc w:val="center"/>
                    <w:rPr>
                      <w:rFonts w:ascii="Tahoma" w:eastAsia="Times New Roman" w:hAnsi="Tahoma" w:cs="Tahoma"/>
                      <w:color w:val="404040"/>
                    </w:rPr>
                  </w:pPr>
                  <w:r>
                    <w:rPr>
                      <w:rFonts w:ascii="Tahoma" w:hAnsi="Tahoma"/>
                      <w:color w:val="404040"/>
                    </w:rPr>
                    <w:t>10.4%</w:t>
                  </w:r>
                </w:p>
              </w:tc>
              <w:tc>
                <w:tcPr>
                  <w:tcW w:w="1559" w:type="dxa"/>
                  <w:tcBorders>
                    <w:top w:val="nil"/>
                    <w:left w:val="nil"/>
                    <w:bottom w:val="nil"/>
                    <w:right w:val="nil"/>
                  </w:tcBorders>
                  <w:shd w:val="clear" w:color="000000" w:fill="F2F2F2"/>
                  <w:noWrap/>
                  <w:vAlign w:val="center"/>
                  <w:hideMark/>
                </w:tcPr>
                <w:p w14:paraId="1727DE23" w14:textId="625EF438" w:rsidR="004C0D54" w:rsidRPr="006252BE" w:rsidRDefault="004C0D54" w:rsidP="004C0D54">
                  <w:pPr>
                    <w:spacing w:after="0" w:line="240" w:lineRule="auto"/>
                    <w:jc w:val="center"/>
                    <w:rPr>
                      <w:rFonts w:ascii="Tahoma" w:eastAsia="Times New Roman" w:hAnsi="Tahoma" w:cs="Tahoma"/>
                      <w:color w:val="404040"/>
                    </w:rPr>
                  </w:pPr>
                  <w:r>
                    <w:rPr>
                      <w:rFonts w:ascii="Tahoma" w:hAnsi="Tahoma"/>
                      <w:color w:val="404040"/>
                    </w:rPr>
                    <w:t>0.8 pp</w:t>
                  </w:r>
                </w:p>
              </w:tc>
              <w:tc>
                <w:tcPr>
                  <w:tcW w:w="180" w:type="dxa"/>
                  <w:gridSpan w:val="2"/>
                  <w:tcBorders>
                    <w:top w:val="nil"/>
                    <w:left w:val="nil"/>
                    <w:bottom w:val="nil"/>
                    <w:right w:val="nil"/>
                  </w:tcBorders>
                  <w:shd w:val="clear" w:color="000000" w:fill="F2F2F2"/>
                  <w:noWrap/>
                  <w:vAlign w:val="center"/>
                  <w:hideMark/>
                </w:tcPr>
                <w:p w14:paraId="6F81AC0B" w14:textId="77777777" w:rsidR="004C0D54" w:rsidRPr="006252BE" w:rsidRDefault="004C0D54" w:rsidP="004C0D54">
                  <w:pPr>
                    <w:spacing w:after="0" w:line="240" w:lineRule="auto"/>
                    <w:rPr>
                      <w:rFonts w:ascii="Tahoma" w:eastAsia="Times New Roman" w:hAnsi="Tahoma" w:cs="Tahoma"/>
                      <w:color w:val="404040"/>
                    </w:rPr>
                  </w:pPr>
                  <w:r>
                    <w:rPr>
                      <w:rFonts w:ascii="Tahoma" w:hAnsi="Tahoma"/>
                      <w:color w:val="404040"/>
                    </w:rPr>
                    <w:t> </w:t>
                  </w:r>
                </w:p>
              </w:tc>
            </w:tr>
            <w:tr w:rsidR="004C0D54" w:rsidRPr="006252BE" w14:paraId="6AA90BF4" w14:textId="77777777" w:rsidTr="00EC72E3">
              <w:trPr>
                <w:gridAfter w:val="1"/>
                <w:wAfter w:w="142" w:type="dxa"/>
                <w:trHeight w:val="420"/>
              </w:trPr>
              <w:tc>
                <w:tcPr>
                  <w:tcW w:w="2520" w:type="dxa"/>
                  <w:tcBorders>
                    <w:top w:val="single" w:sz="4" w:space="0" w:color="auto"/>
                    <w:left w:val="nil"/>
                    <w:bottom w:val="nil"/>
                    <w:right w:val="nil"/>
                  </w:tcBorders>
                  <w:shd w:val="clear" w:color="000000" w:fill="F2F2F2"/>
                  <w:noWrap/>
                  <w:vAlign w:val="center"/>
                  <w:hideMark/>
                </w:tcPr>
                <w:p w14:paraId="3863D573" w14:textId="77777777" w:rsidR="004C0D54" w:rsidRPr="006252BE" w:rsidRDefault="004C0D54" w:rsidP="004C0D54">
                  <w:pPr>
                    <w:spacing w:after="0" w:line="240" w:lineRule="auto"/>
                    <w:rPr>
                      <w:rFonts w:ascii="Tahoma" w:eastAsia="Times New Roman" w:hAnsi="Tahoma" w:cs="Tahoma"/>
                      <w:b/>
                      <w:bCs/>
                      <w:color w:val="404040"/>
                    </w:rPr>
                  </w:pPr>
                  <w:r>
                    <w:rPr>
                      <w:rFonts w:ascii="Tahoma" w:hAnsi="Tahoma"/>
                      <w:b/>
                      <w:color w:val="404040"/>
                    </w:rPr>
                    <w:t>Gross profit</w:t>
                  </w:r>
                </w:p>
              </w:tc>
              <w:tc>
                <w:tcPr>
                  <w:tcW w:w="1778" w:type="dxa"/>
                  <w:tcBorders>
                    <w:top w:val="single" w:sz="4" w:space="0" w:color="auto"/>
                    <w:left w:val="nil"/>
                    <w:bottom w:val="nil"/>
                    <w:right w:val="nil"/>
                  </w:tcBorders>
                  <w:shd w:val="clear" w:color="000000" w:fill="F2F2F2"/>
                  <w:noWrap/>
                  <w:vAlign w:val="center"/>
                  <w:hideMark/>
                </w:tcPr>
                <w:p w14:paraId="69006229"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99</w:t>
                  </w:r>
                </w:p>
              </w:tc>
              <w:tc>
                <w:tcPr>
                  <w:tcW w:w="1559" w:type="dxa"/>
                  <w:tcBorders>
                    <w:top w:val="single" w:sz="4" w:space="0" w:color="auto"/>
                    <w:left w:val="nil"/>
                    <w:bottom w:val="nil"/>
                    <w:right w:val="nil"/>
                  </w:tcBorders>
                  <w:shd w:val="clear" w:color="000000" w:fill="F2F2F2"/>
                  <w:noWrap/>
                  <w:vAlign w:val="center"/>
                  <w:hideMark/>
                </w:tcPr>
                <w:p w14:paraId="4EC2A060"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84</w:t>
                  </w:r>
                </w:p>
              </w:tc>
              <w:tc>
                <w:tcPr>
                  <w:tcW w:w="1559" w:type="dxa"/>
                  <w:tcBorders>
                    <w:top w:val="single" w:sz="4" w:space="0" w:color="auto"/>
                    <w:left w:val="nil"/>
                    <w:bottom w:val="nil"/>
                    <w:right w:val="nil"/>
                  </w:tcBorders>
                  <w:shd w:val="clear" w:color="000000" w:fill="F2F2F2"/>
                  <w:noWrap/>
                  <w:vAlign w:val="center"/>
                  <w:hideMark/>
                </w:tcPr>
                <w:p w14:paraId="1B8F68C8" w14:textId="77777777" w:rsidR="004C0D54" w:rsidRPr="006252BE" w:rsidRDefault="004C0D54" w:rsidP="004C0D54">
                  <w:pPr>
                    <w:spacing w:after="0" w:line="240" w:lineRule="auto"/>
                    <w:jc w:val="center"/>
                    <w:rPr>
                      <w:rFonts w:ascii="Tahoma" w:eastAsia="Times New Roman" w:hAnsi="Tahoma" w:cs="Tahoma"/>
                      <w:b/>
                      <w:bCs/>
                      <w:color w:val="404040"/>
                    </w:rPr>
                  </w:pPr>
                  <w:r>
                    <w:rPr>
                      <w:rFonts w:ascii="Tahoma" w:hAnsi="Tahoma"/>
                      <w:b/>
                      <w:color w:val="404040"/>
                    </w:rPr>
                    <w:t>17.9%</w:t>
                  </w:r>
                </w:p>
              </w:tc>
              <w:tc>
                <w:tcPr>
                  <w:tcW w:w="180" w:type="dxa"/>
                  <w:gridSpan w:val="2"/>
                  <w:tcBorders>
                    <w:top w:val="nil"/>
                    <w:left w:val="nil"/>
                    <w:bottom w:val="nil"/>
                    <w:right w:val="nil"/>
                  </w:tcBorders>
                  <w:shd w:val="clear" w:color="000000" w:fill="F2F2F2"/>
                  <w:noWrap/>
                  <w:vAlign w:val="center"/>
                  <w:hideMark/>
                </w:tcPr>
                <w:p w14:paraId="67B37554" w14:textId="77777777" w:rsidR="004C0D54" w:rsidRPr="006252BE" w:rsidRDefault="004C0D54" w:rsidP="004C0D54">
                  <w:pPr>
                    <w:spacing w:after="0" w:line="240" w:lineRule="auto"/>
                    <w:rPr>
                      <w:rFonts w:ascii="Tahoma" w:eastAsia="Times New Roman" w:hAnsi="Tahoma" w:cs="Tahoma"/>
                      <w:b/>
                      <w:bCs/>
                      <w:color w:val="404040"/>
                    </w:rPr>
                  </w:pPr>
                  <w:r>
                    <w:rPr>
                      <w:rFonts w:ascii="Tahoma" w:hAnsi="Tahoma"/>
                      <w:b/>
                      <w:color w:val="404040"/>
                    </w:rPr>
                    <w:t> </w:t>
                  </w:r>
                </w:p>
              </w:tc>
            </w:tr>
            <w:tr w:rsidR="004C0D54" w:rsidRPr="006252BE" w14:paraId="707A00F6" w14:textId="77777777" w:rsidTr="00EC72E3">
              <w:trPr>
                <w:gridAfter w:val="1"/>
                <w:wAfter w:w="142" w:type="dxa"/>
                <w:trHeight w:val="252"/>
              </w:trPr>
              <w:tc>
                <w:tcPr>
                  <w:tcW w:w="2520" w:type="dxa"/>
                  <w:tcBorders>
                    <w:top w:val="nil"/>
                    <w:left w:val="nil"/>
                    <w:bottom w:val="single" w:sz="4" w:space="0" w:color="auto"/>
                    <w:right w:val="nil"/>
                  </w:tcBorders>
                  <w:shd w:val="clear" w:color="000000" w:fill="F2F2F2"/>
                  <w:noWrap/>
                  <w:vAlign w:val="center"/>
                  <w:hideMark/>
                </w:tcPr>
                <w:p w14:paraId="723C73D1" w14:textId="77777777" w:rsidR="004C0D54" w:rsidRPr="006252BE" w:rsidRDefault="004C0D54" w:rsidP="004C0D54">
                  <w:pPr>
                    <w:spacing w:after="0" w:line="240" w:lineRule="auto"/>
                    <w:rPr>
                      <w:rFonts w:ascii="Tahoma" w:eastAsia="Times New Roman" w:hAnsi="Tahoma" w:cs="Tahoma"/>
                      <w:color w:val="404040"/>
                    </w:rPr>
                  </w:pPr>
                  <w:r>
                    <w:rPr>
                      <w:rFonts w:ascii="Tahoma" w:hAnsi="Tahoma"/>
                      <w:color w:val="404040"/>
                    </w:rPr>
                    <w:t>% of sales</w:t>
                  </w:r>
                </w:p>
              </w:tc>
              <w:tc>
                <w:tcPr>
                  <w:tcW w:w="1778" w:type="dxa"/>
                  <w:tcBorders>
                    <w:top w:val="nil"/>
                    <w:left w:val="nil"/>
                    <w:bottom w:val="single" w:sz="4" w:space="0" w:color="auto"/>
                    <w:right w:val="nil"/>
                  </w:tcBorders>
                  <w:shd w:val="clear" w:color="000000" w:fill="F2F2F2"/>
                  <w:noWrap/>
                  <w:vAlign w:val="center"/>
                  <w:hideMark/>
                </w:tcPr>
                <w:p w14:paraId="14341383" w14:textId="77777777" w:rsidR="004C0D54" w:rsidRPr="006252BE" w:rsidRDefault="004C0D54" w:rsidP="004C0D54">
                  <w:pPr>
                    <w:spacing w:after="0" w:line="240" w:lineRule="auto"/>
                    <w:jc w:val="center"/>
                    <w:rPr>
                      <w:rFonts w:ascii="Tahoma" w:eastAsia="Times New Roman" w:hAnsi="Tahoma" w:cs="Tahoma"/>
                      <w:color w:val="404040"/>
                    </w:rPr>
                  </w:pPr>
                  <w:r>
                    <w:rPr>
                      <w:rFonts w:ascii="Tahoma" w:hAnsi="Tahoma"/>
                      <w:color w:val="404040"/>
                    </w:rPr>
                    <w:t>12.1%</w:t>
                  </w:r>
                </w:p>
              </w:tc>
              <w:tc>
                <w:tcPr>
                  <w:tcW w:w="1559" w:type="dxa"/>
                  <w:tcBorders>
                    <w:top w:val="nil"/>
                    <w:left w:val="nil"/>
                    <w:bottom w:val="single" w:sz="4" w:space="0" w:color="auto"/>
                    <w:right w:val="nil"/>
                  </w:tcBorders>
                  <w:shd w:val="clear" w:color="000000" w:fill="F2F2F2"/>
                  <w:noWrap/>
                  <w:vAlign w:val="center"/>
                  <w:hideMark/>
                </w:tcPr>
                <w:p w14:paraId="2CDD425C" w14:textId="77777777" w:rsidR="004C0D54" w:rsidRPr="006252BE" w:rsidRDefault="004C0D54" w:rsidP="004C0D54">
                  <w:pPr>
                    <w:spacing w:after="0" w:line="240" w:lineRule="auto"/>
                    <w:jc w:val="center"/>
                    <w:rPr>
                      <w:rFonts w:ascii="Tahoma" w:eastAsia="Times New Roman" w:hAnsi="Tahoma" w:cs="Tahoma"/>
                      <w:color w:val="404040"/>
                    </w:rPr>
                  </w:pPr>
                  <w:r>
                    <w:rPr>
                      <w:rFonts w:ascii="Tahoma" w:hAnsi="Tahoma"/>
                      <w:color w:val="404040"/>
                    </w:rPr>
                    <w:t>10.7%</w:t>
                  </w:r>
                </w:p>
              </w:tc>
              <w:tc>
                <w:tcPr>
                  <w:tcW w:w="1559" w:type="dxa"/>
                  <w:tcBorders>
                    <w:top w:val="nil"/>
                    <w:left w:val="nil"/>
                    <w:bottom w:val="single" w:sz="4" w:space="0" w:color="auto"/>
                    <w:right w:val="nil"/>
                  </w:tcBorders>
                  <w:shd w:val="clear" w:color="000000" w:fill="F2F2F2"/>
                  <w:noWrap/>
                  <w:vAlign w:val="center"/>
                  <w:hideMark/>
                </w:tcPr>
                <w:p w14:paraId="3F479EFC" w14:textId="0B04AD6E" w:rsidR="004C0D54" w:rsidRPr="006252BE" w:rsidRDefault="004C0D54" w:rsidP="004C0D54">
                  <w:pPr>
                    <w:spacing w:after="0" w:line="240" w:lineRule="auto"/>
                    <w:jc w:val="center"/>
                    <w:rPr>
                      <w:rFonts w:ascii="Tahoma" w:eastAsia="Times New Roman" w:hAnsi="Tahoma" w:cs="Tahoma"/>
                      <w:color w:val="404040"/>
                    </w:rPr>
                  </w:pPr>
                  <w:r>
                    <w:rPr>
                      <w:rFonts w:ascii="Tahoma" w:hAnsi="Tahoma"/>
                      <w:color w:val="404040"/>
                    </w:rPr>
                    <w:t>1.3 pp</w:t>
                  </w:r>
                </w:p>
              </w:tc>
              <w:tc>
                <w:tcPr>
                  <w:tcW w:w="180" w:type="dxa"/>
                  <w:gridSpan w:val="2"/>
                  <w:tcBorders>
                    <w:top w:val="nil"/>
                    <w:left w:val="nil"/>
                    <w:bottom w:val="nil"/>
                    <w:right w:val="nil"/>
                  </w:tcBorders>
                  <w:shd w:val="clear" w:color="000000" w:fill="F2F2F2"/>
                  <w:noWrap/>
                  <w:vAlign w:val="center"/>
                  <w:hideMark/>
                </w:tcPr>
                <w:p w14:paraId="39AB020A" w14:textId="77777777" w:rsidR="004C0D54" w:rsidRPr="006252BE" w:rsidRDefault="004C0D54" w:rsidP="004C0D54">
                  <w:pPr>
                    <w:spacing w:after="0" w:line="240" w:lineRule="auto"/>
                    <w:rPr>
                      <w:rFonts w:ascii="Tahoma" w:eastAsia="Times New Roman" w:hAnsi="Tahoma" w:cs="Tahoma"/>
                      <w:color w:val="404040"/>
                    </w:rPr>
                  </w:pPr>
                  <w:r>
                    <w:rPr>
                      <w:rFonts w:ascii="Tahoma" w:hAnsi="Tahoma"/>
                      <w:color w:val="404040"/>
                    </w:rPr>
                    <w:t> </w:t>
                  </w:r>
                </w:p>
              </w:tc>
            </w:tr>
          </w:tbl>
          <w:p w14:paraId="1383DA93" w14:textId="77777777" w:rsidR="004C0D54" w:rsidRPr="006B3CBD" w:rsidRDefault="004C0D54" w:rsidP="004C0D54">
            <w:pPr>
              <w:spacing w:line="360" w:lineRule="auto"/>
              <w:jc w:val="both"/>
              <w:rPr>
                <w:rFonts w:ascii="Tahoma" w:eastAsia="Tahoma" w:hAnsi="Tahoma" w:cs="Tahoma"/>
                <w:bCs/>
                <w:color w:val="808080"/>
                <w:sz w:val="18"/>
                <w:szCs w:val="18"/>
              </w:rPr>
            </w:pPr>
            <w:bookmarkStart w:id="0" w:name="_Hlk116458715"/>
            <w:bookmarkStart w:id="1" w:name="_Hlk100758814"/>
          </w:p>
          <w:p w14:paraId="446500F5" w14:textId="282C4B78" w:rsidR="004C0D54" w:rsidRPr="006B3CBD" w:rsidRDefault="004C0D54" w:rsidP="004C0D54">
            <w:pPr>
              <w:spacing w:line="360" w:lineRule="auto"/>
              <w:jc w:val="both"/>
              <w:rPr>
                <w:rFonts w:ascii="Tahoma" w:eastAsia="Tahoma" w:hAnsi="Tahoma" w:cs="Tahoma"/>
                <w:bCs/>
                <w:color w:val="808080"/>
                <w:sz w:val="18"/>
                <w:szCs w:val="18"/>
              </w:rPr>
            </w:pPr>
            <w:r>
              <w:rPr>
                <w:rFonts w:ascii="Tahoma" w:hAnsi="Tahoma"/>
                <w:color w:val="808080"/>
                <w:sz w:val="18"/>
              </w:rPr>
              <w:t xml:space="preserve">Revenues of </w:t>
            </w:r>
            <w:proofErr w:type="spellStart"/>
            <w:r>
              <w:rPr>
                <w:rFonts w:ascii="Tahoma" w:hAnsi="Tahoma"/>
                <w:color w:val="808080"/>
                <w:sz w:val="18"/>
              </w:rPr>
              <w:t>FBSerwis</w:t>
            </w:r>
            <w:proofErr w:type="spellEnd"/>
            <w:r>
              <w:rPr>
                <w:rFonts w:ascii="Tahoma" w:hAnsi="Tahoma"/>
                <w:color w:val="808080"/>
                <w:sz w:val="18"/>
              </w:rPr>
              <w:t xml:space="preserve"> Group, which is a key asset within the services segment (the results of the services segment also include activities of several smaller companies, including </w:t>
            </w:r>
            <w:proofErr w:type="spellStart"/>
            <w:r>
              <w:rPr>
                <w:rFonts w:ascii="Tahoma" w:hAnsi="Tahoma"/>
                <w:color w:val="808080"/>
                <w:sz w:val="18"/>
              </w:rPr>
              <w:t>Budimex</w:t>
            </w:r>
            <w:proofErr w:type="spellEnd"/>
            <w:r>
              <w:rPr>
                <w:rFonts w:ascii="Tahoma" w:hAnsi="Tahoma"/>
                <w:color w:val="808080"/>
                <w:sz w:val="18"/>
              </w:rPr>
              <w:t xml:space="preserve"> Parking </w:t>
            </w:r>
            <w:proofErr w:type="spellStart"/>
            <w:r>
              <w:rPr>
                <w:rFonts w:ascii="Tahoma" w:hAnsi="Tahoma"/>
                <w:color w:val="808080"/>
                <w:sz w:val="18"/>
              </w:rPr>
              <w:t>Wrocław</w:t>
            </w:r>
            <w:proofErr w:type="spellEnd"/>
            <w:r>
              <w:rPr>
                <w:rFonts w:ascii="Tahoma" w:hAnsi="Tahoma"/>
                <w:color w:val="808080"/>
                <w:sz w:val="18"/>
              </w:rPr>
              <w:t xml:space="preserve">) amounted to PLN 818 million, which translates into an increase of 4.8% compared to the previous year. </w:t>
            </w:r>
            <w:bookmarkStart w:id="2" w:name="_Hlk108780487"/>
            <w:r>
              <w:rPr>
                <w:rFonts w:ascii="Tahoma" w:hAnsi="Tahoma"/>
                <w:color w:val="808080"/>
                <w:sz w:val="18"/>
              </w:rPr>
              <w:t xml:space="preserve">The operating profit of the </w:t>
            </w:r>
            <w:proofErr w:type="spellStart"/>
            <w:r>
              <w:rPr>
                <w:rFonts w:ascii="Tahoma" w:hAnsi="Tahoma"/>
                <w:color w:val="808080"/>
                <w:sz w:val="18"/>
              </w:rPr>
              <w:t>FBSerwis</w:t>
            </w:r>
            <w:proofErr w:type="spellEnd"/>
            <w:r>
              <w:rPr>
                <w:rFonts w:ascii="Tahoma" w:hAnsi="Tahoma"/>
                <w:color w:val="808080"/>
                <w:sz w:val="18"/>
              </w:rPr>
              <w:t xml:space="preserve"> Group was PLN 93 million at profitability of 11.4%.</w:t>
            </w:r>
          </w:p>
          <w:bookmarkEnd w:id="0"/>
          <w:bookmarkEnd w:id="1"/>
          <w:bookmarkEnd w:id="2"/>
          <w:p w14:paraId="5C3A0B5F" w14:textId="77777777" w:rsidR="003F5AEC" w:rsidRPr="006B3CBD" w:rsidRDefault="003F5AEC" w:rsidP="004C0D54">
            <w:pPr>
              <w:spacing w:line="360" w:lineRule="auto"/>
              <w:jc w:val="both"/>
              <w:rPr>
                <w:rFonts w:ascii="Tahoma" w:eastAsia="Tahoma" w:hAnsi="Tahoma" w:cs="Tahoma"/>
                <w:b/>
                <w:color w:val="808080"/>
                <w:sz w:val="18"/>
                <w:szCs w:val="18"/>
              </w:rPr>
            </w:pPr>
          </w:p>
          <w:p w14:paraId="270C9027" w14:textId="77777777" w:rsidR="004C0D54" w:rsidRPr="006B3CBD" w:rsidRDefault="004C0D54" w:rsidP="004C0D54">
            <w:pPr>
              <w:spacing w:line="360" w:lineRule="auto"/>
              <w:jc w:val="both"/>
              <w:rPr>
                <w:rFonts w:ascii="Tahoma" w:eastAsia="Tahoma" w:hAnsi="Tahoma" w:cs="Tahoma"/>
                <w:b/>
                <w:color w:val="808080"/>
                <w:sz w:val="18"/>
                <w:szCs w:val="18"/>
              </w:rPr>
            </w:pPr>
            <w:r>
              <w:rPr>
                <w:rFonts w:ascii="Tahoma" w:hAnsi="Tahoma"/>
                <w:b/>
                <w:color w:val="808080"/>
                <w:sz w:val="18"/>
              </w:rPr>
              <w:t>Market perspectives</w:t>
            </w:r>
          </w:p>
          <w:p w14:paraId="2802F220" w14:textId="77777777" w:rsidR="004C0D54" w:rsidRPr="006B3CBD" w:rsidRDefault="004C0D54" w:rsidP="004C0D54">
            <w:pPr>
              <w:spacing w:line="360" w:lineRule="auto"/>
              <w:jc w:val="both"/>
              <w:rPr>
                <w:rFonts w:ascii="Tahoma" w:eastAsia="Tahoma" w:hAnsi="Tahoma" w:cs="Tahoma"/>
                <w:bCs/>
                <w:color w:val="808080"/>
                <w:sz w:val="18"/>
                <w:szCs w:val="18"/>
              </w:rPr>
            </w:pPr>
          </w:p>
          <w:p w14:paraId="4D23B2B3" w14:textId="225CA0E7" w:rsidR="00F544A6" w:rsidRDefault="004C0D54" w:rsidP="00E83CD1">
            <w:pPr>
              <w:spacing w:line="360" w:lineRule="auto"/>
              <w:jc w:val="both"/>
              <w:rPr>
                <w:rFonts w:ascii="Tahoma" w:eastAsia="Tahoma" w:hAnsi="Tahoma" w:cs="Tahoma"/>
                <w:bCs/>
                <w:color w:val="808080"/>
                <w:sz w:val="18"/>
                <w:szCs w:val="18"/>
              </w:rPr>
            </w:pPr>
            <w:r>
              <w:rPr>
                <w:rFonts w:ascii="Tahoma" w:hAnsi="Tahoma"/>
                <w:color w:val="808080"/>
                <w:sz w:val="18"/>
              </w:rPr>
              <w:t xml:space="preserve">In the previous year, the entire construction sector had to struggle with drastic increase of prices of materials, energy and fuels, as well as a growing inflation. Its indicators remain high, despite the fact that the majority of forecasts for the coming quarters are being lowered, and their range and uncertainty still remain high. For this reason, it is so important to work on indexation mechanisms for long-term orders. </w:t>
            </w:r>
          </w:p>
          <w:p w14:paraId="34EBEC43" w14:textId="5B519866" w:rsidR="006C53CF" w:rsidRDefault="006C53CF" w:rsidP="00E83CD1">
            <w:pPr>
              <w:spacing w:line="360" w:lineRule="auto"/>
              <w:jc w:val="both"/>
              <w:rPr>
                <w:rFonts w:ascii="Tahoma" w:eastAsia="Tahoma" w:hAnsi="Tahoma" w:cs="Tahoma"/>
                <w:bCs/>
                <w:color w:val="808080"/>
                <w:sz w:val="18"/>
                <w:szCs w:val="18"/>
              </w:rPr>
            </w:pPr>
          </w:p>
          <w:p w14:paraId="70B7D82C" w14:textId="57AEE294" w:rsidR="00B56F45" w:rsidRPr="00B56F45" w:rsidRDefault="00B56F45" w:rsidP="00B56F45">
            <w:pPr>
              <w:spacing w:line="360" w:lineRule="auto"/>
              <w:jc w:val="both"/>
              <w:rPr>
                <w:rFonts w:ascii="Tahoma" w:eastAsia="Tahoma" w:hAnsi="Tahoma" w:cs="Tahoma"/>
                <w:bCs/>
                <w:color w:val="808080"/>
                <w:sz w:val="18"/>
                <w:szCs w:val="18"/>
              </w:rPr>
            </w:pPr>
            <w:r>
              <w:rPr>
                <w:rFonts w:ascii="Tahoma" w:hAnsi="Tahoma"/>
                <w:color w:val="808080"/>
                <w:sz w:val="18"/>
              </w:rPr>
              <w:t>Having in mind the mechanisms that govern the Polish and international markets today, we carefully observe our surroundings and gradually develop our business strategy. Based</w:t>
            </w:r>
            <w:r>
              <w:rPr>
                <w:rFonts w:ascii="Tahoma" w:hAnsi="Tahoma"/>
                <w:color w:val="808080"/>
                <w:sz w:val="18"/>
              </w:rPr>
              <w:br/>
              <w:t xml:space="preserve">on what we have learned from the COVID-19 pandemics, we know that the only way to </w:t>
            </w:r>
            <w:r>
              <w:rPr>
                <w:rFonts w:ascii="Tahoma" w:hAnsi="Tahoma"/>
                <w:color w:val="808080"/>
                <w:sz w:val="18"/>
              </w:rPr>
              <w:lastRenderedPageBreak/>
              <w:t xml:space="preserve">overcome stagnation is constant development. Events we witness today, which is also confirmed by the European Union’s agendas, e.g., Fit for 55, do not stop the European economies from pursuing the trends set in the previous years. After every crisis, there is a “bounce back” and a pickup, which we could see at the beginning of 2022. </w:t>
            </w:r>
          </w:p>
          <w:p w14:paraId="323EE96B" w14:textId="7D694092" w:rsidR="00E155DA" w:rsidRDefault="00E155DA" w:rsidP="004C0D54">
            <w:pPr>
              <w:spacing w:line="360" w:lineRule="auto"/>
              <w:jc w:val="both"/>
              <w:rPr>
                <w:rFonts w:ascii="Tahoma" w:eastAsia="Tahoma" w:hAnsi="Tahoma" w:cs="Tahoma"/>
                <w:bCs/>
                <w:color w:val="808080"/>
                <w:sz w:val="18"/>
                <w:szCs w:val="18"/>
              </w:rPr>
            </w:pPr>
          </w:p>
          <w:p w14:paraId="688ABC77" w14:textId="0021CFCC" w:rsidR="0010161C" w:rsidRPr="00180C6A" w:rsidRDefault="0010161C" w:rsidP="0010161C">
            <w:pPr>
              <w:spacing w:line="360" w:lineRule="auto"/>
              <w:jc w:val="both"/>
              <w:rPr>
                <w:rFonts w:ascii="Tahoma" w:eastAsia="Tahoma" w:hAnsi="Tahoma" w:cs="Tahoma"/>
                <w:bCs/>
                <w:color w:val="808080"/>
                <w:sz w:val="18"/>
                <w:szCs w:val="18"/>
              </w:rPr>
            </w:pPr>
            <w:r>
              <w:rPr>
                <w:rFonts w:ascii="Tahoma" w:hAnsi="Tahoma"/>
                <w:color w:val="808080"/>
                <w:sz w:val="18"/>
              </w:rPr>
              <w:t xml:space="preserve">We treat our commitment to sustainable growth as an obligation of a company that influences the living conditions of local communities and co-creates the national </w:t>
            </w:r>
            <w:r w:rsidR="00392761">
              <w:rPr>
                <w:rFonts w:ascii="Tahoma" w:hAnsi="Tahoma"/>
                <w:color w:val="808080"/>
                <w:sz w:val="18"/>
              </w:rPr>
              <w:t>economy. The</w:t>
            </w:r>
            <w:r>
              <w:rPr>
                <w:rFonts w:ascii="Tahoma" w:hAnsi="Tahoma"/>
                <w:color w:val="808080"/>
                <w:sz w:val="18"/>
              </w:rPr>
              <w:t xml:space="preserve"> energy market is in the process of transformation, which allows participation of companies from other sectors of the economy, which two years ago seemed impossible. Therefore, we intensively work on improving energy efficiency in the ongoing activities of the Group. </w:t>
            </w:r>
            <w:bookmarkStart w:id="3" w:name="_Hlk128403329"/>
            <w:r>
              <w:rPr>
                <w:rFonts w:ascii="Tahoma" w:hAnsi="Tahoma"/>
                <w:color w:val="808080"/>
                <w:sz w:val="18"/>
              </w:rPr>
              <w:t xml:space="preserve">In cooperation with our partners and as a part of internal processes, we are looking for innovations and technologies that would improve environmental neutrality and the efficiency of our construction processes. We gradually increase the share of recycled materials, which is currently at the level of 50%. We introduce solutions that reduce energy consumption and RES in our construction sites. We also observe the development of technology in the area of energy-efficient construction, and we encourage investors to implement them at design stages. </w:t>
            </w:r>
          </w:p>
          <w:bookmarkEnd w:id="3"/>
          <w:p w14:paraId="3DC7F03F" w14:textId="77777777" w:rsidR="00132F8C" w:rsidRDefault="00132F8C" w:rsidP="00132F8C">
            <w:pPr>
              <w:spacing w:line="360" w:lineRule="auto"/>
              <w:jc w:val="both"/>
              <w:rPr>
                <w:rFonts w:ascii="Tahoma" w:eastAsia="Tahoma" w:hAnsi="Tahoma" w:cs="Tahoma"/>
                <w:bCs/>
                <w:color w:val="808080"/>
                <w:sz w:val="18"/>
                <w:szCs w:val="18"/>
              </w:rPr>
            </w:pPr>
          </w:p>
          <w:p w14:paraId="0CC41DE8" w14:textId="69EB0D67" w:rsidR="009860DB" w:rsidRDefault="00132F8C" w:rsidP="00132F8C">
            <w:pPr>
              <w:spacing w:line="360" w:lineRule="auto"/>
              <w:jc w:val="both"/>
              <w:rPr>
                <w:rFonts w:ascii="Tahoma" w:eastAsia="Tahoma" w:hAnsi="Tahoma" w:cs="Tahoma"/>
                <w:bCs/>
                <w:color w:val="808080"/>
                <w:sz w:val="18"/>
                <w:szCs w:val="18"/>
              </w:rPr>
            </w:pPr>
            <w:r>
              <w:rPr>
                <w:rFonts w:ascii="Tahoma" w:hAnsi="Tahoma"/>
                <w:color w:val="808080"/>
                <w:sz w:val="18"/>
              </w:rPr>
              <w:t xml:space="preserve">In the green competencies pillar of our Capital Group, as an Investor, we hold Magnolia Energy and </w:t>
            </w:r>
            <w:proofErr w:type="spellStart"/>
            <w:r>
              <w:rPr>
                <w:rFonts w:ascii="Tahoma" w:hAnsi="Tahoma"/>
                <w:color w:val="808080"/>
                <w:sz w:val="18"/>
              </w:rPr>
              <w:t>Fotowoltaika</w:t>
            </w:r>
            <w:proofErr w:type="spellEnd"/>
            <w:r>
              <w:rPr>
                <w:rFonts w:ascii="Tahoma" w:hAnsi="Tahoma"/>
                <w:color w:val="808080"/>
                <w:sz w:val="18"/>
              </w:rPr>
              <w:t xml:space="preserve"> companies, which are constructing a wind and photovoltaic farm of the total power of over 20 MW. In 2022, as a general contractor, we built a wind farm in </w:t>
            </w:r>
            <w:proofErr w:type="spellStart"/>
            <w:r>
              <w:rPr>
                <w:rFonts w:ascii="Tahoma" w:hAnsi="Tahoma"/>
                <w:color w:val="808080"/>
                <w:sz w:val="18"/>
              </w:rPr>
              <w:t>Drachów</w:t>
            </w:r>
            <w:proofErr w:type="spellEnd"/>
            <w:r>
              <w:rPr>
                <w:rFonts w:ascii="Tahoma" w:hAnsi="Tahoma"/>
                <w:color w:val="808080"/>
                <w:sz w:val="18"/>
              </w:rPr>
              <w:t xml:space="preserve">. Low-emission transport requires appropriate infrastructure to allow its development on the Polish market. Therefore, </w:t>
            </w:r>
            <w:proofErr w:type="spellStart"/>
            <w:r>
              <w:rPr>
                <w:rFonts w:ascii="Tahoma" w:hAnsi="Tahoma"/>
                <w:color w:val="808080"/>
                <w:sz w:val="18"/>
              </w:rPr>
              <w:t>Budimex</w:t>
            </w:r>
            <w:proofErr w:type="spellEnd"/>
            <w:r>
              <w:rPr>
                <w:rFonts w:ascii="Tahoma" w:hAnsi="Tahoma"/>
                <w:color w:val="808080"/>
                <w:sz w:val="18"/>
              </w:rPr>
              <w:t xml:space="preserve"> Mobility established as a part of the </w:t>
            </w:r>
            <w:proofErr w:type="spellStart"/>
            <w:r>
              <w:rPr>
                <w:rFonts w:ascii="Tahoma" w:hAnsi="Tahoma"/>
                <w:color w:val="808080"/>
                <w:sz w:val="18"/>
              </w:rPr>
              <w:t>Budimex</w:t>
            </w:r>
            <w:proofErr w:type="spellEnd"/>
            <w:r>
              <w:rPr>
                <w:rFonts w:ascii="Tahoma" w:hAnsi="Tahoma"/>
                <w:color w:val="808080"/>
                <w:sz w:val="18"/>
              </w:rPr>
              <w:t xml:space="preserve"> Group invested in 109 electric charges in less than a year and intends to launch them in the first quarter of 2023 in: Szczecin, Poznan, Bydgoszcz and Gorzow Wielkopolski. </w:t>
            </w:r>
          </w:p>
          <w:p w14:paraId="705B43A4" w14:textId="77777777" w:rsidR="009860DB" w:rsidRDefault="009860DB" w:rsidP="00132F8C">
            <w:pPr>
              <w:spacing w:line="360" w:lineRule="auto"/>
              <w:jc w:val="both"/>
              <w:rPr>
                <w:rFonts w:ascii="Tahoma" w:eastAsia="Tahoma" w:hAnsi="Tahoma" w:cs="Tahoma"/>
                <w:bCs/>
                <w:color w:val="808080"/>
                <w:sz w:val="18"/>
                <w:szCs w:val="18"/>
              </w:rPr>
            </w:pPr>
          </w:p>
          <w:p w14:paraId="49AA7D47" w14:textId="3803442D" w:rsidR="00132F8C" w:rsidRPr="0040098B" w:rsidRDefault="00132F8C" w:rsidP="00132F8C">
            <w:pPr>
              <w:spacing w:line="360" w:lineRule="auto"/>
              <w:jc w:val="both"/>
              <w:rPr>
                <w:rFonts w:ascii="Tahoma" w:eastAsia="Tahoma" w:hAnsi="Tahoma" w:cs="Tahoma"/>
                <w:bCs/>
                <w:color w:val="808080"/>
                <w:sz w:val="18"/>
                <w:szCs w:val="18"/>
              </w:rPr>
            </w:pPr>
            <w:r>
              <w:rPr>
                <w:rFonts w:ascii="Tahoma" w:hAnsi="Tahoma"/>
                <w:color w:val="808080"/>
                <w:sz w:val="18"/>
              </w:rPr>
              <w:t xml:space="preserve">We also participate in the process of preparation of investments in the nuclear energy with strategic partners such as Westinghouse from the United States. </w:t>
            </w:r>
          </w:p>
          <w:p w14:paraId="2A037398" w14:textId="77777777" w:rsidR="009860DB" w:rsidRDefault="009860DB" w:rsidP="00132F8C">
            <w:pPr>
              <w:spacing w:line="360" w:lineRule="auto"/>
              <w:jc w:val="both"/>
              <w:rPr>
                <w:rFonts w:ascii="Tahoma" w:eastAsia="Tahoma" w:hAnsi="Tahoma" w:cs="Tahoma"/>
                <w:bCs/>
                <w:color w:val="808080"/>
                <w:sz w:val="18"/>
                <w:szCs w:val="18"/>
              </w:rPr>
            </w:pPr>
          </w:p>
          <w:p w14:paraId="2C94E057" w14:textId="28323AB8" w:rsidR="00132F8C" w:rsidRDefault="00132F8C" w:rsidP="00132F8C">
            <w:pPr>
              <w:spacing w:line="360" w:lineRule="auto"/>
              <w:jc w:val="both"/>
              <w:rPr>
                <w:rFonts w:ascii="Tahoma" w:eastAsia="Tahoma" w:hAnsi="Tahoma" w:cs="Tahoma"/>
                <w:bCs/>
                <w:color w:val="808080"/>
                <w:sz w:val="18"/>
                <w:szCs w:val="18"/>
              </w:rPr>
            </w:pPr>
            <w:r>
              <w:rPr>
                <w:rFonts w:ascii="Tahoma" w:hAnsi="Tahoma"/>
                <w:color w:val="808080"/>
                <w:sz w:val="18"/>
              </w:rPr>
              <w:t xml:space="preserve">We perceive the share of the </w:t>
            </w:r>
            <w:proofErr w:type="spellStart"/>
            <w:r>
              <w:rPr>
                <w:rFonts w:ascii="Tahoma" w:hAnsi="Tahoma"/>
                <w:color w:val="808080"/>
                <w:sz w:val="18"/>
              </w:rPr>
              <w:t>Budimex</w:t>
            </w:r>
            <w:proofErr w:type="spellEnd"/>
            <w:r>
              <w:rPr>
                <w:rFonts w:ascii="Tahoma" w:hAnsi="Tahoma"/>
                <w:color w:val="808080"/>
                <w:sz w:val="18"/>
              </w:rPr>
              <w:t xml:space="preserve"> Group in the RES market as an element of reinforcement of our energy-efficiency and the company’s business portfolio. Green energy is an area which will require large investments in the coming year, and we, as a company, have the capital that will enable their implementation at the required scale.</w:t>
            </w:r>
          </w:p>
          <w:p w14:paraId="5630C846" w14:textId="0E9C7B15" w:rsidR="000C2208" w:rsidRDefault="000C2208" w:rsidP="00180C6A">
            <w:pPr>
              <w:spacing w:line="360" w:lineRule="auto"/>
              <w:jc w:val="both"/>
              <w:rPr>
                <w:rFonts w:ascii="Tahoma" w:eastAsia="Tahoma" w:hAnsi="Tahoma" w:cs="Tahoma"/>
                <w:bCs/>
                <w:color w:val="808080"/>
                <w:sz w:val="18"/>
                <w:szCs w:val="18"/>
              </w:rPr>
            </w:pPr>
          </w:p>
          <w:p w14:paraId="7D562DE1" w14:textId="67CE2049" w:rsidR="0040098B" w:rsidRDefault="00180C6A" w:rsidP="00180C6A">
            <w:pPr>
              <w:spacing w:line="360" w:lineRule="auto"/>
              <w:jc w:val="both"/>
              <w:rPr>
                <w:rFonts w:ascii="Tahoma" w:eastAsia="Tahoma" w:hAnsi="Tahoma" w:cs="Tahoma"/>
                <w:bCs/>
                <w:color w:val="808080"/>
                <w:sz w:val="18"/>
                <w:szCs w:val="18"/>
              </w:rPr>
            </w:pPr>
            <w:r>
              <w:rPr>
                <w:rFonts w:ascii="Tahoma" w:hAnsi="Tahoma"/>
                <w:color w:val="808080"/>
                <w:sz w:val="18"/>
              </w:rPr>
              <w:t>Step by step, we keep building our position in the neighbouring countries. In the Slovak market, we have obtained and began implementation of a motorway contract (according to “redesign and build” method) of the largest value on this market, i.e., the contract on construction of D1 Bratislava-</w:t>
            </w:r>
            <w:proofErr w:type="spellStart"/>
            <w:r>
              <w:rPr>
                <w:rFonts w:ascii="Tahoma" w:hAnsi="Tahoma"/>
                <w:color w:val="808080"/>
                <w:sz w:val="18"/>
              </w:rPr>
              <w:t>Triblavina</w:t>
            </w:r>
            <w:proofErr w:type="spellEnd"/>
            <w:r>
              <w:rPr>
                <w:rFonts w:ascii="Tahoma" w:hAnsi="Tahoma"/>
                <w:color w:val="808080"/>
                <w:sz w:val="18"/>
              </w:rPr>
              <w:t xml:space="preserve"> worth EUR 111 million. On the German market, in 2022, </w:t>
            </w:r>
            <w:proofErr w:type="spellStart"/>
            <w:r>
              <w:rPr>
                <w:rFonts w:ascii="Tahoma" w:hAnsi="Tahoma"/>
                <w:color w:val="808080"/>
                <w:sz w:val="18"/>
              </w:rPr>
              <w:t>Budimex</w:t>
            </w:r>
            <w:proofErr w:type="spellEnd"/>
            <w:r>
              <w:rPr>
                <w:rFonts w:ascii="Tahoma" w:hAnsi="Tahoma"/>
                <w:color w:val="808080"/>
                <w:sz w:val="18"/>
              </w:rPr>
              <w:t xml:space="preserve"> </w:t>
            </w:r>
            <w:proofErr w:type="spellStart"/>
            <w:r>
              <w:rPr>
                <w:rFonts w:ascii="Tahoma" w:hAnsi="Tahoma"/>
                <w:color w:val="808080"/>
                <w:sz w:val="18"/>
              </w:rPr>
              <w:t>Bau</w:t>
            </w:r>
            <w:proofErr w:type="spellEnd"/>
            <w:r>
              <w:rPr>
                <w:rFonts w:ascii="Tahoma" w:hAnsi="Tahoma"/>
                <w:color w:val="808080"/>
                <w:sz w:val="18"/>
              </w:rPr>
              <w:t xml:space="preserve"> Gm</w:t>
            </w:r>
            <w:r w:rsidR="00392761">
              <w:rPr>
                <w:rFonts w:ascii="Tahoma" w:hAnsi="Tahoma"/>
                <w:color w:val="808080"/>
                <w:sz w:val="18"/>
              </w:rPr>
              <w:t>b</w:t>
            </w:r>
            <w:r>
              <w:rPr>
                <w:rFonts w:ascii="Tahoma" w:hAnsi="Tahoma"/>
                <w:color w:val="808080"/>
                <w:sz w:val="18"/>
              </w:rPr>
              <w:t xml:space="preserve">H obtained construction projects worth over PLN 70 million. We apply for further projects in Czech Republic and Latvia. We develop our competencies and obtain new commissions in the hydro-technical segment in Poland. In 2022, we signed a contract with DCT </w:t>
            </w:r>
            <w:proofErr w:type="spellStart"/>
            <w:r>
              <w:rPr>
                <w:rFonts w:ascii="Tahoma" w:hAnsi="Tahoma"/>
                <w:color w:val="808080"/>
                <w:sz w:val="18"/>
              </w:rPr>
              <w:t>Gdańsk</w:t>
            </w:r>
            <w:proofErr w:type="spellEnd"/>
            <w:r>
              <w:rPr>
                <w:rFonts w:ascii="Tahoma" w:hAnsi="Tahoma"/>
                <w:color w:val="808080"/>
                <w:sz w:val="18"/>
              </w:rPr>
              <w:t xml:space="preserve"> (Baltic Hub), which, upon its completion, will be one of the largest </w:t>
            </w:r>
            <w:r>
              <w:rPr>
                <w:rFonts w:ascii="Tahoma" w:hAnsi="Tahoma"/>
                <w:color w:val="808080"/>
                <w:sz w:val="18"/>
              </w:rPr>
              <w:lastRenderedPageBreak/>
              <w:t xml:space="preserve">container terminals in Europe. Another equally important and strongly developed construction segment in our Group was the military investments sector. </w:t>
            </w:r>
          </w:p>
          <w:p w14:paraId="20423929" w14:textId="77777777" w:rsidR="0089402B" w:rsidRDefault="0089402B" w:rsidP="004C0D54">
            <w:pPr>
              <w:spacing w:line="360" w:lineRule="auto"/>
              <w:jc w:val="both"/>
              <w:rPr>
                <w:rFonts w:ascii="Tahoma" w:eastAsia="Tahoma" w:hAnsi="Tahoma" w:cs="Tahoma"/>
                <w:bCs/>
                <w:color w:val="808080"/>
                <w:sz w:val="18"/>
                <w:szCs w:val="18"/>
              </w:rPr>
            </w:pPr>
          </w:p>
          <w:p w14:paraId="7CADF990" w14:textId="4C52B55B" w:rsidR="004A1C0D" w:rsidRPr="004A1C0D" w:rsidRDefault="004C0D54" w:rsidP="004A1C0D">
            <w:pPr>
              <w:spacing w:line="360" w:lineRule="auto"/>
              <w:jc w:val="both"/>
              <w:rPr>
                <w:rFonts w:ascii="Tahoma" w:eastAsia="Tahoma" w:hAnsi="Tahoma" w:cs="Tahoma"/>
                <w:bCs/>
                <w:color w:val="808080"/>
                <w:sz w:val="18"/>
                <w:szCs w:val="18"/>
              </w:rPr>
            </w:pPr>
            <w:r>
              <w:rPr>
                <w:rFonts w:ascii="Tahoma" w:hAnsi="Tahoma"/>
                <w:color w:val="808080"/>
                <w:sz w:val="18"/>
              </w:rPr>
              <w:t xml:space="preserve">The current order portfolio of the </w:t>
            </w:r>
            <w:proofErr w:type="spellStart"/>
            <w:r>
              <w:rPr>
                <w:rFonts w:ascii="Tahoma" w:hAnsi="Tahoma"/>
                <w:color w:val="808080"/>
                <w:sz w:val="18"/>
              </w:rPr>
              <w:t>Budimex</w:t>
            </w:r>
            <w:proofErr w:type="spellEnd"/>
            <w:r>
              <w:rPr>
                <w:rFonts w:ascii="Tahoma" w:hAnsi="Tahoma"/>
                <w:color w:val="808080"/>
                <w:sz w:val="18"/>
              </w:rPr>
              <w:t xml:space="preserve"> Group fully secures the work front for the next two years. The newly obtained contracts (in particular commissions implemented according to the “design and build” method) reinforce the foundations for the coming years. The coming quarters may be challenging in terms of obtaining new commissions for the entire industry. On the one hand, we observe problems with financing of railway projects and the growing competition in the road segment. On the other hand, in the general construction sector, the number of new residential projects has been drastically falling for several quarters. However, the high and well-diversified order portfolio of our company allows us to approach tendering in a responsible manner. We expect that the chosen directions of development, including expansion to foreign markets and reinforcement of our position in the hydro-technical and military segments, will allow us to maintain long-term growth trend of the order portfolio and the revenues from the construction segment. We hope that our own projects from the RES field will ensure additional growth. </w:t>
            </w:r>
          </w:p>
          <w:p w14:paraId="56F724A3" w14:textId="05785101" w:rsidR="004C0D54" w:rsidRDefault="00275C75" w:rsidP="004C0D54">
            <w:pPr>
              <w:spacing w:line="360" w:lineRule="auto"/>
              <w:jc w:val="both"/>
              <w:rPr>
                <w:rFonts w:ascii="Tahoma" w:eastAsia="Tahoma" w:hAnsi="Tahoma" w:cs="Tahoma"/>
                <w:bCs/>
                <w:color w:val="808080"/>
                <w:sz w:val="18"/>
                <w:szCs w:val="18"/>
              </w:rPr>
            </w:pPr>
            <w:r>
              <w:rPr>
                <w:rFonts w:ascii="Tahoma" w:hAnsi="Tahoma"/>
                <w:color w:val="808080"/>
                <w:sz w:val="18"/>
              </w:rPr>
              <w:t>Investments worth over PLN 1 trillion are planned in Poland for the next 10 years, which allows the construction industry to look ahead with optimism. Perspectives for the entire industry remain promising. Further development depends on access to the EU funds and early-stage support. The financial policy of Poland will also be supported by funds of private investors. Participation in rebuilding of Ukraine is also a long-term opportunity for the industry. The Ukrainian government and the European Investment Bank indicate that the total cost of projects of post-war reconstruction of Ukraine will be over USD 1 trillion.</w:t>
            </w:r>
          </w:p>
          <w:p w14:paraId="3A31AFD0" w14:textId="5BBCF732" w:rsidR="00114DA9" w:rsidRPr="008E16A4" w:rsidRDefault="00B04EF4" w:rsidP="004C0D54">
            <w:pPr>
              <w:spacing w:line="360" w:lineRule="auto"/>
              <w:jc w:val="both"/>
              <w:rPr>
                <w:rFonts w:ascii="Tahoma" w:eastAsia="Tahoma" w:hAnsi="Tahoma" w:cs="Tahoma"/>
                <w:bCs/>
                <w:color w:val="808080"/>
                <w:sz w:val="18"/>
                <w:szCs w:val="18"/>
              </w:rPr>
            </w:pPr>
            <w:r>
              <w:rPr>
                <w:rFonts w:ascii="Tahoma" w:hAnsi="Tahoma"/>
                <w:color w:val="808080"/>
                <w:sz w:val="18"/>
              </w:rPr>
              <w:t xml:space="preserve"> </w:t>
            </w:r>
          </w:p>
          <w:p w14:paraId="32581190" w14:textId="2F18D7D6" w:rsidR="009D0E45" w:rsidRDefault="009D0E45" w:rsidP="00114DA9">
            <w:pPr>
              <w:spacing w:line="360" w:lineRule="auto"/>
              <w:jc w:val="both"/>
              <w:rPr>
                <w:rFonts w:ascii="Tahoma" w:eastAsia="Tahoma" w:hAnsi="Tahoma" w:cs="Tahoma"/>
                <w:b/>
                <w:color w:val="808080"/>
                <w:sz w:val="18"/>
                <w:szCs w:val="18"/>
              </w:rPr>
            </w:pPr>
            <w:r>
              <w:rPr>
                <w:rFonts w:ascii="Tahoma" w:hAnsi="Tahoma"/>
                <w:b/>
                <w:color w:val="808080"/>
                <w:sz w:val="18"/>
              </w:rPr>
              <w:t>Social commitment</w:t>
            </w:r>
          </w:p>
          <w:p w14:paraId="671D0887" w14:textId="77777777" w:rsidR="00967628" w:rsidRPr="00967628" w:rsidRDefault="00967628" w:rsidP="00114DA9">
            <w:pPr>
              <w:spacing w:line="360" w:lineRule="auto"/>
              <w:jc w:val="both"/>
              <w:rPr>
                <w:rFonts w:ascii="Tahoma" w:eastAsia="Tahoma" w:hAnsi="Tahoma" w:cs="Tahoma"/>
                <w:b/>
                <w:color w:val="808080"/>
                <w:sz w:val="18"/>
                <w:szCs w:val="18"/>
              </w:rPr>
            </w:pPr>
            <w:bookmarkStart w:id="4" w:name="_GoBack"/>
            <w:bookmarkEnd w:id="4"/>
          </w:p>
          <w:p w14:paraId="144D608F" w14:textId="75B08589" w:rsidR="00114DA9" w:rsidRDefault="00081ED0" w:rsidP="00114DA9">
            <w:pPr>
              <w:spacing w:line="360" w:lineRule="auto"/>
              <w:jc w:val="both"/>
              <w:rPr>
                <w:rFonts w:ascii="Tahoma" w:eastAsia="Tahoma" w:hAnsi="Tahoma" w:cs="Tahoma"/>
                <w:bCs/>
                <w:color w:val="808080"/>
                <w:sz w:val="18"/>
                <w:szCs w:val="18"/>
              </w:rPr>
            </w:pPr>
            <w:r>
              <w:rPr>
                <w:rFonts w:ascii="Tahoma" w:hAnsi="Tahoma"/>
                <w:color w:val="808080"/>
                <w:sz w:val="18"/>
              </w:rPr>
              <w:t xml:space="preserve">As a responsible company, we implement projects on the entire ESG value chain – we promote equality of payment conditions and work, we strongly emphasise safety of our employees and actions for the benefit of our nearest neighbourhood. This was a special year in terms of our social activity. We provided financial and material help for Ukraine. The value of this support reached nearly PLN 3 million. The commitment of our employees was especially high. This year’s “Grant </w:t>
            </w:r>
            <w:proofErr w:type="spellStart"/>
            <w:r>
              <w:rPr>
                <w:rFonts w:ascii="Tahoma" w:hAnsi="Tahoma"/>
                <w:color w:val="808080"/>
                <w:sz w:val="18"/>
              </w:rPr>
              <w:t>na</w:t>
            </w:r>
            <w:proofErr w:type="spellEnd"/>
            <w:r>
              <w:rPr>
                <w:rFonts w:ascii="Tahoma" w:hAnsi="Tahoma"/>
                <w:color w:val="808080"/>
                <w:sz w:val="18"/>
              </w:rPr>
              <w:t xml:space="preserve"> </w:t>
            </w:r>
            <w:proofErr w:type="spellStart"/>
            <w:r>
              <w:rPr>
                <w:rFonts w:ascii="Tahoma" w:hAnsi="Tahoma"/>
                <w:color w:val="808080"/>
                <w:sz w:val="18"/>
              </w:rPr>
              <w:t>Wolontariat</w:t>
            </w:r>
            <w:proofErr w:type="spellEnd"/>
            <w:r>
              <w:rPr>
                <w:rFonts w:ascii="Tahoma" w:hAnsi="Tahoma"/>
                <w:color w:val="808080"/>
                <w:sz w:val="18"/>
              </w:rPr>
              <w:t>” program, in which our personnel participated, was devoted mainly to our eastern neighbours. ‎</w:t>
            </w:r>
          </w:p>
          <w:p w14:paraId="5161D228" w14:textId="77777777" w:rsidR="00136E8F" w:rsidRPr="00114DA9" w:rsidRDefault="00136E8F" w:rsidP="00114DA9">
            <w:pPr>
              <w:spacing w:line="360" w:lineRule="auto"/>
              <w:jc w:val="both"/>
              <w:rPr>
                <w:rFonts w:ascii="Tahoma" w:eastAsia="Tahoma" w:hAnsi="Tahoma" w:cs="Tahoma"/>
                <w:bCs/>
                <w:color w:val="808080"/>
                <w:sz w:val="18"/>
                <w:szCs w:val="18"/>
              </w:rPr>
            </w:pPr>
          </w:p>
          <w:p w14:paraId="777E19A0" w14:textId="0FFFDB13" w:rsidR="00114DA9" w:rsidRPr="00136E8F" w:rsidRDefault="00114DA9" w:rsidP="00114DA9">
            <w:pPr>
              <w:spacing w:line="360" w:lineRule="auto"/>
              <w:jc w:val="both"/>
              <w:rPr>
                <w:rFonts w:ascii="Tahoma" w:eastAsia="Tahoma" w:hAnsi="Tahoma" w:cs="Tahoma"/>
                <w:bCs/>
                <w:color w:val="7F7F7F" w:themeColor="text1" w:themeTint="80"/>
                <w:sz w:val="18"/>
                <w:szCs w:val="18"/>
              </w:rPr>
            </w:pPr>
            <w:r>
              <w:rPr>
                <w:rFonts w:ascii="Tahoma" w:hAnsi="Tahoma"/>
                <w:color w:val="7F7F7F" w:themeColor="text1" w:themeTint="80"/>
                <w:sz w:val="18"/>
              </w:rPr>
              <w:t xml:space="preserve">We also took every effort to improve financial standards. </w:t>
            </w:r>
            <w:proofErr w:type="spellStart"/>
            <w:r>
              <w:rPr>
                <w:rFonts w:ascii="Tahoma" w:hAnsi="Tahoma"/>
                <w:color w:val="7F7F7F" w:themeColor="text1" w:themeTint="80"/>
                <w:sz w:val="18"/>
              </w:rPr>
              <w:t>Budimex</w:t>
            </w:r>
            <w:proofErr w:type="spellEnd"/>
            <w:r>
              <w:rPr>
                <w:rFonts w:ascii="Tahoma" w:hAnsi="Tahoma"/>
                <w:color w:val="7F7F7F" w:themeColor="text1" w:themeTint="80"/>
                <w:sz w:val="18"/>
              </w:rPr>
              <w:t xml:space="preserve"> entered into agreement as a part of the Program of Cooperation with the Head of the National Treasury Administration. Our participation in the Program is a proof that the tax procedures and processes used in </w:t>
            </w:r>
            <w:proofErr w:type="spellStart"/>
            <w:r>
              <w:rPr>
                <w:rFonts w:ascii="Tahoma" w:hAnsi="Tahoma"/>
                <w:color w:val="7F7F7F" w:themeColor="text1" w:themeTint="80"/>
                <w:sz w:val="18"/>
              </w:rPr>
              <w:t>Budimex</w:t>
            </w:r>
            <w:proofErr w:type="spellEnd"/>
            <w:r>
              <w:rPr>
                <w:rFonts w:ascii="Tahoma" w:hAnsi="Tahoma"/>
                <w:color w:val="7F7F7F" w:themeColor="text1" w:themeTint="80"/>
                <w:sz w:val="18"/>
              </w:rPr>
              <w:t>, as well as supervision over tax settlements, meet the highest requirements. ‎</w:t>
            </w:r>
          </w:p>
          <w:p w14:paraId="7058B841" w14:textId="77777777" w:rsidR="00114DA9" w:rsidRPr="00114DA9" w:rsidRDefault="00114DA9" w:rsidP="00114DA9">
            <w:pPr>
              <w:spacing w:line="360" w:lineRule="auto"/>
              <w:jc w:val="both"/>
              <w:rPr>
                <w:rFonts w:ascii="Tahoma" w:eastAsia="Tahoma" w:hAnsi="Tahoma" w:cs="Tahoma"/>
                <w:bCs/>
                <w:color w:val="808080"/>
                <w:sz w:val="18"/>
                <w:szCs w:val="18"/>
              </w:rPr>
            </w:pPr>
          </w:p>
          <w:p w14:paraId="3BA9FA7F" w14:textId="16A19119" w:rsidR="00114DA9" w:rsidRDefault="00114DA9" w:rsidP="00114DA9">
            <w:pPr>
              <w:spacing w:line="360" w:lineRule="auto"/>
              <w:jc w:val="both"/>
              <w:rPr>
                <w:rFonts w:ascii="Tahoma" w:eastAsia="Tahoma" w:hAnsi="Tahoma" w:cs="Tahoma"/>
                <w:bCs/>
                <w:color w:val="808080"/>
                <w:sz w:val="18"/>
                <w:szCs w:val="18"/>
              </w:rPr>
            </w:pPr>
            <w:proofErr w:type="spellStart"/>
            <w:r>
              <w:rPr>
                <w:rFonts w:ascii="Tahoma" w:hAnsi="Tahoma"/>
                <w:color w:val="808080"/>
                <w:sz w:val="18"/>
              </w:rPr>
              <w:t>Budimex</w:t>
            </w:r>
            <w:proofErr w:type="spellEnd"/>
            <w:r>
              <w:rPr>
                <w:rFonts w:ascii="Tahoma" w:hAnsi="Tahoma"/>
                <w:color w:val="808080"/>
                <w:sz w:val="18"/>
              </w:rPr>
              <w:t xml:space="preserve"> was ranked first among ten leading general contractors by 300 largest construction subcontractors as a partner for cooperation, as well as the best partner in terms of financial conditions and payment deadlines. We have also joined the Partnership program for </w:t>
            </w:r>
            <w:r>
              <w:rPr>
                <w:rFonts w:ascii="Tahoma" w:hAnsi="Tahoma"/>
                <w:color w:val="808080"/>
                <w:sz w:val="18"/>
              </w:rPr>
              <w:lastRenderedPageBreak/>
              <w:t xml:space="preserve">implementation of </w:t>
            </w:r>
            <w:proofErr w:type="spellStart"/>
            <w:r>
              <w:rPr>
                <w:rFonts w:ascii="Tahoma" w:hAnsi="Tahoma"/>
                <w:color w:val="808080"/>
                <w:sz w:val="18"/>
              </w:rPr>
              <w:t>Cele</w:t>
            </w:r>
            <w:proofErr w:type="spellEnd"/>
            <w:r>
              <w:rPr>
                <w:rFonts w:ascii="Tahoma" w:hAnsi="Tahoma"/>
                <w:color w:val="808080"/>
                <w:sz w:val="18"/>
              </w:rPr>
              <w:t xml:space="preserve"> </w:t>
            </w:r>
            <w:proofErr w:type="spellStart"/>
            <w:r>
              <w:rPr>
                <w:rFonts w:ascii="Tahoma" w:hAnsi="Tahoma"/>
                <w:color w:val="808080"/>
                <w:sz w:val="18"/>
              </w:rPr>
              <w:t>Zrównoważonego</w:t>
            </w:r>
            <w:proofErr w:type="spellEnd"/>
            <w:r>
              <w:rPr>
                <w:rFonts w:ascii="Tahoma" w:hAnsi="Tahoma"/>
                <w:color w:val="808080"/>
                <w:sz w:val="18"/>
              </w:rPr>
              <w:t xml:space="preserve"> </w:t>
            </w:r>
            <w:proofErr w:type="spellStart"/>
            <w:r>
              <w:rPr>
                <w:rFonts w:ascii="Tahoma" w:hAnsi="Tahoma"/>
                <w:color w:val="808080"/>
                <w:sz w:val="18"/>
              </w:rPr>
              <w:t>Rozwoju</w:t>
            </w:r>
            <w:proofErr w:type="spellEnd"/>
            <w:r>
              <w:rPr>
                <w:rFonts w:ascii="Tahoma" w:hAnsi="Tahoma"/>
                <w:color w:val="808080"/>
                <w:sz w:val="18"/>
              </w:rPr>
              <w:t xml:space="preserve"> Agenda 2030 (Sustainable Growth Objectives Agenda 2030), implemented by the Ministry of Development and Technology. Agenda 2030 is a strategy of world development until 2030; it includes 17 sustainable growth objectives in line with the goals of ESG.</w:t>
            </w:r>
          </w:p>
          <w:p w14:paraId="4F482CBF" w14:textId="77777777" w:rsidR="00114DA9" w:rsidRPr="00114DA9" w:rsidRDefault="00114DA9" w:rsidP="00114DA9">
            <w:pPr>
              <w:spacing w:line="360" w:lineRule="auto"/>
              <w:jc w:val="both"/>
              <w:rPr>
                <w:rFonts w:ascii="Tahoma" w:eastAsia="Tahoma" w:hAnsi="Tahoma" w:cs="Tahoma"/>
                <w:bCs/>
                <w:color w:val="808080"/>
                <w:sz w:val="18"/>
                <w:szCs w:val="18"/>
              </w:rPr>
            </w:pPr>
          </w:p>
          <w:p w14:paraId="02FBBF38" w14:textId="1EE96BDD" w:rsidR="00114DA9"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 xml:space="preserve">At </w:t>
            </w:r>
            <w:proofErr w:type="spellStart"/>
            <w:r>
              <w:rPr>
                <w:rFonts w:ascii="Tahoma" w:hAnsi="Tahoma"/>
                <w:color w:val="808080"/>
                <w:sz w:val="18"/>
              </w:rPr>
              <w:t>Budimex</w:t>
            </w:r>
            <w:proofErr w:type="spellEnd"/>
            <w:r>
              <w:rPr>
                <w:rFonts w:ascii="Tahoma" w:hAnsi="Tahoma"/>
                <w:color w:val="808080"/>
                <w:sz w:val="18"/>
              </w:rPr>
              <w:t xml:space="preserve">, corporate social responsibility also means long-term projects supporting, among others, the inhabitants of communities neighbouring the construction sites run by the company. We have launched the fortieth Parent Zone in the Independent Public Health Care Institution of the District Hospital in </w:t>
            </w:r>
            <w:proofErr w:type="spellStart"/>
            <w:r>
              <w:rPr>
                <w:rFonts w:ascii="Tahoma" w:hAnsi="Tahoma"/>
                <w:color w:val="808080"/>
                <w:sz w:val="18"/>
              </w:rPr>
              <w:t>Pisz</w:t>
            </w:r>
            <w:proofErr w:type="spellEnd"/>
            <w:r>
              <w:rPr>
                <w:rFonts w:ascii="Tahoma" w:hAnsi="Tahoma"/>
                <w:color w:val="808080"/>
                <w:sz w:val="18"/>
              </w:rPr>
              <w:t xml:space="preserve"> and another one the </w:t>
            </w:r>
            <w:proofErr w:type="spellStart"/>
            <w:r>
              <w:rPr>
                <w:rFonts w:ascii="Tahoma" w:hAnsi="Tahoma"/>
                <w:color w:val="808080"/>
                <w:sz w:val="18"/>
              </w:rPr>
              <w:t>Voivodeship</w:t>
            </w:r>
            <w:proofErr w:type="spellEnd"/>
            <w:r>
              <w:rPr>
                <w:rFonts w:ascii="Tahoma" w:hAnsi="Tahoma"/>
                <w:color w:val="808080"/>
                <w:sz w:val="18"/>
              </w:rPr>
              <w:t xml:space="preserve"> J. </w:t>
            </w:r>
            <w:proofErr w:type="spellStart"/>
            <w:r>
              <w:rPr>
                <w:rFonts w:ascii="Tahoma" w:hAnsi="Tahoma"/>
                <w:color w:val="808080"/>
                <w:sz w:val="18"/>
              </w:rPr>
              <w:t>Brudziński</w:t>
            </w:r>
            <w:proofErr w:type="spellEnd"/>
            <w:r>
              <w:rPr>
                <w:rFonts w:ascii="Tahoma" w:hAnsi="Tahoma"/>
                <w:color w:val="808080"/>
                <w:sz w:val="18"/>
              </w:rPr>
              <w:t xml:space="preserve"> Children's Hospital in Bydgoszcz. ‎</w:t>
            </w:r>
          </w:p>
          <w:p w14:paraId="7BDBB3E8" w14:textId="77777777" w:rsidR="00114DA9" w:rsidRPr="00114DA9" w:rsidRDefault="00114DA9" w:rsidP="00114DA9">
            <w:pPr>
              <w:spacing w:line="360" w:lineRule="auto"/>
              <w:jc w:val="both"/>
              <w:rPr>
                <w:rFonts w:ascii="Tahoma" w:eastAsia="Tahoma" w:hAnsi="Tahoma" w:cs="Tahoma"/>
                <w:bCs/>
                <w:color w:val="808080"/>
                <w:sz w:val="18"/>
                <w:szCs w:val="18"/>
              </w:rPr>
            </w:pPr>
          </w:p>
          <w:p w14:paraId="2136B222" w14:textId="77777777" w:rsidR="00136E8F"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 xml:space="preserve">We develop our long-term social programs. “Hello ICE” educational program, aimed to improve safety of children in road traffic, obtained patronage of the Ministry of Sports and Tourism. </w:t>
            </w:r>
          </w:p>
          <w:p w14:paraId="0EE37C19" w14:textId="0D4167C5" w:rsidR="00114DA9" w:rsidRPr="00114DA9"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w:t>
            </w:r>
          </w:p>
          <w:p w14:paraId="0EDCAC64" w14:textId="77777777" w:rsidR="00114DA9"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 xml:space="preserve">We have completed the second edition of “Dom z </w:t>
            </w:r>
            <w:proofErr w:type="spellStart"/>
            <w:r>
              <w:rPr>
                <w:rFonts w:ascii="Tahoma" w:hAnsi="Tahoma"/>
                <w:color w:val="808080"/>
                <w:sz w:val="18"/>
              </w:rPr>
              <w:t>serca</w:t>
            </w:r>
            <w:proofErr w:type="spellEnd"/>
            <w:r>
              <w:rPr>
                <w:rFonts w:ascii="Tahoma" w:hAnsi="Tahoma"/>
                <w:color w:val="808080"/>
                <w:sz w:val="18"/>
              </w:rPr>
              <w:t xml:space="preserve">” program in </w:t>
            </w:r>
            <w:proofErr w:type="spellStart"/>
            <w:r>
              <w:rPr>
                <w:rFonts w:ascii="Tahoma" w:hAnsi="Tahoma"/>
                <w:color w:val="808080"/>
                <w:sz w:val="18"/>
              </w:rPr>
              <w:t>Brusy</w:t>
            </w:r>
            <w:proofErr w:type="spellEnd"/>
            <w:r>
              <w:rPr>
                <w:rFonts w:ascii="Tahoma" w:hAnsi="Tahoma"/>
                <w:color w:val="808080"/>
                <w:sz w:val="18"/>
              </w:rPr>
              <w:t xml:space="preserve">, in </w:t>
            </w:r>
            <w:proofErr w:type="spellStart"/>
            <w:r>
              <w:rPr>
                <w:rFonts w:ascii="Tahoma" w:hAnsi="Tahoma"/>
                <w:color w:val="808080"/>
                <w:sz w:val="18"/>
              </w:rPr>
              <w:t>Pomorskie</w:t>
            </w:r>
            <w:proofErr w:type="spellEnd"/>
            <w:r>
              <w:rPr>
                <w:rFonts w:ascii="Tahoma" w:hAnsi="Tahoma"/>
                <w:color w:val="808080"/>
                <w:sz w:val="18"/>
              </w:rPr>
              <w:t xml:space="preserve"> </w:t>
            </w:r>
            <w:proofErr w:type="spellStart"/>
            <w:r>
              <w:rPr>
                <w:rFonts w:ascii="Tahoma" w:hAnsi="Tahoma"/>
                <w:color w:val="808080"/>
                <w:sz w:val="18"/>
              </w:rPr>
              <w:t>voivodeship</w:t>
            </w:r>
            <w:proofErr w:type="spellEnd"/>
            <w:r>
              <w:rPr>
                <w:rFonts w:ascii="Tahoma" w:hAnsi="Tahoma"/>
                <w:color w:val="808080"/>
                <w:sz w:val="18"/>
              </w:rPr>
              <w:t xml:space="preserve">. As a part of this initiative, we helped a family of eight struggling with a difficult financial situation and facing health problems of two children. Joining forces with other construction companies, we completed the construction of </w:t>
            </w:r>
            <w:proofErr w:type="spellStart"/>
            <w:r>
              <w:rPr>
                <w:rFonts w:ascii="Tahoma" w:hAnsi="Tahoma"/>
                <w:color w:val="808080"/>
                <w:sz w:val="18"/>
              </w:rPr>
              <w:t>Iwona</w:t>
            </w:r>
            <w:proofErr w:type="spellEnd"/>
            <w:r>
              <w:rPr>
                <w:rFonts w:ascii="Tahoma" w:hAnsi="Tahoma"/>
                <w:color w:val="808080"/>
                <w:sz w:val="18"/>
              </w:rPr>
              <w:t xml:space="preserve"> and Krzysztof's house and fitted it out turnkey.</w:t>
            </w:r>
          </w:p>
          <w:p w14:paraId="481C79C4" w14:textId="3691B515" w:rsidR="00114DA9" w:rsidRPr="00114DA9"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w:t>
            </w:r>
          </w:p>
          <w:p w14:paraId="077824E8" w14:textId="77777777" w:rsidR="00114DA9" w:rsidRPr="00114DA9"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Our construction projects obtained several precious industry awards: 7 awards in “</w:t>
            </w:r>
            <w:proofErr w:type="spellStart"/>
            <w:r>
              <w:rPr>
                <w:rFonts w:ascii="Tahoma" w:hAnsi="Tahoma"/>
                <w:color w:val="808080"/>
                <w:sz w:val="18"/>
              </w:rPr>
              <w:t>Budowa</w:t>
            </w:r>
            <w:proofErr w:type="spellEnd"/>
            <w:r>
              <w:rPr>
                <w:rFonts w:ascii="Tahoma" w:hAnsi="Tahoma"/>
                <w:color w:val="808080"/>
                <w:sz w:val="18"/>
              </w:rPr>
              <w:t xml:space="preserve"> Roku 2021” (“Construction of Year 2021”) contest, known as construction Oscars, and two “</w:t>
            </w:r>
            <w:proofErr w:type="spellStart"/>
            <w:r>
              <w:rPr>
                <w:rFonts w:ascii="Tahoma" w:hAnsi="Tahoma"/>
                <w:color w:val="808080"/>
                <w:sz w:val="18"/>
              </w:rPr>
              <w:t>Modernizacja</w:t>
            </w:r>
            <w:proofErr w:type="spellEnd"/>
            <w:r>
              <w:rPr>
                <w:rFonts w:ascii="Tahoma" w:hAnsi="Tahoma"/>
                <w:color w:val="808080"/>
                <w:sz w:val="18"/>
              </w:rPr>
              <w:t xml:space="preserve"> Roku” (“Modernisation of the Year”) awards. Among others, the following investments were awarded: PKN </w:t>
            </w:r>
            <w:proofErr w:type="spellStart"/>
            <w:r>
              <w:rPr>
                <w:rFonts w:ascii="Tahoma" w:hAnsi="Tahoma"/>
                <w:color w:val="808080"/>
                <w:sz w:val="18"/>
              </w:rPr>
              <w:t>Orlen</w:t>
            </w:r>
            <w:proofErr w:type="spellEnd"/>
            <w:r>
              <w:rPr>
                <w:rFonts w:ascii="Tahoma" w:hAnsi="Tahoma"/>
                <w:color w:val="808080"/>
                <w:sz w:val="18"/>
              </w:rPr>
              <w:t xml:space="preserve"> Research and Development Centre in </w:t>
            </w:r>
            <w:proofErr w:type="spellStart"/>
            <w:r>
              <w:rPr>
                <w:rFonts w:ascii="Tahoma" w:hAnsi="Tahoma"/>
                <w:color w:val="808080"/>
                <w:sz w:val="18"/>
              </w:rPr>
              <w:t>Płock</w:t>
            </w:r>
            <w:proofErr w:type="spellEnd"/>
            <w:r>
              <w:rPr>
                <w:rFonts w:ascii="Tahoma" w:hAnsi="Tahoma"/>
                <w:color w:val="808080"/>
                <w:sz w:val="18"/>
              </w:rPr>
              <w:t xml:space="preserve">, PKP S.A. station in </w:t>
            </w:r>
            <w:proofErr w:type="spellStart"/>
            <w:r>
              <w:rPr>
                <w:rFonts w:ascii="Tahoma" w:hAnsi="Tahoma"/>
                <w:color w:val="808080"/>
                <w:sz w:val="18"/>
              </w:rPr>
              <w:t>Białystok</w:t>
            </w:r>
            <w:proofErr w:type="spellEnd"/>
            <w:r>
              <w:rPr>
                <w:rFonts w:ascii="Tahoma" w:hAnsi="Tahoma"/>
                <w:color w:val="808080"/>
                <w:sz w:val="18"/>
              </w:rPr>
              <w:t xml:space="preserve"> and Rother’s Mills in Bydgoszcz.</w:t>
            </w:r>
          </w:p>
          <w:p w14:paraId="272C7D73" w14:textId="77777777" w:rsidR="00114DA9" w:rsidRPr="00114DA9" w:rsidRDefault="00114DA9" w:rsidP="00114DA9">
            <w:pPr>
              <w:spacing w:line="360" w:lineRule="auto"/>
              <w:jc w:val="both"/>
              <w:rPr>
                <w:rFonts w:ascii="Tahoma" w:eastAsia="Tahoma" w:hAnsi="Tahoma" w:cs="Tahoma"/>
                <w:bCs/>
                <w:color w:val="808080"/>
                <w:sz w:val="18"/>
                <w:szCs w:val="18"/>
              </w:rPr>
            </w:pPr>
            <w:proofErr w:type="spellStart"/>
            <w:r>
              <w:rPr>
                <w:rFonts w:ascii="Tahoma" w:hAnsi="Tahoma"/>
                <w:color w:val="808080"/>
                <w:sz w:val="18"/>
              </w:rPr>
              <w:t>Budimex</w:t>
            </w:r>
            <w:proofErr w:type="spellEnd"/>
            <w:r>
              <w:rPr>
                <w:rFonts w:ascii="Tahoma" w:hAnsi="Tahoma"/>
                <w:color w:val="808080"/>
                <w:sz w:val="18"/>
              </w:rPr>
              <w:t xml:space="preserve"> also received the Award of the Year of </w:t>
            </w:r>
            <w:proofErr w:type="spellStart"/>
            <w:r>
              <w:rPr>
                <w:rFonts w:ascii="Tahoma" w:hAnsi="Tahoma"/>
                <w:color w:val="808080"/>
                <w:sz w:val="18"/>
              </w:rPr>
              <w:t>Federacja</w:t>
            </w:r>
            <w:proofErr w:type="spellEnd"/>
            <w:r>
              <w:rPr>
                <w:rFonts w:ascii="Tahoma" w:hAnsi="Tahoma"/>
                <w:color w:val="808080"/>
                <w:sz w:val="18"/>
              </w:rPr>
              <w:t xml:space="preserve"> </w:t>
            </w:r>
            <w:proofErr w:type="spellStart"/>
            <w:r>
              <w:rPr>
                <w:rFonts w:ascii="Tahoma" w:hAnsi="Tahoma"/>
                <w:color w:val="808080"/>
                <w:sz w:val="18"/>
              </w:rPr>
              <w:t>Przedsiębiorców</w:t>
            </w:r>
            <w:proofErr w:type="spellEnd"/>
            <w:r>
              <w:rPr>
                <w:rFonts w:ascii="Tahoma" w:hAnsi="Tahoma"/>
                <w:color w:val="808080"/>
                <w:sz w:val="18"/>
              </w:rPr>
              <w:t xml:space="preserve"> </w:t>
            </w:r>
            <w:proofErr w:type="spellStart"/>
            <w:r>
              <w:rPr>
                <w:rFonts w:ascii="Tahoma" w:hAnsi="Tahoma"/>
                <w:color w:val="808080"/>
                <w:sz w:val="18"/>
              </w:rPr>
              <w:t>Polskich</w:t>
            </w:r>
            <w:proofErr w:type="spellEnd"/>
            <w:r>
              <w:rPr>
                <w:rFonts w:ascii="Tahoma" w:hAnsi="Tahoma"/>
                <w:color w:val="808080"/>
                <w:sz w:val="18"/>
              </w:rPr>
              <w:t xml:space="preserve"> (Polish Entrepreneurs Association) as the Leader of Sustainable Growth. The award was given for activities of </w:t>
            </w:r>
            <w:proofErr w:type="spellStart"/>
            <w:r>
              <w:rPr>
                <w:rFonts w:ascii="Tahoma" w:hAnsi="Tahoma"/>
                <w:color w:val="808080"/>
                <w:sz w:val="18"/>
              </w:rPr>
              <w:t>Budimex</w:t>
            </w:r>
            <w:proofErr w:type="spellEnd"/>
            <w:r>
              <w:rPr>
                <w:rFonts w:ascii="Tahoma" w:hAnsi="Tahoma"/>
                <w:color w:val="808080"/>
                <w:sz w:val="18"/>
              </w:rPr>
              <w:t xml:space="preserve"> related to protection of the natural environment, promotion of the circular economy, low-emission solutions, as well as social activities. We also participate in pro-ecological social initiatives. As a part of </w:t>
            </w:r>
            <w:proofErr w:type="spellStart"/>
            <w:r>
              <w:rPr>
                <w:rFonts w:ascii="Tahoma" w:hAnsi="Tahoma"/>
                <w:color w:val="808080"/>
                <w:sz w:val="18"/>
              </w:rPr>
              <w:t>Przystanek</w:t>
            </w:r>
            <w:proofErr w:type="spellEnd"/>
            <w:r>
              <w:rPr>
                <w:rFonts w:ascii="Tahoma" w:hAnsi="Tahoma"/>
                <w:color w:val="808080"/>
                <w:sz w:val="18"/>
              </w:rPr>
              <w:t xml:space="preserve"> </w:t>
            </w:r>
            <w:proofErr w:type="spellStart"/>
            <w:r>
              <w:rPr>
                <w:rFonts w:ascii="Tahoma" w:hAnsi="Tahoma"/>
                <w:color w:val="808080"/>
                <w:sz w:val="18"/>
              </w:rPr>
              <w:t>Zieleń</w:t>
            </w:r>
            <w:proofErr w:type="spellEnd"/>
            <w:r>
              <w:rPr>
                <w:rFonts w:ascii="Tahoma" w:hAnsi="Tahoma"/>
                <w:color w:val="808080"/>
                <w:sz w:val="18"/>
              </w:rPr>
              <w:t xml:space="preserve"> campaign, we will plant 400 new trees together with housing cooperatives and condominiums in Warsaw. ‎</w:t>
            </w:r>
          </w:p>
          <w:p w14:paraId="7B116864" w14:textId="17633231" w:rsidR="00114DA9"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 xml:space="preserve">The strategy of </w:t>
            </w:r>
            <w:proofErr w:type="spellStart"/>
            <w:r>
              <w:rPr>
                <w:rFonts w:ascii="Tahoma" w:hAnsi="Tahoma"/>
                <w:color w:val="808080"/>
                <w:sz w:val="18"/>
              </w:rPr>
              <w:t>Budimex</w:t>
            </w:r>
            <w:proofErr w:type="spellEnd"/>
            <w:r>
              <w:rPr>
                <w:rFonts w:ascii="Tahoma" w:hAnsi="Tahoma"/>
                <w:color w:val="808080"/>
                <w:sz w:val="18"/>
              </w:rPr>
              <w:t xml:space="preserve"> assumes, e.g., being a good neighbour, guest and partner for local communities.</w:t>
            </w:r>
          </w:p>
          <w:p w14:paraId="2E9C41C7" w14:textId="77777777" w:rsidR="00114DA9" w:rsidRDefault="00114DA9" w:rsidP="00114DA9">
            <w:pPr>
              <w:spacing w:line="360" w:lineRule="auto"/>
              <w:jc w:val="both"/>
              <w:rPr>
                <w:rFonts w:ascii="Tahoma" w:eastAsia="Tahoma" w:hAnsi="Tahoma" w:cs="Tahoma"/>
                <w:bCs/>
                <w:color w:val="808080"/>
                <w:sz w:val="18"/>
                <w:szCs w:val="18"/>
              </w:rPr>
            </w:pPr>
          </w:p>
          <w:p w14:paraId="44BE80C7" w14:textId="53893008" w:rsidR="00114DA9" w:rsidRPr="006B3CBD" w:rsidRDefault="00114DA9" w:rsidP="00114DA9">
            <w:pPr>
              <w:spacing w:line="360" w:lineRule="auto"/>
              <w:jc w:val="both"/>
              <w:rPr>
                <w:rFonts w:ascii="Tahoma" w:eastAsia="Tahoma" w:hAnsi="Tahoma" w:cs="Tahoma"/>
                <w:bCs/>
                <w:color w:val="808080"/>
                <w:sz w:val="18"/>
                <w:szCs w:val="18"/>
              </w:rPr>
            </w:pPr>
            <w:r>
              <w:rPr>
                <w:rFonts w:ascii="Tahoma" w:hAnsi="Tahoma"/>
                <w:color w:val="808080"/>
                <w:sz w:val="18"/>
              </w:rPr>
              <w:t xml:space="preserve">During 2022, we charitably supported surroundings of building sites as a part of 43 projects in: </w:t>
            </w:r>
            <w:proofErr w:type="spellStart"/>
            <w:r>
              <w:rPr>
                <w:rFonts w:ascii="Tahoma" w:hAnsi="Tahoma"/>
                <w:color w:val="808080"/>
                <w:sz w:val="18"/>
              </w:rPr>
              <w:t>Ełk</w:t>
            </w:r>
            <w:proofErr w:type="spellEnd"/>
            <w:r>
              <w:rPr>
                <w:rFonts w:ascii="Tahoma" w:hAnsi="Tahoma"/>
                <w:color w:val="808080"/>
                <w:sz w:val="18"/>
              </w:rPr>
              <w:t xml:space="preserve">, Szczecin, Bydgoszcz, </w:t>
            </w:r>
            <w:proofErr w:type="spellStart"/>
            <w:r>
              <w:rPr>
                <w:rFonts w:ascii="Tahoma" w:hAnsi="Tahoma"/>
                <w:color w:val="808080"/>
                <w:sz w:val="18"/>
              </w:rPr>
              <w:t>Kraków</w:t>
            </w:r>
            <w:proofErr w:type="spellEnd"/>
            <w:r>
              <w:rPr>
                <w:rFonts w:ascii="Tahoma" w:hAnsi="Tahoma"/>
                <w:color w:val="808080"/>
                <w:sz w:val="18"/>
              </w:rPr>
              <w:t xml:space="preserve">, Warsaw, </w:t>
            </w:r>
            <w:proofErr w:type="spellStart"/>
            <w:r>
              <w:rPr>
                <w:rFonts w:ascii="Tahoma" w:hAnsi="Tahoma"/>
                <w:color w:val="808080"/>
                <w:sz w:val="18"/>
              </w:rPr>
              <w:t>Dolice</w:t>
            </w:r>
            <w:proofErr w:type="spellEnd"/>
            <w:r>
              <w:rPr>
                <w:rFonts w:ascii="Tahoma" w:hAnsi="Tahoma"/>
                <w:color w:val="808080"/>
                <w:sz w:val="18"/>
              </w:rPr>
              <w:t xml:space="preserve"> near Szczecin, </w:t>
            </w:r>
            <w:proofErr w:type="spellStart"/>
            <w:r>
              <w:rPr>
                <w:rFonts w:ascii="Tahoma" w:hAnsi="Tahoma"/>
                <w:color w:val="808080"/>
                <w:sz w:val="18"/>
              </w:rPr>
              <w:t>Białystok</w:t>
            </w:r>
            <w:proofErr w:type="spellEnd"/>
            <w:r>
              <w:rPr>
                <w:rFonts w:ascii="Tahoma" w:hAnsi="Tahoma"/>
                <w:color w:val="808080"/>
                <w:sz w:val="18"/>
              </w:rPr>
              <w:t xml:space="preserve">, </w:t>
            </w:r>
            <w:proofErr w:type="spellStart"/>
            <w:r>
              <w:rPr>
                <w:rFonts w:ascii="Tahoma" w:hAnsi="Tahoma"/>
                <w:color w:val="808080"/>
                <w:sz w:val="18"/>
              </w:rPr>
              <w:t>Narewce</w:t>
            </w:r>
            <w:proofErr w:type="spellEnd"/>
            <w:r>
              <w:rPr>
                <w:rFonts w:ascii="Tahoma" w:hAnsi="Tahoma"/>
                <w:color w:val="808080"/>
                <w:sz w:val="18"/>
              </w:rPr>
              <w:t xml:space="preserve"> near </w:t>
            </w:r>
            <w:proofErr w:type="spellStart"/>
            <w:r>
              <w:rPr>
                <w:rFonts w:ascii="Tahoma" w:hAnsi="Tahoma"/>
                <w:color w:val="808080"/>
                <w:sz w:val="18"/>
              </w:rPr>
              <w:t>Hajnówka</w:t>
            </w:r>
            <w:proofErr w:type="spellEnd"/>
            <w:r>
              <w:rPr>
                <w:rFonts w:ascii="Tahoma" w:hAnsi="Tahoma"/>
                <w:color w:val="808080"/>
                <w:sz w:val="18"/>
              </w:rPr>
              <w:t xml:space="preserve">, </w:t>
            </w:r>
            <w:proofErr w:type="spellStart"/>
            <w:r>
              <w:rPr>
                <w:rFonts w:ascii="Tahoma" w:hAnsi="Tahoma"/>
                <w:color w:val="808080"/>
                <w:sz w:val="18"/>
              </w:rPr>
              <w:t>Czechowice-Dziedzice</w:t>
            </w:r>
            <w:proofErr w:type="spellEnd"/>
            <w:r>
              <w:rPr>
                <w:rFonts w:ascii="Tahoma" w:hAnsi="Tahoma"/>
                <w:color w:val="808080"/>
                <w:sz w:val="18"/>
              </w:rPr>
              <w:t xml:space="preserve">, </w:t>
            </w:r>
            <w:proofErr w:type="spellStart"/>
            <w:r>
              <w:rPr>
                <w:rFonts w:ascii="Tahoma" w:hAnsi="Tahoma"/>
                <w:color w:val="808080"/>
                <w:sz w:val="18"/>
              </w:rPr>
              <w:t>Suwałki</w:t>
            </w:r>
            <w:proofErr w:type="spellEnd"/>
            <w:r>
              <w:rPr>
                <w:rFonts w:ascii="Tahoma" w:hAnsi="Tahoma"/>
                <w:color w:val="808080"/>
                <w:sz w:val="18"/>
              </w:rPr>
              <w:t xml:space="preserve">, </w:t>
            </w:r>
            <w:proofErr w:type="spellStart"/>
            <w:r>
              <w:rPr>
                <w:rFonts w:ascii="Tahoma" w:hAnsi="Tahoma"/>
                <w:color w:val="808080"/>
                <w:sz w:val="18"/>
              </w:rPr>
              <w:t>Marki</w:t>
            </w:r>
            <w:proofErr w:type="spellEnd"/>
            <w:r>
              <w:rPr>
                <w:rFonts w:ascii="Tahoma" w:hAnsi="Tahoma"/>
                <w:color w:val="808080"/>
                <w:sz w:val="18"/>
              </w:rPr>
              <w:t xml:space="preserve"> near Warsaw, </w:t>
            </w:r>
            <w:proofErr w:type="spellStart"/>
            <w:r>
              <w:rPr>
                <w:rFonts w:ascii="Tahoma" w:hAnsi="Tahoma"/>
                <w:color w:val="808080"/>
                <w:sz w:val="18"/>
              </w:rPr>
              <w:t>Słupca</w:t>
            </w:r>
            <w:proofErr w:type="spellEnd"/>
            <w:r>
              <w:rPr>
                <w:rFonts w:ascii="Tahoma" w:hAnsi="Tahoma"/>
                <w:color w:val="808080"/>
                <w:sz w:val="18"/>
              </w:rPr>
              <w:t xml:space="preserve"> near </w:t>
            </w:r>
            <w:proofErr w:type="spellStart"/>
            <w:r>
              <w:rPr>
                <w:rFonts w:ascii="Tahoma" w:hAnsi="Tahoma"/>
                <w:color w:val="808080"/>
                <w:sz w:val="18"/>
              </w:rPr>
              <w:t>Konin</w:t>
            </w:r>
            <w:proofErr w:type="spellEnd"/>
            <w:r>
              <w:rPr>
                <w:rFonts w:ascii="Tahoma" w:hAnsi="Tahoma"/>
                <w:color w:val="808080"/>
                <w:sz w:val="18"/>
              </w:rPr>
              <w:t xml:space="preserve">, as well as </w:t>
            </w:r>
            <w:proofErr w:type="spellStart"/>
            <w:r>
              <w:rPr>
                <w:rFonts w:ascii="Tahoma" w:hAnsi="Tahoma"/>
                <w:color w:val="808080"/>
                <w:sz w:val="18"/>
              </w:rPr>
              <w:t>Strachocin</w:t>
            </w:r>
            <w:proofErr w:type="spellEnd"/>
            <w:r>
              <w:rPr>
                <w:rFonts w:ascii="Tahoma" w:hAnsi="Tahoma"/>
                <w:color w:val="808080"/>
                <w:sz w:val="18"/>
              </w:rPr>
              <w:t>. The total value of support amounted to nearly PLN 2 million.</w:t>
            </w:r>
          </w:p>
        </w:tc>
        <w:tc>
          <w:tcPr>
            <w:tcW w:w="3118" w:type="dxa"/>
          </w:tcPr>
          <w:p w14:paraId="5B5F2F21" w14:textId="2DED115D" w:rsidR="00D824D3" w:rsidRPr="006B3CBD" w:rsidRDefault="00D824D3">
            <w:pPr>
              <w:spacing w:line="360" w:lineRule="auto"/>
              <w:jc w:val="center"/>
              <w:rPr>
                <w:rFonts w:ascii="Tahoma" w:eastAsia="Tahoma" w:hAnsi="Tahoma" w:cs="Tahoma"/>
                <w:bCs/>
                <w:color w:val="FFC000"/>
              </w:rPr>
            </w:pPr>
          </w:p>
          <w:p w14:paraId="6D9FE0D9" w14:textId="77777777" w:rsidR="00D824D3" w:rsidRPr="006B3CBD" w:rsidRDefault="00D824D3">
            <w:pPr>
              <w:spacing w:line="360" w:lineRule="auto"/>
              <w:jc w:val="center"/>
              <w:rPr>
                <w:rFonts w:ascii="Tahoma" w:eastAsia="Tahoma" w:hAnsi="Tahoma" w:cs="Tahoma"/>
                <w:bCs/>
                <w:color w:val="FFC000"/>
              </w:rPr>
            </w:pPr>
          </w:p>
          <w:p w14:paraId="2981D933" w14:textId="77777777" w:rsidR="00D824D3" w:rsidRPr="006B3CBD" w:rsidRDefault="00D824D3">
            <w:pPr>
              <w:spacing w:line="360" w:lineRule="auto"/>
              <w:jc w:val="center"/>
              <w:rPr>
                <w:rFonts w:ascii="Tahoma" w:eastAsia="Tahoma" w:hAnsi="Tahoma" w:cs="Tahoma"/>
                <w:bCs/>
                <w:color w:val="FFC000"/>
              </w:rPr>
            </w:pPr>
          </w:p>
          <w:p w14:paraId="75763072" w14:textId="77777777" w:rsidR="00D824D3" w:rsidRPr="006B3CBD" w:rsidRDefault="00D824D3">
            <w:pPr>
              <w:spacing w:line="360" w:lineRule="auto"/>
              <w:jc w:val="center"/>
              <w:rPr>
                <w:rFonts w:ascii="Tahoma" w:eastAsia="Tahoma" w:hAnsi="Tahoma" w:cs="Tahoma"/>
                <w:bCs/>
                <w:color w:val="FFC000"/>
              </w:rPr>
            </w:pPr>
          </w:p>
          <w:p w14:paraId="522D8B16" w14:textId="77777777" w:rsidR="00D824D3" w:rsidRPr="006B3CBD" w:rsidRDefault="00D824D3">
            <w:pPr>
              <w:spacing w:line="360" w:lineRule="auto"/>
              <w:jc w:val="center"/>
              <w:rPr>
                <w:rFonts w:ascii="Tahoma" w:eastAsia="Tahoma" w:hAnsi="Tahoma" w:cs="Tahoma"/>
                <w:bCs/>
                <w:color w:val="FFC000"/>
              </w:rPr>
            </w:pPr>
          </w:p>
          <w:p w14:paraId="383DA6A1" w14:textId="77777777" w:rsidR="00D824D3" w:rsidRPr="006B3CBD" w:rsidRDefault="00D824D3">
            <w:pPr>
              <w:spacing w:line="360" w:lineRule="auto"/>
              <w:jc w:val="center"/>
              <w:rPr>
                <w:rFonts w:ascii="Tahoma" w:eastAsia="Tahoma" w:hAnsi="Tahoma" w:cs="Tahoma"/>
                <w:bCs/>
                <w:color w:val="FFC000"/>
              </w:rPr>
            </w:pPr>
          </w:p>
          <w:p w14:paraId="302E4DF3" w14:textId="77777777" w:rsidR="00D824D3" w:rsidRPr="006B3CBD" w:rsidRDefault="00D824D3">
            <w:pPr>
              <w:spacing w:after="120" w:line="360" w:lineRule="auto"/>
              <w:rPr>
                <w:rFonts w:ascii="Verdana" w:eastAsia="Verdana" w:hAnsi="Verdana" w:cs="Verdana"/>
                <w:bCs/>
                <w:color w:val="FFC000"/>
                <w:sz w:val="20"/>
                <w:szCs w:val="20"/>
              </w:rPr>
            </w:pPr>
          </w:p>
          <w:p w14:paraId="7B71267C" w14:textId="77777777" w:rsidR="00D824D3" w:rsidRPr="006B3CBD" w:rsidRDefault="00B63B5B">
            <w:pPr>
              <w:spacing w:after="120" w:line="360" w:lineRule="auto"/>
              <w:rPr>
                <w:rFonts w:ascii="Verdana" w:eastAsia="Verdana" w:hAnsi="Verdana" w:cs="Verdana"/>
                <w:bCs/>
                <w:color w:val="FFC000"/>
                <w:sz w:val="20"/>
                <w:szCs w:val="20"/>
              </w:rPr>
            </w:pPr>
            <w:r>
              <w:rPr>
                <w:rFonts w:ascii="Verdana" w:hAnsi="Verdana"/>
                <w:color w:val="FFC000"/>
                <w:sz w:val="20"/>
              </w:rPr>
              <w:t xml:space="preserve">Contact: </w:t>
            </w:r>
          </w:p>
          <w:p w14:paraId="3EDE60A1" w14:textId="45C07FB4" w:rsidR="00D824D3" w:rsidRPr="006B3CBD" w:rsidRDefault="00B63B5B">
            <w:pPr>
              <w:spacing w:after="120" w:line="360" w:lineRule="auto"/>
              <w:rPr>
                <w:rFonts w:ascii="Verdana" w:eastAsia="Verdana" w:hAnsi="Verdana" w:cs="Verdana"/>
                <w:bCs/>
                <w:color w:val="808080"/>
                <w:sz w:val="18"/>
                <w:szCs w:val="18"/>
              </w:rPr>
            </w:pPr>
            <w:proofErr w:type="spellStart"/>
            <w:r>
              <w:rPr>
                <w:rFonts w:ascii="Verdana" w:hAnsi="Verdana"/>
                <w:color w:val="808080"/>
                <w:sz w:val="18"/>
              </w:rPr>
              <w:t>Michał</w:t>
            </w:r>
            <w:proofErr w:type="spellEnd"/>
            <w:r>
              <w:rPr>
                <w:rFonts w:ascii="Verdana" w:hAnsi="Verdana"/>
                <w:color w:val="808080"/>
                <w:sz w:val="18"/>
              </w:rPr>
              <w:t xml:space="preserve"> </w:t>
            </w:r>
            <w:proofErr w:type="spellStart"/>
            <w:r>
              <w:rPr>
                <w:rFonts w:ascii="Verdana" w:hAnsi="Verdana"/>
                <w:color w:val="808080"/>
                <w:sz w:val="18"/>
              </w:rPr>
              <w:t>Wrzosek</w:t>
            </w:r>
            <w:proofErr w:type="spellEnd"/>
            <w:r>
              <w:rPr>
                <w:rFonts w:ascii="Verdana" w:hAnsi="Verdana"/>
                <w:color w:val="808080"/>
                <w:sz w:val="18"/>
              </w:rPr>
              <w:t xml:space="preserve"> – Spokesman</w:t>
            </w:r>
          </w:p>
          <w:p w14:paraId="742DC472" w14:textId="77777777" w:rsidR="00D824D3" w:rsidRPr="006B3CBD" w:rsidRDefault="00B63B5B">
            <w:pPr>
              <w:spacing w:line="360" w:lineRule="auto"/>
              <w:rPr>
                <w:rFonts w:ascii="Verdana" w:eastAsia="Verdana" w:hAnsi="Verdana" w:cs="Verdana"/>
                <w:bCs/>
                <w:color w:val="808080"/>
                <w:sz w:val="18"/>
                <w:szCs w:val="18"/>
              </w:rPr>
            </w:pPr>
            <w:r>
              <w:rPr>
                <w:rFonts w:ascii="Verdana" w:hAnsi="Verdana"/>
                <w:color w:val="808080"/>
                <w:sz w:val="18"/>
              </w:rPr>
              <w:t xml:space="preserve">phone (22) 62 36 164, 512 478 522, </w:t>
            </w:r>
          </w:p>
          <w:p w14:paraId="1AD63FF4" w14:textId="77777777" w:rsidR="00D824D3" w:rsidRPr="006B3CBD" w:rsidRDefault="00B87A85">
            <w:pPr>
              <w:spacing w:line="360" w:lineRule="auto"/>
              <w:rPr>
                <w:rFonts w:ascii="Verdana" w:eastAsia="Verdana" w:hAnsi="Verdana" w:cs="Verdana"/>
                <w:bCs/>
                <w:color w:val="808080"/>
                <w:sz w:val="18"/>
                <w:szCs w:val="18"/>
              </w:rPr>
            </w:pPr>
            <w:hyperlink r:id="rId13">
              <w:r w:rsidR="002B2953">
                <w:rPr>
                  <w:rFonts w:ascii="Verdana" w:hAnsi="Verdana"/>
                  <w:color w:val="808080"/>
                  <w:sz w:val="18"/>
                  <w:u w:val="single"/>
                </w:rPr>
                <w:t>michal.wrzosek@budimex.pl</w:t>
              </w:r>
            </w:hyperlink>
          </w:p>
          <w:p w14:paraId="286034E8" w14:textId="77777777" w:rsidR="00D824D3" w:rsidRPr="006B3CBD" w:rsidRDefault="00B87A85">
            <w:pPr>
              <w:spacing w:before="280" w:after="280" w:line="360" w:lineRule="auto"/>
              <w:jc w:val="both"/>
              <w:rPr>
                <w:rFonts w:ascii="Tahoma" w:eastAsia="Tahoma" w:hAnsi="Tahoma" w:cs="Tahoma"/>
                <w:bCs/>
                <w:color w:val="7F7F7F"/>
                <w:sz w:val="18"/>
                <w:szCs w:val="18"/>
              </w:rPr>
            </w:pPr>
            <w:hyperlink r:id="rId14">
              <w:r w:rsidR="002B2953">
                <w:rPr>
                  <w:rFonts w:ascii="Tahoma" w:hAnsi="Tahoma"/>
                  <w:color w:val="7F7F7F"/>
                  <w:sz w:val="18"/>
                  <w:u w:val="single"/>
                </w:rPr>
                <w:t>www.media.budimex.pl</w:t>
              </w:r>
            </w:hyperlink>
          </w:p>
          <w:p w14:paraId="0DDA63C7" w14:textId="77777777" w:rsidR="00D824D3" w:rsidRPr="006B3CBD" w:rsidRDefault="00D824D3">
            <w:pPr>
              <w:spacing w:line="360" w:lineRule="auto"/>
              <w:jc w:val="center"/>
              <w:rPr>
                <w:rFonts w:ascii="Tahoma" w:eastAsia="Tahoma" w:hAnsi="Tahoma" w:cs="Tahoma"/>
                <w:bCs/>
                <w:color w:val="FFC000"/>
              </w:rPr>
            </w:pPr>
          </w:p>
          <w:p w14:paraId="0E328550" w14:textId="77777777" w:rsidR="00D824D3" w:rsidRPr="006B3CBD" w:rsidRDefault="00D824D3">
            <w:pPr>
              <w:spacing w:line="360" w:lineRule="auto"/>
              <w:jc w:val="center"/>
              <w:rPr>
                <w:rFonts w:ascii="Tahoma" w:eastAsia="Tahoma" w:hAnsi="Tahoma" w:cs="Tahoma"/>
                <w:bCs/>
                <w:color w:val="FFC000"/>
              </w:rPr>
            </w:pPr>
          </w:p>
          <w:p w14:paraId="4331147F" w14:textId="77777777" w:rsidR="00D824D3" w:rsidRPr="006B3CBD" w:rsidRDefault="00D824D3">
            <w:pPr>
              <w:spacing w:line="360" w:lineRule="auto"/>
              <w:jc w:val="center"/>
              <w:rPr>
                <w:rFonts w:ascii="Tahoma" w:eastAsia="Tahoma" w:hAnsi="Tahoma" w:cs="Tahoma"/>
                <w:bCs/>
                <w:color w:val="FFC000"/>
              </w:rPr>
            </w:pPr>
          </w:p>
          <w:p w14:paraId="4CEC1C16" w14:textId="77777777" w:rsidR="00D824D3" w:rsidRPr="006B3CBD" w:rsidRDefault="00D824D3">
            <w:pPr>
              <w:spacing w:line="360" w:lineRule="auto"/>
              <w:jc w:val="center"/>
              <w:rPr>
                <w:rFonts w:ascii="Tahoma" w:eastAsia="Tahoma" w:hAnsi="Tahoma" w:cs="Tahoma"/>
                <w:bCs/>
                <w:color w:val="FFC000"/>
              </w:rPr>
            </w:pPr>
          </w:p>
        </w:tc>
      </w:tr>
    </w:tbl>
    <w:p w14:paraId="7916B9A7" w14:textId="77777777" w:rsidR="00114DA9" w:rsidRPr="006B3CBD" w:rsidRDefault="00114DA9" w:rsidP="00AD7834">
      <w:pPr>
        <w:spacing w:line="360" w:lineRule="auto"/>
        <w:ind w:right="1"/>
        <w:jc w:val="both"/>
        <w:rPr>
          <w:rFonts w:ascii="Tahoma" w:eastAsia="Tahoma" w:hAnsi="Tahoma" w:cs="Tahoma"/>
          <w:color w:val="808080"/>
          <w:sz w:val="18"/>
          <w:szCs w:val="18"/>
        </w:rPr>
      </w:pPr>
    </w:p>
    <w:sectPr w:rsidR="00114DA9" w:rsidRPr="006B3CBD" w:rsidSect="001E1249">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4823" w14:textId="77777777" w:rsidR="00B87A85" w:rsidRDefault="00B87A85">
      <w:pPr>
        <w:spacing w:after="0" w:line="240" w:lineRule="auto"/>
      </w:pPr>
      <w:r>
        <w:separator/>
      </w:r>
    </w:p>
  </w:endnote>
  <w:endnote w:type="continuationSeparator" w:id="0">
    <w:p w14:paraId="2AC9B997" w14:textId="77777777" w:rsidR="00B87A85" w:rsidRDefault="00B8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B0B8" w14:textId="77777777" w:rsidR="00B91D54" w:rsidRDefault="00B91D54" w:rsidP="00370F97">
    <w:pPr>
      <w:pBdr>
        <w:top w:val="nil"/>
        <w:left w:val="nil"/>
        <w:bottom w:val="nil"/>
        <w:right w:val="nil"/>
        <w:between w:val="nil"/>
      </w:pBdr>
      <w:tabs>
        <w:tab w:val="center" w:pos="4536"/>
        <w:tab w:val="right" w:pos="9072"/>
      </w:tabs>
      <w:spacing w:after="0" w:line="240" w:lineRule="auto"/>
      <w:rPr>
        <w:rFonts w:ascii="Tahoma" w:hAnsi="Tahoma" w:cs="Tahoma"/>
        <w:color w:val="7F7F7F" w:themeColor="text1" w:themeTint="80"/>
        <w:sz w:val="12"/>
        <w:szCs w:val="12"/>
      </w:rPr>
    </w:pPr>
  </w:p>
  <w:p w14:paraId="51F15B6A" w14:textId="77777777" w:rsidR="00D824D3" w:rsidRDefault="00D824D3" w:rsidP="00B91D54">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555D" w14:textId="77777777" w:rsidR="00B91D54" w:rsidRDefault="00B91D54" w:rsidP="00B91D54">
    <w:pPr>
      <w:pBdr>
        <w:top w:val="nil"/>
        <w:left w:val="nil"/>
        <w:bottom w:val="nil"/>
        <w:right w:val="nil"/>
        <w:between w:val="nil"/>
      </w:pBdr>
      <w:tabs>
        <w:tab w:val="center" w:pos="4536"/>
        <w:tab w:val="right" w:pos="9072"/>
      </w:tabs>
      <w:spacing w:after="0" w:line="240" w:lineRule="auto"/>
      <w:rPr>
        <w:rFonts w:ascii="Tahoma" w:hAnsi="Tahoma" w:cs="Tahoma"/>
        <w:color w:val="7F7F7F" w:themeColor="text1" w:themeTint="80"/>
        <w:sz w:val="12"/>
        <w:szCs w:val="12"/>
      </w:rPr>
    </w:pPr>
  </w:p>
  <w:p w14:paraId="31108A7B" w14:textId="77777777" w:rsidR="00B91D54" w:rsidRDefault="00B91D54" w:rsidP="00B91D54">
    <w:pPr>
      <w:pBdr>
        <w:top w:val="nil"/>
        <w:left w:val="nil"/>
        <w:bottom w:val="nil"/>
        <w:right w:val="nil"/>
        <w:between w:val="nil"/>
      </w:pBdr>
      <w:tabs>
        <w:tab w:val="center" w:pos="4536"/>
        <w:tab w:val="right" w:pos="9072"/>
      </w:tabs>
      <w:spacing w:after="0" w:line="240" w:lineRule="auto"/>
      <w:rPr>
        <w:rFonts w:ascii="Tahoma" w:hAnsi="Tahoma" w:cs="Tahoma"/>
        <w:color w:val="7F7F7F" w:themeColor="text1" w:themeTint="80"/>
        <w:sz w:val="12"/>
        <w:szCs w:val="12"/>
      </w:rPr>
    </w:pPr>
    <w:r>
      <w:rPr>
        <w:rFonts w:ascii="Tahoma" w:hAnsi="Tahoma"/>
        <w:color w:val="7F7F7F" w:themeColor="text1" w:themeTint="80"/>
        <w:sz w:val="12"/>
      </w:rPr>
      <w:t xml:space="preserve">*attributable to shareholders of the Parent Company </w:t>
    </w:r>
  </w:p>
  <w:p w14:paraId="629D6547" w14:textId="77777777" w:rsidR="00B91D54" w:rsidRPr="00307B02" w:rsidRDefault="00B91D54" w:rsidP="00B91D54">
    <w:pPr>
      <w:pBdr>
        <w:top w:val="nil"/>
        <w:left w:val="nil"/>
        <w:bottom w:val="nil"/>
        <w:right w:val="nil"/>
        <w:between w:val="nil"/>
      </w:pBdr>
      <w:tabs>
        <w:tab w:val="center" w:pos="4536"/>
        <w:tab w:val="right" w:pos="9072"/>
      </w:tabs>
      <w:spacing w:after="0" w:line="240" w:lineRule="auto"/>
      <w:rPr>
        <w:rFonts w:ascii="Tahoma" w:hAnsi="Tahoma" w:cs="Tahoma"/>
        <w:color w:val="7F7F7F" w:themeColor="text1" w:themeTint="80"/>
        <w:sz w:val="12"/>
        <w:szCs w:val="12"/>
      </w:rPr>
    </w:pPr>
    <w:r>
      <w:rPr>
        <w:rFonts w:ascii="Tahoma" w:hAnsi="Tahoma"/>
        <w:color w:val="7F7F7F" w:themeColor="text1" w:themeTint="80"/>
        <w:sz w:val="12"/>
      </w:rPr>
      <w:t xml:space="preserve">** settlement of the result on transactions between the construction and development segments in the amount of PLN 68 million due to the sale of </w:t>
    </w:r>
    <w:proofErr w:type="spellStart"/>
    <w:r>
      <w:rPr>
        <w:rFonts w:ascii="Tahoma" w:hAnsi="Tahoma"/>
        <w:color w:val="7F7F7F" w:themeColor="text1" w:themeTint="80"/>
        <w:sz w:val="12"/>
      </w:rPr>
      <w:t>Budimex</w:t>
    </w:r>
    <w:proofErr w:type="spellEnd"/>
    <w:r>
      <w:rPr>
        <w:rFonts w:ascii="Tahoma" w:hAnsi="Tahoma"/>
        <w:color w:val="7F7F7F" w:themeColor="text1" w:themeTint="80"/>
        <w:sz w:val="12"/>
      </w:rPr>
      <w:t xml:space="preserve"> </w:t>
    </w:r>
    <w:proofErr w:type="spellStart"/>
    <w:r>
      <w:rPr>
        <w:rFonts w:ascii="Tahoma" w:hAnsi="Tahoma"/>
        <w:color w:val="7F7F7F" w:themeColor="text1" w:themeTint="80"/>
        <w:sz w:val="12"/>
      </w:rPr>
      <w:t>Nieruchomości</w:t>
    </w:r>
    <w:proofErr w:type="spellEnd"/>
  </w:p>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142A2" w14:textId="77777777" w:rsidR="00B87A85" w:rsidRDefault="00B87A85">
      <w:pPr>
        <w:spacing w:after="0" w:line="240" w:lineRule="auto"/>
      </w:pPr>
      <w:r>
        <w:separator/>
      </w:r>
    </w:p>
  </w:footnote>
  <w:footnote w:type="continuationSeparator" w:id="0">
    <w:p w14:paraId="4CACC7CA" w14:textId="77777777" w:rsidR="00B87A85" w:rsidRDefault="00B87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F148" w14:textId="77777777" w:rsidR="00D824D3" w:rsidRDefault="00B63B5B">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lang w:val="pl-PL"/>
      </w:rPr>
      <w:drawing>
        <wp:anchor distT="0" distB="0" distL="114300" distR="114300" simplePos="0" relativeHeight="251658240" behindDoc="0" locked="0" layoutInCell="1" hidden="0" allowOverlap="1" wp14:anchorId="126564C0" wp14:editId="56D6C67B">
          <wp:simplePos x="0" y="0"/>
          <wp:positionH relativeFrom="column">
            <wp:posOffset>764</wp:posOffset>
          </wp:positionH>
          <wp:positionV relativeFrom="paragraph">
            <wp:posOffset>693</wp:posOffset>
          </wp:positionV>
          <wp:extent cx="1396800" cy="47880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153E2250" w14:textId="77777777" w:rsidR="00D824D3" w:rsidRDefault="00B63B5B">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hAnsi="Tahoma"/>
        <w:b/>
        <w:color w:val="808080"/>
        <w:sz w:val="28"/>
      </w:rPr>
      <w:t>Press release</w:t>
    </w:r>
  </w:p>
  <w:p w14:paraId="0BB711A9" w14:textId="77777777" w:rsidR="00D824D3" w:rsidRDefault="00D824D3">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ABB07B9"/>
    <w:multiLevelType w:val="hybridMultilevel"/>
    <w:tmpl w:val="FFAAB1F4"/>
    <w:lvl w:ilvl="0" w:tplc="4C107D68">
      <w:start w:val="1"/>
      <w:numFmt w:val="bullet"/>
      <w:lvlText w:val=""/>
      <w:lvlJc w:val="left"/>
      <w:pPr>
        <w:ind w:left="720" w:hanging="360"/>
      </w:pPr>
      <w:rPr>
        <w:rFonts w:ascii="Wingdings" w:hAnsi="Wingdings" w:hint="default"/>
        <w:color w:val="F2B8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3">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4">
    <w:nsid w:val="59DC208A"/>
    <w:multiLevelType w:val="hybridMultilevel"/>
    <w:tmpl w:val="BF0CAEC4"/>
    <w:lvl w:ilvl="0" w:tplc="75D4C922">
      <w:start w:val="8"/>
      <w:numFmt w:val="bullet"/>
      <w:lvlText w:val=""/>
      <w:lvlJc w:val="left"/>
      <w:pPr>
        <w:ind w:left="720" w:hanging="360"/>
      </w:pPr>
      <w:rPr>
        <w:rFonts w:ascii="Symbol" w:eastAsia="Calibri"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D3"/>
    <w:rsid w:val="0000037E"/>
    <w:rsid w:val="0000116D"/>
    <w:rsid w:val="00002FA2"/>
    <w:rsid w:val="00005901"/>
    <w:rsid w:val="0001222E"/>
    <w:rsid w:val="00013F8F"/>
    <w:rsid w:val="000150C1"/>
    <w:rsid w:val="0001727E"/>
    <w:rsid w:val="00022253"/>
    <w:rsid w:val="00027A52"/>
    <w:rsid w:val="00033E0B"/>
    <w:rsid w:val="00033E4A"/>
    <w:rsid w:val="00033EEE"/>
    <w:rsid w:val="0003691C"/>
    <w:rsid w:val="00037D56"/>
    <w:rsid w:val="00044B01"/>
    <w:rsid w:val="00047072"/>
    <w:rsid w:val="000471E4"/>
    <w:rsid w:val="00053488"/>
    <w:rsid w:val="00053E58"/>
    <w:rsid w:val="00057DE3"/>
    <w:rsid w:val="000602EE"/>
    <w:rsid w:val="00061F85"/>
    <w:rsid w:val="0006314F"/>
    <w:rsid w:val="000644F6"/>
    <w:rsid w:val="00075CF5"/>
    <w:rsid w:val="00081ED0"/>
    <w:rsid w:val="00083EB2"/>
    <w:rsid w:val="0008411D"/>
    <w:rsid w:val="0008413C"/>
    <w:rsid w:val="00084D2C"/>
    <w:rsid w:val="000908AD"/>
    <w:rsid w:val="000920F6"/>
    <w:rsid w:val="000935B7"/>
    <w:rsid w:val="00093B38"/>
    <w:rsid w:val="00093C5B"/>
    <w:rsid w:val="00094318"/>
    <w:rsid w:val="00096E60"/>
    <w:rsid w:val="00097486"/>
    <w:rsid w:val="000A0D19"/>
    <w:rsid w:val="000A29DB"/>
    <w:rsid w:val="000A4C94"/>
    <w:rsid w:val="000A7E00"/>
    <w:rsid w:val="000B2B42"/>
    <w:rsid w:val="000B570C"/>
    <w:rsid w:val="000B7985"/>
    <w:rsid w:val="000C0857"/>
    <w:rsid w:val="000C096B"/>
    <w:rsid w:val="000C18CA"/>
    <w:rsid w:val="000C214E"/>
    <w:rsid w:val="000C2208"/>
    <w:rsid w:val="000C3152"/>
    <w:rsid w:val="000C3C66"/>
    <w:rsid w:val="000C5C36"/>
    <w:rsid w:val="000C60FB"/>
    <w:rsid w:val="000D03E0"/>
    <w:rsid w:val="000D2CDC"/>
    <w:rsid w:val="000D2DAA"/>
    <w:rsid w:val="000D3606"/>
    <w:rsid w:val="000D4CA2"/>
    <w:rsid w:val="000D51F1"/>
    <w:rsid w:val="000D7686"/>
    <w:rsid w:val="000E2F84"/>
    <w:rsid w:val="000E35A1"/>
    <w:rsid w:val="000E4D10"/>
    <w:rsid w:val="000E6B31"/>
    <w:rsid w:val="000E7831"/>
    <w:rsid w:val="000F5015"/>
    <w:rsid w:val="000F5241"/>
    <w:rsid w:val="000F734A"/>
    <w:rsid w:val="0010161C"/>
    <w:rsid w:val="00103FBA"/>
    <w:rsid w:val="00106347"/>
    <w:rsid w:val="00107582"/>
    <w:rsid w:val="00107A4A"/>
    <w:rsid w:val="00114DA9"/>
    <w:rsid w:val="00120F42"/>
    <w:rsid w:val="00125739"/>
    <w:rsid w:val="00131EA2"/>
    <w:rsid w:val="00132F8C"/>
    <w:rsid w:val="00135A1E"/>
    <w:rsid w:val="00135E14"/>
    <w:rsid w:val="00136D8F"/>
    <w:rsid w:val="00136E8F"/>
    <w:rsid w:val="001378BE"/>
    <w:rsid w:val="001415FC"/>
    <w:rsid w:val="00145BBB"/>
    <w:rsid w:val="0015239C"/>
    <w:rsid w:val="00154AF9"/>
    <w:rsid w:val="001607E6"/>
    <w:rsid w:val="00160DCD"/>
    <w:rsid w:val="00160FCA"/>
    <w:rsid w:val="001622C7"/>
    <w:rsid w:val="00164288"/>
    <w:rsid w:val="001652FF"/>
    <w:rsid w:val="0016660D"/>
    <w:rsid w:val="001667D4"/>
    <w:rsid w:val="00166901"/>
    <w:rsid w:val="00171E71"/>
    <w:rsid w:val="0017491F"/>
    <w:rsid w:val="00174AB9"/>
    <w:rsid w:val="00175396"/>
    <w:rsid w:val="00176796"/>
    <w:rsid w:val="0017696D"/>
    <w:rsid w:val="00176B23"/>
    <w:rsid w:val="00180C6A"/>
    <w:rsid w:val="00180DCA"/>
    <w:rsid w:val="00183716"/>
    <w:rsid w:val="00184033"/>
    <w:rsid w:val="00184B5B"/>
    <w:rsid w:val="0019013E"/>
    <w:rsid w:val="001906A3"/>
    <w:rsid w:val="00191813"/>
    <w:rsid w:val="00192F14"/>
    <w:rsid w:val="001931BE"/>
    <w:rsid w:val="00193800"/>
    <w:rsid w:val="00195E85"/>
    <w:rsid w:val="00196E4D"/>
    <w:rsid w:val="001A13BD"/>
    <w:rsid w:val="001A4444"/>
    <w:rsid w:val="001A4687"/>
    <w:rsid w:val="001A5E03"/>
    <w:rsid w:val="001B18F8"/>
    <w:rsid w:val="001B1BBC"/>
    <w:rsid w:val="001B3A88"/>
    <w:rsid w:val="001B53AC"/>
    <w:rsid w:val="001C1EA7"/>
    <w:rsid w:val="001C2978"/>
    <w:rsid w:val="001C6BED"/>
    <w:rsid w:val="001C78CD"/>
    <w:rsid w:val="001D12F7"/>
    <w:rsid w:val="001D1508"/>
    <w:rsid w:val="001D3722"/>
    <w:rsid w:val="001D3BBF"/>
    <w:rsid w:val="001D574C"/>
    <w:rsid w:val="001D6623"/>
    <w:rsid w:val="001D6D47"/>
    <w:rsid w:val="001D7AD1"/>
    <w:rsid w:val="001E1249"/>
    <w:rsid w:val="001E2FCE"/>
    <w:rsid w:val="001E5D2F"/>
    <w:rsid w:val="001E5F16"/>
    <w:rsid w:val="001E6465"/>
    <w:rsid w:val="001E655D"/>
    <w:rsid w:val="001E6EA7"/>
    <w:rsid w:val="001F1798"/>
    <w:rsid w:val="001F3AC1"/>
    <w:rsid w:val="001F3B78"/>
    <w:rsid w:val="001F5301"/>
    <w:rsid w:val="001F540C"/>
    <w:rsid w:val="001F77AB"/>
    <w:rsid w:val="00200282"/>
    <w:rsid w:val="00205C0B"/>
    <w:rsid w:val="00206929"/>
    <w:rsid w:val="00207D56"/>
    <w:rsid w:val="00210B3A"/>
    <w:rsid w:val="00210B70"/>
    <w:rsid w:val="002117E9"/>
    <w:rsid w:val="0021267C"/>
    <w:rsid w:val="0022070B"/>
    <w:rsid w:val="00221758"/>
    <w:rsid w:val="00227709"/>
    <w:rsid w:val="00231D2D"/>
    <w:rsid w:val="002332A6"/>
    <w:rsid w:val="00234145"/>
    <w:rsid w:val="00235BCA"/>
    <w:rsid w:val="0023777F"/>
    <w:rsid w:val="00241059"/>
    <w:rsid w:val="002431E6"/>
    <w:rsid w:val="002451CA"/>
    <w:rsid w:val="00246369"/>
    <w:rsid w:val="00247108"/>
    <w:rsid w:val="00252A58"/>
    <w:rsid w:val="002560E2"/>
    <w:rsid w:val="0025729C"/>
    <w:rsid w:val="002572B2"/>
    <w:rsid w:val="0026041E"/>
    <w:rsid w:val="002606E5"/>
    <w:rsid w:val="0026199D"/>
    <w:rsid w:val="00265779"/>
    <w:rsid w:val="002666B2"/>
    <w:rsid w:val="00267095"/>
    <w:rsid w:val="00270259"/>
    <w:rsid w:val="002705D2"/>
    <w:rsid w:val="00271E13"/>
    <w:rsid w:val="00275C75"/>
    <w:rsid w:val="00276417"/>
    <w:rsid w:val="002773EE"/>
    <w:rsid w:val="002831E6"/>
    <w:rsid w:val="00285DE9"/>
    <w:rsid w:val="00286464"/>
    <w:rsid w:val="00287756"/>
    <w:rsid w:val="00291889"/>
    <w:rsid w:val="002925D8"/>
    <w:rsid w:val="002A1DF2"/>
    <w:rsid w:val="002A381C"/>
    <w:rsid w:val="002A4384"/>
    <w:rsid w:val="002A4949"/>
    <w:rsid w:val="002A5397"/>
    <w:rsid w:val="002A572C"/>
    <w:rsid w:val="002A6649"/>
    <w:rsid w:val="002A6E36"/>
    <w:rsid w:val="002B24AA"/>
    <w:rsid w:val="002B2953"/>
    <w:rsid w:val="002B2FB1"/>
    <w:rsid w:val="002B47CE"/>
    <w:rsid w:val="002B6F72"/>
    <w:rsid w:val="002B77BF"/>
    <w:rsid w:val="002C0A13"/>
    <w:rsid w:val="002C4D36"/>
    <w:rsid w:val="002C5FCC"/>
    <w:rsid w:val="002C71F2"/>
    <w:rsid w:val="002D0A73"/>
    <w:rsid w:val="002E348B"/>
    <w:rsid w:val="002E4678"/>
    <w:rsid w:val="002E4732"/>
    <w:rsid w:val="002E4EBF"/>
    <w:rsid w:val="002E6591"/>
    <w:rsid w:val="002F05BE"/>
    <w:rsid w:val="002F2A15"/>
    <w:rsid w:val="002F35F7"/>
    <w:rsid w:val="002F403D"/>
    <w:rsid w:val="002F7454"/>
    <w:rsid w:val="003023A0"/>
    <w:rsid w:val="0030310D"/>
    <w:rsid w:val="00303BED"/>
    <w:rsid w:val="00306169"/>
    <w:rsid w:val="00310980"/>
    <w:rsid w:val="00312C4B"/>
    <w:rsid w:val="00314819"/>
    <w:rsid w:val="0031612E"/>
    <w:rsid w:val="00317B7C"/>
    <w:rsid w:val="00323D83"/>
    <w:rsid w:val="0032459A"/>
    <w:rsid w:val="003252BD"/>
    <w:rsid w:val="00326202"/>
    <w:rsid w:val="00330315"/>
    <w:rsid w:val="00330932"/>
    <w:rsid w:val="00335E0E"/>
    <w:rsid w:val="003371B4"/>
    <w:rsid w:val="00337C34"/>
    <w:rsid w:val="00337F4C"/>
    <w:rsid w:val="003413EC"/>
    <w:rsid w:val="00343F41"/>
    <w:rsid w:val="00346FA9"/>
    <w:rsid w:val="00347532"/>
    <w:rsid w:val="00352719"/>
    <w:rsid w:val="00355A2C"/>
    <w:rsid w:val="00356480"/>
    <w:rsid w:val="00356CFD"/>
    <w:rsid w:val="00357363"/>
    <w:rsid w:val="00360B0E"/>
    <w:rsid w:val="003627F3"/>
    <w:rsid w:val="00366B19"/>
    <w:rsid w:val="00370F97"/>
    <w:rsid w:val="003711C0"/>
    <w:rsid w:val="00371E1A"/>
    <w:rsid w:val="003734D3"/>
    <w:rsid w:val="00374264"/>
    <w:rsid w:val="00375A37"/>
    <w:rsid w:val="00377098"/>
    <w:rsid w:val="00377CBB"/>
    <w:rsid w:val="00380BE2"/>
    <w:rsid w:val="00382683"/>
    <w:rsid w:val="0038295F"/>
    <w:rsid w:val="00383BB6"/>
    <w:rsid w:val="00384766"/>
    <w:rsid w:val="0038504E"/>
    <w:rsid w:val="003858D5"/>
    <w:rsid w:val="00385D4D"/>
    <w:rsid w:val="003878B7"/>
    <w:rsid w:val="00391753"/>
    <w:rsid w:val="00392761"/>
    <w:rsid w:val="00392AC2"/>
    <w:rsid w:val="003A0B81"/>
    <w:rsid w:val="003A57DA"/>
    <w:rsid w:val="003A606F"/>
    <w:rsid w:val="003A74B7"/>
    <w:rsid w:val="003B0A15"/>
    <w:rsid w:val="003B2692"/>
    <w:rsid w:val="003B3277"/>
    <w:rsid w:val="003B4665"/>
    <w:rsid w:val="003C0EF3"/>
    <w:rsid w:val="003C2CDF"/>
    <w:rsid w:val="003C6385"/>
    <w:rsid w:val="003C69DD"/>
    <w:rsid w:val="003D3455"/>
    <w:rsid w:val="003D4369"/>
    <w:rsid w:val="003D46A5"/>
    <w:rsid w:val="003D4B50"/>
    <w:rsid w:val="003D66BD"/>
    <w:rsid w:val="003E1C5E"/>
    <w:rsid w:val="003E4795"/>
    <w:rsid w:val="003F0366"/>
    <w:rsid w:val="003F06B9"/>
    <w:rsid w:val="003F3494"/>
    <w:rsid w:val="003F479C"/>
    <w:rsid w:val="003F5AEC"/>
    <w:rsid w:val="003F602C"/>
    <w:rsid w:val="0040098B"/>
    <w:rsid w:val="00402753"/>
    <w:rsid w:val="00403563"/>
    <w:rsid w:val="00404F7F"/>
    <w:rsid w:val="00405427"/>
    <w:rsid w:val="00406D9D"/>
    <w:rsid w:val="00407F67"/>
    <w:rsid w:val="00415D20"/>
    <w:rsid w:val="0041688E"/>
    <w:rsid w:val="00416AEA"/>
    <w:rsid w:val="00416C98"/>
    <w:rsid w:val="00416EE9"/>
    <w:rsid w:val="0042081D"/>
    <w:rsid w:val="004226D7"/>
    <w:rsid w:val="00423508"/>
    <w:rsid w:val="00424ADA"/>
    <w:rsid w:val="00426430"/>
    <w:rsid w:val="0042684D"/>
    <w:rsid w:val="004319E6"/>
    <w:rsid w:val="00433D19"/>
    <w:rsid w:val="00436242"/>
    <w:rsid w:val="0044227C"/>
    <w:rsid w:val="004441EA"/>
    <w:rsid w:val="0044439A"/>
    <w:rsid w:val="00447762"/>
    <w:rsid w:val="00450B7A"/>
    <w:rsid w:val="004510B2"/>
    <w:rsid w:val="00452E75"/>
    <w:rsid w:val="00453309"/>
    <w:rsid w:val="0045401E"/>
    <w:rsid w:val="00455C51"/>
    <w:rsid w:val="00456535"/>
    <w:rsid w:val="00456600"/>
    <w:rsid w:val="00456A67"/>
    <w:rsid w:val="004609BE"/>
    <w:rsid w:val="0046106B"/>
    <w:rsid w:val="00463013"/>
    <w:rsid w:val="00463DBB"/>
    <w:rsid w:val="00464544"/>
    <w:rsid w:val="00464F3F"/>
    <w:rsid w:val="00465DC4"/>
    <w:rsid w:val="00467362"/>
    <w:rsid w:val="00467924"/>
    <w:rsid w:val="0047134A"/>
    <w:rsid w:val="00471B82"/>
    <w:rsid w:val="004763AA"/>
    <w:rsid w:val="00486407"/>
    <w:rsid w:val="004908F1"/>
    <w:rsid w:val="00493212"/>
    <w:rsid w:val="004A002F"/>
    <w:rsid w:val="004A1C0D"/>
    <w:rsid w:val="004A25A7"/>
    <w:rsid w:val="004A2737"/>
    <w:rsid w:val="004A417F"/>
    <w:rsid w:val="004A41FB"/>
    <w:rsid w:val="004A4455"/>
    <w:rsid w:val="004B19B6"/>
    <w:rsid w:val="004B3629"/>
    <w:rsid w:val="004B4F60"/>
    <w:rsid w:val="004B5A39"/>
    <w:rsid w:val="004C0D54"/>
    <w:rsid w:val="004C1457"/>
    <w:rsid w:val="004C2725"/>
    <w:rsid w:val="004C73F6"/>
    <w:rsid w:val="004D0CC7"/>
    <w:rsid w:val="004D1903"/>
    <w:rsid w:val="004D2122"/>
    <w:rsid w:val="004D50F3"/>
    <w:rsid w:val="004D5354"/>
    <w:rsid w:val="004D578B"/>
    <w:rsid w:val="004D57DB"/>
    <w:rsid w:val="004D5A7C"/>
    <w:rsid w:val="004D6574"/>
    <w:rsid w:val="004D7BB2"/>
    <w:rsid w:val="004E039F"/>
    <w:rsid w:val="004E053D"/>
    <w:rsid w:val="004E0543"/>
    <w:rsid w:val="004E25E2"/>
    <w:rsid w:val="004E3670"/>
    <w:rsid w:val="004E3BF3"/>
    <w:rsid w:val="004E4375"/>
    <w:rsid w:val="004E514D"/>
    <w:rsid w:val="004E664B"/>
    <w:rsid w:val="004E7219"/>
    <w:rsid w:val="004E7872"/>
    <w:rsid w:val="004E799B"/>
    <w:rsid w:val="004F10E4"/>
    <w:rsid w:val="004F4FC5"/>
    <w:rsid w:val="004F5F2B"/>
    <w:rsid w:val="004F656D"/>
    <w:rsid w:val="004F7ECA"/>
    <w:rsid w:val="0050050B"/>
    <w:rsid w:val="0050128F"/>
    <w:rsid w:val="005030B7"/>
    <w:rsid w:val="00503853"/>
    <w:rsid w:val="00504191"/>
    <w:rsid w:val="00512A6B"/>
    <w:rsid w:val="00513957"/>
    <w:rsid w:val="0051552D"/>
    <w:rsid w:val="00517459"/>
    <w:rsid w:val="00521A31"/>
    <w:rsid w:val="00522CB9"/>
    <w:rsid w:val="00523279"/>
    <w:rsid w:val="0052392A"/>
    <w:rsid w:val="00523965"/>
    <w:rsid w:val="00525892"/>
    <w:rsid w:val="0052598A"/>
    <w:rsid w:val="0052662F"/>
    <w:rsid w:val="005319A4"/>
    <w:rsid w:val="0053398D"/>
    <w:rsid w:val="00534628"/>
    <w:rsid w:val="0053503C"/>
    <w:rsid w:val="005403F2"/>
    <w:rsid w:val="00542983"/>
    <w:rsid w:val="00543269"/>
    <w:rsid w:val="00544554"/>
    <w:rsid w:val="00544A7C"/>
    <w:rsid w:val="00546B9C"/>
    <w:rsid w:val="0055003D"/>
    <w:rsid w:val="00551364"/>
    <w:rsid w:val="00552AF7"/>
    <w:rsid w:val="00553801"/>
    <w:rsid w:val="005539C6"/>
    <w:rsid w:val="00556C60"/>
    <w:rsid w:val="0056066B"/>
    <w:rsid w:val="005623F5"/>
    <w:rsid w:val="00562455"/>
    <w:rsid w:val="0056344B"/>
    <w:rsid w:val="00563A0B"/>
    <w:rsid w:val="00564E8C"/>
    <w:rsid w:val="005717E9"/>
    <w:rsid w:val="005742D9"/>
    <w:rsid w:val="00574EC5"/>
    <w:rsid w:val="00576F77"/>
    <w:rsid w:val="00583F60"/>
    <w:rsid w:val="0058424C"/>
    <w:rsid w:val="00584EAB"/>
    <w:rsid w:val="0058616F"/>
    <w:rsid w:val="005938AF"/>
    <w:rsid w:val="0059770F"/>
    <w:rsid w:val="00597B7F"/>
    <w:rsid w:val="005A462A"/>
    <w:rsid w:val="005A4ACD"/>
    <w:rsid w:val="005A5043"/>
    <w:rsid w:val="005B039B"/>
    <w:rsid w:val="005B155B"/>
    <w:rsid w:val="005B248C"/>
    <w:rsid w:val="005B3CF6"/>
    <w:rsid w:val="005B5026"/>
    <w:rsid w:val="005C07AB"/>
    <w:rsid w:val="005C2FFD"/>
    <w:rsid w:val="005C58F7"/>
    <w:rsid w:val="005C7276"/>
    <w:rsid w:val="005D25D3"/>
    <w:rsid w:val="005D2740"/>
    <w:rsid w:val="005D704A"/>
    <w:rsid w:val="005D7C59"/>
    <w:rsid w:val="005E0107"/>
    <w:rsid w:val="005E090C"/>
    <w:rsid w:val="005E19C4"/>
    <w:rsid w:val="005E2831"/>
    <w:rsid w:val="005E3E65"/>
    <w:rsid w:val="005E4881"/>
    <w:rsid w:val="005F1CF1"/>
    <w:rsid w:val="005F279F"/>
    <w:rsid w:val="005F3B41"/>
    <w:rsid w:val="005F4BD2"/>
    <w:rsid w:val="005F65B4"/>
    <w:rsid w:val="005F673F"/>
    <w:rsid w:val="005F6802"/>
    <w:rsid w:val="005F6D3C"/>
    <w:rsid w:val="005F75ED"/>
    <w:rsid w:val="005F78EB"/>
    <w:rsid w:val="005F7CFF"/>
    <w:rsid w:val="00602221"/>
    <w:rsid w:val="00602232"/>
    <w:rsid w:val="006054E5"/>
    <w:rsid w:val="00607CC8"/>
    <w:rsid w:val="00610F49"/>
    <w:rsid w:val="00611BD0"/>
    <w:rsid w:val="006137A4"/>
    <w:rsid w:val="00614132"/>
    <w:rsid w:val="00614964"/>
    <w:rsid w:val="00615980"/>
    <w:rsid w:val="00620010"/>
    <w:rsid w:val="00620D19"/>
    <w:rsid w:val="006217C8"/>
    <w:rsid w:val="006221EC"/>
    <w:rsid w:val="006232CF"/>
    <w:rsid w:val="00624E80"/>
    <w:rsid w:val="006252BE"/>
    <w:rsid w:val="006273F5"/>
    <w:rsid w:val="006335D0"/>
    <w:rsid w:val="00634818"/>
    <w:rsid w:val="00636727"/>
    <w:rsid w:val="00636F6F"/>
    <w:rsid w:val="0064310D"/>
    <w:rsid w:val="00644276"/>
    <w:rsid w:val="00650F76"/>
    <w:rsid w:val="006511B1"/>
    <w:rsid w:val="006514B7"/>
    <w:rsid w:val="00651C6F"/>
    <w:rsid w:val="00652414"/>
    <w:rsid w:val="00652B5E"/>
    <w:rsid w:val="00653204"/>
    <w:rsid w:val="00654036"/>
    <w:rsid w:val="00654549"/>
    <w:rsid w:val="0065707F"/>
    <w:rsid w:val="0066033C"/>
    <w:rsid w:val="00660924"/>
    <w:rsid w:val="00660A27"/>
    <w:rsid w:val="00661489"/>
    <w:rsid w:val="00661E49"/>
    <w:rsid w:val="00662B0E"/>
    <w:rsid w:val="00664E3D"/>
    <w:rsid w:val="00665EE0"/>
    <w:rsid w:val="0067655C"/>
    <w:rsid w:val="00684AEF"/>
    <w:rsid w:val="00685FB2"/>
    <w:rsid w:val="006908D3"/>
    <w:rsid w:val="00691304"/>
    <w:rsid w:val="006913B6"/>
    <w:rsid w:val="006943AF"/>
    <w:rsid w:val="006A1C56"/>
    <w:rsid w:val="006A681B"/>
    <w:rsid w:val="006B12A4"/>
    <w:rsid w:val="006B342C"/>
    <w:rsid w:val="006B3CBD"/>
    <w:rsid w:val="006B4024"/>
    <w:rsid w:val="006B4545"/>
    <w:rsid w:val="006B4A0C"/>
    <w:rsid w:val="006B4E16"/>
    <w:rsid w:val="006B4EE8"/>
    <w:rsid w:val="006B683D"/>
    <w:rsid w:val="006B703B"/>
    <w:rsid w:val="006B7429"/>
    <w:rsid w:val="006C0DB9"/>
    <w:rsid w:val="006C53CF"/>
    <w:rsid w:val="006C6035"/>
    <w:rsid w:val="006D060D"/>
    <w:rsid w:val="006D2F95"/>
    <w:rsid w:val="006D5288"/>
    <w:rsid w:val="006D546B"/>
    <w:rsid w:val="006D640A"/>
    <w:rsid w:val="006D721C"/>
    <w:rsid w:val="006E0023"/>
    <w:rsid w:val="006E130B"/>
    <w:rsid w:val="006E238E"/>
    <w:rsid w:val="006E566D"/>
    <w:rsid w:val="006E5944"/>
    <w:rsid w:val="006E61C6"/>
    <w:rsid w:val="006E716B"/>
    <w:rsid w:val="006F215D"/>
    <w:rsid w:val="006F30C5"/>
    <w:rsid w:val="006F3FA9"/>
    <w:rsid w:val="006F6681"/>
    <w:rsid w:val="007012C0"/>
    <w:rsid w:val="00701930"/>
    <w:rsid w:val="00702E01"/>
    <w:rsid w:val="007036B9"/>
    <w:rsid w:val="007036CC"/>
    <w:rsid w:val="00703F19"/>
    <w:rsid w:val="00704F7D"/>
    <w:rsid w:val="00705048"/>
    <w:rsid w:val="007065F1"/>
    <w:rsid w:val="00707906"/>
    <w:rsid w:val="0071028C"/>
    <w:rsid w:val="00710618"/>
    <w:rsid w:val="00710E33"/>
    <w:rsid w:val="007115F5"/>
    <w:rsid w:val="00712B2C"/>
    <w:rsid w:val="007143D6"/>
    <w:rsid w:val="007157E1"/>
    <w:rsid w:val="007163CA"/>
    <w:rsid w:val="007172F7"/>
    <w:rsid w:val="00717A8C"/>
    <w:rsid w:val="00725A96"/>
    <w:rsid w:val="00726BDF"/>
    <w:rsid w:val="00734DF8"/>
    <w:rsid w:val="007403BF"/>
    <w:rsid w:val="007426FD"/>
    <w:rsid w:val="007429FA"/>
    <w:rsid w:val="00743400"/>
    <w:rsid w:val="00747448"/>
    <w:rsid w:val="00747599"/>
    <w:rsid w:val="00756852"/>
    <w:rsid w:val="00762BB9"/>
    <w:rsid w:val="007659C0"/>
    <w:rsid w:val="0076763E"/>
    <w:rsid w:val="00770099"/>
    <w:rsid w:val="007724D1"/>
    <w:rsid w:val="00775143"/>
    <w:rsid w:val="00775CAB"/>
    <w:rsid w:val="00777306"/>
    <w:rsid w:val="00777A92"/>
    <w:rsid w:val="00787F6A"/>
    <w:rsid w:val="00794031"/>
    <w:rsid w:val="007A46C1"/>
    <w:rsid w:val="007A6067"/>
    <w:rsid w:val="007A7C81"/>
    <w:rsid w:val="007B4EE7"/>
    <w:rsid w:val="007B6206"/>
    <w:rsid w:val="007B690F"/>
    <w:rsid w:val="007C3807"/>
    <w:rsid w:val="007C4AED"/>
    <w:rsid w:val="007C69AF"/>
    <w:rsid w:val="007C6D66"/>
    <w:rsid w:val="007C79AA"/>
    <w:rsid w:val="007D043C"/>
    <w:rsid w:val="007D1936"/>
    <w:rsid w:val="007D1D38"/>
    <w:rsid w:val="007D5978"/>
    <w:rsid w:val="007D6975"/>
    <w:rsid w:val="007D7046"/>
    <w:rsid w:val="007D790E"/>
    <w:rsid w:val="007D7917"/>
    <w:rsid w:val="007E19BC"/>
    <w:rsid w:val="007E5EC4"/>
    <w:rsid w:val="007E7F07"/>
    <w:rsid w:val="007F0AAC"/>
    <w:rsid w:val="007F4369"/>
    <w:rsid w:val="007F54CB"/>
    <w:rsid w:val="007F775D"/>
    <w:rsid w:val="00803A9E"/>
    <w:rsid w:val="00803C03"/>
    <w:rsid w:val="00804DC5"/>
    <w:rsid w:val="00806358"/>
    <w:rsid w:val="00806625"/>
    <w:rsid w:val="008071F7"/>
    <w:rsid w:val="0080729F"/>
    <w:rsid w:val="00807C4C"/>
    <w:rsid w:val="00810CB0"/>
    <w:rsid w:val="00811901"/>
    <w:rsid w:val="00812EB6"/>
    <w:rsid w:val="00815619"/>
    <w:rsid w:val="00815E45"/>
    <w:rsid w:val="00821985"/>
    <w:rsid w:val="008230DA"/>
    <w:rsid w:val="00824271"/>
    <w:rsid w:val="00825F7A"/>
    <w:rsid w:val="00825FA7"/>
    <w:rsid w:val="00827494"/>
    <w:rsid w:val="00827982"/>
    <w:rsid w:val="008349A3"/>
    <w:rsid w:val="00834C94"/>
    <w:rsid w:val="008373EA"/>
    <w:rsid w:val="00840917"/>
    <w:rsid w:val="00841029"/>
    <w:rsid w:val="0084522C"/>
    <w:rsid w:val="00850178"/>
    <w:rsid w:val="00850757"/>
    <w:rsid w:val="0085210D"/>
    <w:rsid w:val="00854FCC"/>
    <w:rsid w:val="00861343"/>
    <w:rsid w:val="0086463D"/>
    <w:rsid w:val="00865026"/>
    <w:rsid w:val="00867B13"/>
    <w:rsid w:val="00871CAB"/>
    <w:rsid w:val="00872C41"/>
    <w:rsid w:val="0087361F"/>
    <w:rsid w:val="0087588D"/>
    <w:rsid w:val="00875C77"/>
    <w:rsid w:val="00875D93"/>
    <w:rsid w:val="008763FD"/>
    <w:rsid w:val="00876905"/>
    <w:rsid w:val="00887135"/>
    <w:rsid w:val="00890BCD"/>
    <w:rsid w:val="00892731"/>
    <w:rsid w:val="00893D6E"/>
    <w:rsid w:val="0089402B"/>
    <w:rsid w:val="00895F6D"/>
    <w:rsid w:val="00896224"/>
    <w:rsid w:val="008A0044"/>
    <w:rsid w:val="008A1549"/>
    <w:rsid w:val="008A32BF"/>
    <w:rsid w:val="008A625B"/>
    <w:rsid w:val="008A6A8C"/>
    <w:rsid w:val="008A765A"/>
    <w:rsid w:val="008B17C9"/>
    <w:rsid w:val="008B19CA"/>
    <w:rsid w:val="008B1D6D"/>
    <w:rsid w:val="008B3575"/>
    <w:rsid w:val="008B4080"/>
    <w:rsid w:val="008C2D2B"/>
    <w:rsid w:val="008C3396"/>
    <w:rsid w:val="008C3407"/>
    <w:rsid w:val="008C3B72"/>
    <w:rsid w:val="008D1ACD"/>
    <w:rsid w:val="008D3344"/>
    <w:rsid w:val="008D3B53"/>
    <w:rsid w:val="008D6295"/>
    <w:rsid w:val="008E16A4"/>
    <w:rsid w:val="008E179B"/>
    <w:rsid w:val="008E2FA2"/>
    <w:rsid w:val="008E49DC"/>
    <w:rsid w:val="008E563A"/>
    <w:rsid w:val="008E5974"/>
    <w:rsid w:val="008E726F"/>
    <w:rsid w:val="008F0F82"/>
    <w:rsid w:val="008F23CB"/>
    <w:rsid w:val="008F47AB"/>
    <w:rsid w:val="008F662C"/>
    <w:rsid w:val="009004D4"/>
    <w:rsid w:val="00903035"/>
    <w:rsid w:val="00904162"/>
    <w:rsid w:val="009060CB"/>
    <w:rsid w:val="00910B86"/>
    <w:rsid w:val="00916EFA"/>
    <w:rsid w:val="00917E35"/>
    <w:rsid w:val="00917F22"/>
    <w:rsid w:val="00920F14"/>
    <w:rsid w:val="00925F96"/>
    <w:rsid w:val="00926AB4"/>
    <w:rsid w:val="00934E3C"/>
    <w:rsid w:val="00935081"/>
    <w:rsid w:val="00935CAC"/>
    <w:rsid w:val="009412FA"/>
    <w:rsid w:val="009423FC"/>
    <w:rsid w:val="009440A3"/>
    <w:rsid w:val="00950532"/>
    <w:rsid w:val="00950989"/>
    <w:rsid w:val="00950A44"/>
    <w:rsid w:val="00950CD1"/>
    <w:rsid w:val="00953058"/>
    <w:rsid w:val="0095559D"/>
    <w:rsid w:val="00956074"/>
    <w:rsid w:val="00960694"/>
    <w:rsid w:val="009670D6"/>
    <w:rsid w:val="00967628"/>
    <w:rsid w:val="009711BB"/>
    <w:rsid w:val="00980272"/>
    <w:rsid w:val="009804E7"/>
    <w:rsid w:val="00985437"/>
    <w:rsid w:val="00985A8D"/>
    <w:rsid w:val="00985D5B"/>
    <w:rsid w:val="00986024"/>
    <w:rsid w:val="009860DB"/>
    <w:rsid w:val="00987052"/>
    <w:rsid w:val="0099010B"/>
    <w:rsid w:val="009923E1"/>
    <w:rsid w:val="009934D7"/>
    <w:rsid w:val="009966F7"/>
    <w:rsid w:val="009A0BA1"/>
    <w:rsid w:val="009A2485"/>
    <w:rsid w:val="009A2A41"/>
    <w:rsid w:val="009A6A6A"/>
    <w:rsid w:val="009B023E"/>
    <w:rsid w:val="009B0907"/>
    <w:rsid w:val="009B24AE"/>
    <w:rsid w:val="009B5EAF"/>
    <w:rsid w:val="009B7B45"/>
    <w:rsid w:val="009C3DE9"/>
    <w:rsid w:val="009C59A0"/>
    <w:rsid w:val="009C5A96"/>
    <w:rsid w:val="009C74CA"/>
    <w:rsid w:val="009C79F3"/>
    <w:rsid w:val="009C7D4A"/>
    <w:rsid w:val="009C7EB1"/>
    <w:rsid w:val="009D0E45"/>
    <w:rsid w:val="009D6E08"/>
    <w:rsid w:val="009D744F"/>
    <w:rsid w:val="009E34F6"/>
    <w:rsid w:val="009E4C4D"/>
    <w:rsid w:val="009E667B"/>
    <w:rsid w:val="009F0D5D"/>
    <w:rsid w:val="009F222E"/>
    <w:rsid w:val="009F768E"/>
    <w:rsid w:val="00A01C61"/>
    <w:rsid w:val="00A04EE4"/>
    <w:rsid w:val="00A07DFF"/>
    <w:rsid w:val="00A13C13"/>
    <w:rsid w:val="00A13CA8"/>
    <w:rsid w:val="00A155D3"/>
    <w:rsid w:val="00A164AD"/>
    <w:rsid w:val="00A227DE"/>
    <w:rsid w:val="00A2774D"/>
    <w:rsid w:val="00A30799"/>
    <w:rsid w:val="00A34EF5"/>
    <w:rsid w:val="00A356C3"/>
    <w:rsid w:val="00A379C8"/>
    <w:rsid w:val="00A405AF"/>
    <w:rsid w:val="00A40E99"/>
    <w:rsid w:val="00A427E8"/>
    <w:rsid w:val="00A44A3F"/>
    <w:rsid w:val="00A46A66"/>
    <w:rsid w:val="00A476AD"/>
    <w:rsid w:val="00A477E4"/>
    <w:rsid w:val="00A508CB"/>
    <w:rsid w:val="00A542E3"/>
    <w:rsid w:val="00A54764"/>
    <w:rsid w:val="00A5688E"/>
    <w:rsid w:val="00A56E7C"/>
    <w:rsid w:val="00A623FA"/>
    <w:rsid w:val="00A65775"/>
    <w:rsid w:val="00A66652"/>
    <w:rsid w:val="00A678FC"/>
    <w:rsid w:val="00A67F14"/>
    <w:rsid w:val="00A70255"/>
    <w:rsid w:val="00A74904"/>
    <w:rsid w:val="00A75A99"/>
    <w:rsid w:val="00A763CC"/>
    <w:rsid w:val="00A77BCF"/>
    <w:rsid w:val="00A85A81"/>
    <w:rsid w:val="00A9414D"/>
    <w:rsid w:val="00A94DDE"/>
    <w:rsid w:val="00A95921"/>
    <w:rsid w:val="00AA27DC"/>
    <w:rsid w:val="00AA6CD3"/>
    <w:rsid w:val="00AA6F3B"/>
    <w:rsid w:val="00AB0617"/>
    <w:rsid w:val="00AB0BC8"/>
    <w:rsid w:val="00AB123B"/>
    <w:rsid w:val="00AB2D79"/>
    <w:rsid w:val="00AB2DD9"/>
    <w:rsid w:val="00AB5794"/>
    <w:rsid w:val="00AC08CE"/>
    <w:rsid w:val="00AC3680"/>
    <w:rsid w:val="00AC4603"/>
    <w:rsid w:val="00AC6719"/>
    <w:rsid w:val="00AC6E6F"/>
    <w:rsid w:val="00AD1935"/>
    <w:rsid w:val="00AD1A09"/>
    <w:rsid w:val="00AD7834"/>
    <w:rsid w:val="00AD7A82"/>
    <w:rsid w:val="00AE0A58"/>
    <w:rsid w:val="00AE2A15"/>
    <w:rsid w:val="00AE43FD"/>
    <w:rsid w:val="00AE4646"/>
    <w:rsid w:val="00AE7510"/>
    <w:rsid w:val="00AF1B68"/>
    <w:rsid w:val="00AF215D"/>
    <w:rsid w:val="00AF4889"/>
    <w:rsid w:val="00AF77E6"/>
    <w:rsid w:val="00B011E4"/>
    <w:rsid w:val="00B03683"/>
    <w:rsid w:val="00B04EF4"/>
    <w:rsid w:val="00B06DB2"/>
    <w:rsid w:val="00B07092"/>
    <w:rsid w:val="00B101BD"/>
    <w:rsid w:val="00B11EAE"/>
    <w:rsid w:val="00B133ED"/>
    <w:rsid w:val="00B15C77"/>
    <w:rsid w:val="00B2269E"/>
    <w:rsid w:val="00B2487A"/>
    <w:rsid w:val="00B256B5"/>
    <w:rsid w:val="00B25F63"/>
    <w:rsid w:val="00B31685"/>
    <w:rsid w:val="00B36AEC"/>
    <w:rsid w:val="00B377C2"/>
    <w:rsid w:val="00B37B89"/>
    <w:rsid w:val="00B40E99"/>
    <w:rsid w:val="00B45602"/>
    <w:rsid w:val="00B47F50"/>
    <w:rsid w:val="00B509BB"/>
    <w:rsid w:val="00B50CA0"/>
    <w:rsid w:val="00B510E0"/>
    <w:rsid w:val="00B51181"/>
    <w:rsid w:val="00B51709"/>
    <w:rsid w:val="00B56F45"/>
    <w:rsid w:val="00B5735A"/>
    <w:rsid w:val="00B608FC"/>
    <w:rsid w:val="00B60995"/>
    <w:rsid w:val="00B63B5B"/>
    <w:rsid w:val="00B6695E"/>
    <w:rsid w:val="00B669D5"/>
    <w:rsid w:val="00B6783C"/>
    <w:rsid w:val="00B72AF4"/>
    <w:rsid w:val="00B7408F"/>
    <w:rsid w:val="00B763A5"/>
    <w:rsid w:val="00B76DEA"/>
    <w:rsid w:val="00B8022E"/>
    <w:rsid w:val="00B83EAA"/>
    <w:rsid w:val="00B84905"/>
    <w:rsid w:val="00B855F5"/>
    <w:rsid w:val="00B8647C"/>
    <w:rsid w:val="00B86B9D"/>
    <w:rsid w:val="00B87A85"/>
    <w:rsid w:val="00B90474"/>
    <w:rsid w:val="00B9165B"/>
    <w:rsid w:val="00B91D54"/>
    <w:rsid w:val="00B93535"/>
    <w:rsid w:val="00B94D5E"/>
    <w:rsid w:val="00B96C47"/>
    <w:rsid w:val="00BA17E4"/>
    <w:rsid w:val="00BA3215"/>
    <w:rsid w:val="00BA7C1B"/>
    <w:rsid w:val="00BB20C3"/>
    <w:rsid w:val="00BB37BF"/>
    <w:rsid w:val="00BB5533"/>
    <w:rsid w:val="00BB5EFD"/>
    <w:rsid w:val="00BB6BF7"/>
    <w:rsid w:val="00BC0CA6"/>
    <w:rsid w:val="00BC1CD3"/>
    <w:rsid w:val="00BC3261"/>
    <w:rsid w:val="00BC3FD0"/>
    <w:rsid w:val="00BD0353"/>
    <w:rsid w:val="00BD24EB"/>
    <w:rsid w:val="00BD291B"/>
    <w:rsid w:val="00BD399A"/>
    <w:rsid w:val="00BD63C9"/>
    <w:rsid w:val="00BD66EA"/>
    <w:rsid w:val="00BD708C"/>
    <w:rsid w:val="00BD79AA"/>
    <w:rsid w:val="00BE0EAA"/>
    <w:rsid w:val="00BE0F4A"/>
    <w:rsid w:val="00BE1816"/>
    <w:rsid w:val="00BE194F"/>
    <w:rsid w:val="00BE3CE4"/>
    <w:rsid w:val="00BE3FC4"/>
    <w:rsid w:val="00BE4E23"/>
    <w:rsid w:val="00BE7948"/>
    <w:rsid w:val="00BF116E"/>
    <w:rsid w:val="00BF1497"/>
    <w:rsid w:val="00BF1ADB"/>
    <w:rsid w:val="00BF2F6F"/>
    <w:rsid w:val="00BF549F"/>
    <w:rsid w:val="00BF55EE"/>
    <w:rsid w:val="00BF615C"/>
    <w:rsid w:val="00C02D68"/>
    <w:rsid w:val="00C040ED"/>
    <w:rsid w:val="00C050CB"/>
    <w:rsid w:val="00C06355"/>
    <w:rsid w:val="00C07082"/>
    <w:rsid w:val="00C07956"/>
    <w:rsid w:val="00C07B52"/>
    <w:rsid w:val="00C07D71"/>
    <w:rsid w:val="00C07D7B"/>
    <w:rsid w:val="00C1161C"/>
    <w:rsid w:val="00C11B8B"/>
    <w:rsid w:val="00C14AAA"/>
    <w:rsid w:val="00C1552F"/>
    <w:rsid w:val="00C21BFC"/>
    <w:rsid w:val="00C220E3"/>
    <w:rsid w:val="00C22311"/>
    <w:rsid w:val="00C22973"/>
    <w:rsid w:val="00C2526F"/>
    <w:rsid w:val="00C25482"/>
    <w:rsid w:val="00C2719B"/>
    <w:rsid w:val="00C2766B"/>
    <w:rsid w:val="00C3176E"/>
    <w:rsid w:val="00C32BCD"/>
    <w:rsid w:val="00C32C83"/>
    <w:rsid w:val="00C33D37"/>
    <w:rsid w:val="00C41615"/>
    <w:rsid w:val="00C43084"/>
    <w:rsid w:val="00C441F7"/>
    <w:rsid w:val="00C44E46"/>
    <w:rsid w:val="00C45404"/>
    <w:rsid w:val="00C45C63"/>
    <w:rsid w:val="00C47A3A"/>
    <w:rsid w:val="00C51318"/>
    <w:rsid w:val="00C51F92"/>
    <w:rsid w:val="00C54EB3"/>
    <w:rsid w:val="00C55A9C"/>
    <w:rsid w:val="00C56073"/>
    <w:rsid w:val="00C577EE"/>
    <w:rsid w:val="00C611C9"/>
    <w:rsid w:val="00C6200A"/>
    <w:rsid w:val="00C62884"/>
    <w:rsid w:val="00C66C0B"/>
    <w:rsid w:val="00C71D6B"/>
    <w:rsid w:val="00C743F6"/>
    <w:rsid w:val="00C750C0"/>
    <w:rsid w:val="00C7694A"/>
    <w:rsid w:val="00C808F2"/>
    <w:rsid w:val="00C81018"/>
    <w:rsid w:val="00C81C5B"/>
    <w:rsid w:val="00C81D11"/>
    <w:rsid w:val="00C81E1B"/>
    <w:rsid w:val="00C82D9C"/>
    <w:rsid w:val="00C83974"/>
    <w:rsid w:val="00C84E31"/>
    <w:rsid w:val="00C853EF"/>
    <w:rsid w:val="00C874E5"/>
    <w:rsid w:val="00C927B2"/>
    <w:rsid w:val="00C93FA1"/>
    <w:rsid w:val="00C96B2F"/>
    <w:rsid w:val="00CA040A"/>
    <w:rsid w:val="00CA1190"/>
    <w:rsid w:val="00CA1A74"/>
    <w:rsid w:val="00CA4090"/>
    <w:rsid w:val="00CA5506"/>
    <w:rsid w:val="00CA5E2A"/>
    <w:rsid w:val="00CA6FF7"/>
    <w:rsid w:val="00CA7F9C"/>
    <w:rsid w:val="00CB1C3F"/>
    <w:rsid w:val="00CB3AB9"/>
    <w:rsid w:val="00CB523E"/>
    <w:rsid w:val="00CC4B59"/>
    <w:rsid w:val="00CC52EC"/>
    <w:rsid w:val="00CD1EBE"/>
    <w:rsid w:val="00CD23BB"/>
    <w:rsid w:val="00CD548E"/>
    <w:rsid w:val="00CD57DA"/>
    <w:rsid w:val="00CE063A"/>
    <w:rsid w:val="00CE1ED2"/>
    <w:rsid w:val="00CE292D"/>
    <w:rsid w:val="00CE42FB"/>
    <w:rsid w:val="00CE45B6"/>
    <w:rsid w:val="00CE69BD"/>
    <w:rsid w:val="00CF024B"/>
    <w:rsid w:val="00CF0586"/>
    <w:rsid w:val="00CF1CF4"/>
    <w:rsid w:val="00CF57E7"/>
    <w:rsid w:val="00CF7695"/>
    <w:rsid w:val="00CF7798"/>
    <w:rsid w:val="00CF7AFC"/>
    <w:rsid w:val="00CF7BF1"/>
    <w:rsid w:val="00D01225"/>
    <w:rsid w:val="00D02632"/>
    <w:rsid w:val="00D03B68"/>
    <w:rsid w:val="00D06152"/>
    <w:rsid w:val="00D07BAF"/>
    <w:rsid w:val="00D136C3"/>
    <w:rsid w:val="00D156F0"/>
    <w:rsid w:val="00D23E56"/>
    <w:rsid w:val="00D2623A"/>
    <w:rsid w:val="00D26388"/>
    <w:rsid w:val="00D265B4"/>
    <w:rsid w:val="00D31DC8"/>
    <w:rsid w:val="00D339BF"/>
    <w:rsid w:val="00D35B81"/>
    <w:rsid w:val="00D35BF0"/>
    <w:rsid w:val="00D40A41"/>
    <w:rsid w:val="00D41A04"/>
    <w:rsid w:val="00D41ED1"/>
    <w:rsid w:val="00D4399C"/>
    <w:rsid w:val="00D46F70"/>
    <w:rsid w:val="00D47FF3"/>
    <w:rsid w:val="00D504A3"/>
    <w:rsid w:val="00D505B8"/>
    <w:rsid w:val="00D51161"/>
    <w:rsid w:val="00D5155E"/>
    <w:rsid w:val="00D51FBF"/>
    <w:rsid w:val="00D567C6"/>
    <w:rsid w:val="00D603CB"/>
    <w:rsid w:val="00D609D1"/>
    <w:rsid w:val="00D63EA5"/>
    <w:rsid w:val="00D65068"/>
    <w:rsid w:val="00D660C1"/>
    <w:rsid w:val="00D66FC2"/>
    <w:rsid w:val="00D67C64"/>
    <w:rsid w:val="00D67FAC"/>
    <w:rsid w:val="00D72565"/>
    <w:rsid w:val="00D74729"/>
    <w:rsid w:val="00D81D2E"/>
    <w:rsid w:val="00D824D3"/>
    <w:rsid w:val="00D827E4"/>
    <w:rsid w:val="00D8675A"/>
    <w:rsid w:val="00D872A4"/>
    <w:rsid w:val="00D904EF"/>
    <w:rsid w:val="00D911F2"/>
    <w:rsid w:val="00D93DDA"/>
    <w:rsid w:val="00D93F38"/>
    <w:rsid w:val="00D942B1"/>
    <w:rsid w:val="00D96546"/>
    <w:rsid w:val="00D96643"/>
    <w:rsid w:val="00D97C32"/>
    <w:rsid w:val="00DA12A6"/>
    <w:rsid w:val="00DA19CD"/>
    <w:rsid w:val="00DA3F93"/>
    <w:rsid w:val="00DA6911"/>
    <w:rsid w:val="00DB09FE"/>
    <w:rsid w:val="00DB1AAB"/>
    <w:rsid w:val="00DB1CB7"/>
    <w:rsid w:val="00DB6966"/>
    <w:rsid w:val="00DC08D2"/>
    <w:rsid w:val="00DC0D83"/>
    <w:rsid w:val="00DC48AE"/>
    <w:rsid w:val="00DC5519"/>
    <w:rsid w:val="00DD0598"/>
    <w:rsid w:val="00DD1A28"/>
    <w:rsid w:val="00DD2632"/>
    <w:rsid w:val="00DD5C87"/>
    <w:rsid w:val="00DD65F2"/>
    <w:rsid w:val="00DD7855"/>
    <w:rsid w:val="00DD79FB"/>
    <w:rsid w:val="00DE0B69"/>
    <w:rsid w:val="00DE0FF7"/>
    <w:rsid w:val="00DE3C90"/>
    <w:rsid w:val="00DE3D22"/>
    <w:rsid w:val="00DE3FEA"/>
    <w:rsid w:val="00DE4D7D"/>
    <w:rsid w:val="00DE5AC6"/>
    <w:rsid w:val="00DF554A"/>
    <w:rsid w:val="00DF6A22"/>
    <w:rsid w:val="00DF6F79"/>
    <w:rsid w:val="00DF7CA2"/>
    <w:rsid w:val="00E0076A"/>
    <w:rsid w:val="00E111BA"/>
    <w:rsid w:val="00E11DAD"/>
    <w:rsid w:val="00E12ADB"/>
    <w:rsid w:val="00E1370E"/>
    <w:rsid w:val="00E137C2"/>
    <w:rsid w:val="00E155DA"/>
    <w:rsid w:val="00E16463"/>
    <w:rsid w:val="00E21B31"/>
    <w:rsid w:val="00E229C5"/>
    <w:rsid w:val="00E25398"/>
    <w:rsid w:val="00E2568C"/>
    <w:rsid w:val="00E25B72"/>
    <w:rsid w:val="00E31F2A"/>
    <w:rsid w:val="00E33BD7"/>
    <w:rsid w:val="00E358A3"/>
    <w:rsid w:val="00E37721"/>
    <w:rsid w:val="00E37E77"/>
    <w:rsid w:val="00E45030"/>
    <w:rsid w:val="00E45930"/>
    <w:rsid w:val="00E50E54"/>
    <w:rsid w:val="00E5140F"/>
    <w:rsid w:val="00E52A46"/>
    <w:rsid w:val="00E5451A"/>
    <w:rsid w:val="00E54E6C"/>
    <w:rsid w:val="00E55A63"/>
    <w:rsid w:val="00E56278"/>
    <w:rsid w:val="00E56327"/>
    <w:rsid w:val="00E617F8"/>
    <w:rsid w:val="00E619E1"/>
    <w:rsid w:val="00E645EB"/>
    <w:rsid w:val="00E7157F"/>
    <w:rsid w:val="00E71F38"/>
    <w:rsid w:val="00E762B6"/>
    <w:rsid w:val="00E77C43"/>
    <w:rsid w:val="00E808DB"/>
    <w:rsid w:val="00E80F4B"/>
    <w:rsid w:val="00E820F6"/>
    <w:rsid w:val="00E82BA3"/>
    <w:rsid w:val="00E83C59"/>
    <w:rsid w:val="00E83C60"/>
    <w:rsid w:val="00E83CD1"/>
    <w:rsid w:val="00E90772"/>
    <w:rsid w:val="00E90EDE"/>
    <w:rsid w:val="00E92562"/>
    <w:rsid w:val="00E94DE1"/>
    <w:rsid w:val="00E956BF"/>
    <w:rsid w:val="00E95C5C"/>
    <w:rsid w:val="00E97B5F"/>
    <w:rsid w:val="00EA176A"/>
    <w:rsid w:val="00EA1A0A"/>
    <w:rsid w:val="00EA5DB3"/>
    <w:rsid w:val="00EB1D28"/>
    <w:rsid w:val="00EB1ECE"/>
    <w:rsid w:val="00EB2AA4"/>
    <w:rsid w:val="00EB40E2"/>
    <w:rsid w:val="00EB6096"/>
    <w:rsid w:val="00EB634C"/>
    <w:rsid w:val="00EC21EA"/>
    <w:rsid w:val="00EC3B8A"/>
    <w:rsid w:val="00EC4084"/>
    <w:rsid w:val="00EC76D5"/>
    <w:rsid w:val="00EE53F4"/>
    <w:rsid w:val="00EE667C"/>
    <w:rsid w:val="00EF0A90"/>
    <w:rsid w:val="00EF1ECC"/>
    <w:rsid w:val="00EF26DC"/>
    <w:rsid w:val="00EF28BA"/>
    <w:rsid w:val="00EF2D8F"/>
    <w:rsid w:val="00F00CA9"/>
    <w:rsid w:val="00F03ED2"/>
    <w:rsid w:val="00F04AEE"/>
    <w:rsid w:val="00F04FC9"/>
    <w:rsid w:val="00F0573C"/>
    <w:rsid w:val="00F06A02"/>
    <w:rsid w:val="00F110BA"/>
    <w:rsid w:val="00F112FC"/>
    <w:rsid w:val="00F11899"/>
    <w:rsid w:val="00F1225B"/>
    <w:rsid w:val="00F122BB"/>
    <w:rsid w:val="00F140FF"/>
    <w:rsid w:val="00F156F3"/>
    <w:rsid w:val="00F16B5D"/>
    <w:rsid w:val="00F20985"/>
    <w:rsid w:val="00F2191E"/>
    <w:rsid w:val="00F21BA7"/>
    <w:rsid w:val="00F221C4"/>
    <w:rsid w:val="00F26121"/>
    <w:rsid w:val="00F30C90"/>
    <w:rsid w:val="00F34CD9"/>
    <w:rsid w:val="00F35A29"/>
    <w:rsid w:val="00F41193"/>
    <w:rsid w:val="00F41795"/>
    <w:rsid w:val="00F424E6"/>
    <w:rsid w:val="00F450AF"/>
    <w:rsid w:val="00F47FCC"/>
    <w:rsid w:val="00F50280"/>
    <w:rsid w:val="00F50F80"/>
    <w:rsid w:val="00F54085"/>
    <w:rsid w:val="00F544A6"/>
    <w:rsid w:val="00F55022"/>
    <w:rsid w:val="00F56A92"/>
    <w:rsid w:val="00F57825"/>
    <w:rsid w:val="00F57C7A"/>
    <w:rsid w:val="00F60474"/>
    <w:rsid w:val="00F63E39"/>
    <w:rsid w:val="00F64BAE"/>
    <w:rsid w:val="00F65CEF"/>
    <w:rsid w:val="00F670B7"/>
    <w:rsid w:val="00F72D5F"/>
    <w:rsid w:val="00F8117A"/>
    <w:rsid w:val="00F81B2F"/>
    <w:rsid w:val="00F85E26"/>
    <w:rsid w:val="00F87957"/>
    <w:rsid w:val="00F97203"/>
    <w:rsid w:val="00F972A2"/>
    <w:rsid w:val="00F97B52"/>
    <w:rsid w:val="00FA0597"/>
    <w:rsid w:val="00FA1922"/>
    <w:rsid w:val="00FA2F9E"/>
    <w:rsid w:val="00FA321D"/>
    <w:rsid w:val="00FA36B8"/>
    <w:rsid w:val="00FA6394"/>
    <w:rsid w:val="00FA715E"/>
    <w:rsid w:val="00FB0F22"/>
    <w:rsid w:val="00FB2700"/>
    <w:rsid w:val="00FB3D83"/>
    <w:rsid w:val="00FB415E"/>
    <w:rsid w:val="00FC0473"/>
    <w:rsid w:val="00FC1BEE"/>
    <w:rsid w:val="00FC48AB"/>
    <w:rsid w:val="00FC60E2"/>
    <w:rsid w:val="00FC7783"/>
    <w:rsid w:val="00FC7C0A"/>
    <w:rsid w:val="00FD01B0"/>
    <w:rsid w:val="00FD14F3"/>
    <w:rsid w:val="00FD5083"/>
    <w:rsid w:val="00FD63B7"/>
    <w:rsid w:val="00FD7691"/>
    <w:rsid w:val="00FE2F6B"/>
    <w:rsid w:val="00FE4612"/>
    <w:rsid w:val="00FE4F78"/>
    <w:rsid w:val="00FE64AD"/>
    <w:rsid w:val="00FE64B5"/>
    <w:rsid w:val="00FE67F5"/>
    <w:rsid w:val="00FE712E"/>
    <w:rsid w:val="00FF3ABE"/>
    <w:rsid w:val="00FF55A1"/>
    <w:rsid w:val="00FF5A97"/>
    <w:rsid w:val="00FF61D8"/>
    <w:rsid w:val="00FF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10"/>
    <w:pPr>
      <w:spacing w:after="0" w:line="240" w:lineRule="auto"/>
    </w:pPr>
    <w:tblPr>
      <w:tblStyleRowBandSize w:val="1"/>
      <w:tblStyleColBandSize w:val="1"/>
      <w:tblCellMar>
        <w:left w:w="255" w:type="dxa"/>
        <w:right w:w="108" w:type="dxa"/>
      </w:tblCellMar>
    </w:tblPr>
  </w:style>
  <w:style w:type="table" w:customStyle="1" w:styleId="a1">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8"/>
    <w:pPr>
      <w:spacing w:after="0" w:line="240" w:lineRule="auto"/>
    </w:pPr>
    <w:tblPr>
      <w:tblStyleRowBandSize w:val="1"/>
      <w:tblStyleColBandSize w:val="1"/>
      <w:tblCellMar>
        <w:left w:w="255" w:type="dxa"/>
        <w:right w:w="108" w:type="dxa"/>
      </w:tblCellMar>
    </w:tblPr>
  </w:style>
  <w:style w:type="table" w:customStyle="1" w:styleId="a3">
    <w:basedOn w:val="TableNormal7"/>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6"/>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5"/>
    <w:pPr>
      <w:spacing w:after="0" w:line="240" w:lineRule="auto"/>
    </w:pPr>
    <w:tblPr>
      <w:tblStyleRowBandSize w:val="1"/>
      <w:tblStyleColBandSize w:val="1"/>
      <w:tblCellMar>
        <w:left w:w="255" w:type="dxa"/>
        <w:right w:w="108" w:type="dxa"/>
      </w:tblCellMar>
    </w:tblPr>
  </w:style>
  <w:style w:type="table" w:customStyle="1" w:styleId="a6">
    <w:basedOn w:val="TableNormal4"/>
    <w:pPr>
      <w:spacing w:after="0" w:line="240" w:lineRule="auto"/>
    </w:pPr>
    <w:tblPr>
      <w:tblStyleRowBandSize w:val="1"/>
      <w:tblStyleColBandSize w:val="1"/>
      <w:tblCellMar>
        <w:left w:w="255" w:type="dxa"/>
        <w:right w:w="108" w:type="dxa"/>
      </w:tblCellMar>
    </w:tblPr>
  </w:style>
  <w:style w:type="table" w:customStyle="1" w:styleId="a7">
    <w:basedOn w:val="TableNormal3"/>
    <w:pPr>
      <w:spacing w:after="0" w:line="240" w:lineRule="auto"/>
    </w:pPr>
    <w:tblPr>
      <w:tblStyleRowBandSize w:val="1"/>
      <w:tblStyleColBandSize w:val="1"/>
      <w:tblCellMar>
        <w:left w:w="255" w:type="dxa"/>
        <w:right w:w="108" w:type="dxa"/>
      </w:tblCellMar>
    </w:tblPr>
  </w:style>
  <w:style w:type="table" w:customStyle="1" w:styleId="a8">
    <w:basedOn w:val="TableNormal3"/>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10"/>
    <w:pPr>
      <w:spacing w:after="0" w:line="240" w:lineRule="auto"/>
    </w:pPr>
    <w:tblPr>
      <w:tblStyleRowBandSize w:val="1"/>
      <w:tblStyleColBandSize w:val="1"/>
      <w:tblCellMar>
        <w:left w:w="255" w:type="dxa"/>
        <w:right w:w="108" w:type="dxa"/>
      </w:tblCellMar>
    </w:tblPr>
  </w:style>
  <w:style w:type="table" w:customStyle="1" w:styleId="a1">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8"/>
    <w:pPr>
      <w:spacing w:after="0" w:line="240" w:lineRule="auto"/>
    </w:pPr>
    <w:tblPr>
      <w:tblStyleRowBandSize w:val="1"/>
      <w:tblStyleColBandSize w:val="1"/>
      <w:tblCellMar>
        <w:left w:w="255" w:type="dxa"/>
        <w:right w:w="108" w:type="dxa"/>
      </w:tblCellMar>
    </w:tblPr>
  </w:style>
  <w:style w:type="table" w:customStyle="1" w:styleId="a3">
    <w:basedOn w:val="TableNormal7"/>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6"/>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5"/>
    <w:pPr>
      <w:spacing w:after="0" w:line="240" w:lineRule="auto"/>
    </w:pPr>
    <w:tblPr>
      <w:tblStyleRowBandSize w:val="1"/>
      <w:tblStyleColBandSize w:val="1"/>
      <w:tblCellMar>
        <w:left w:w="255" w:type="dxa"/>
        <w:right w:w="108" w:type="dxa"/>
      </w:tblCellMar>
    </w:tblPr>
  </w:style>
  <w:style w:type="table" w:customStyle="1" w:styleId="a6">
    <w:basedOn w:val="TableNormal4"/>
    <w:pPr>
      <w:spacing w:after="0" w:line="240" w:lineRule="auto"/>
    </w:pPr>
    <w:tblPr>
      <w:tblStyleRowBandSize w:val="1"/>
      <w:tblStyleColBandSize w:val="1"/>
      <w:tblCellMar>
        <w:left w:w="255" w:type="dxa"/>
        <w:right w:w="108" w:type="dxa"/>
      </w:tblCellMar>
    </w:tblPr>
  </w:style>
  <w:style w:type="table" w:customStyle="1" w:styleId="a7">
    <w:basedOn w:val="TableNormal3"/>
    <w:pPr>
      <w:spacing w:after="0" w:line="240" w:lineRule="auto"/>
    </w:pPr>
    <w:tblPr>
      <w:tblStyleRowBandSize w:val="1"/>
      <w:tblStyleColBandSize w:val="1"/>
      <w:tblCellMar>
        <w:left w:w="255" w:type="dxa"/>
        <w:right w:w="108" w:type="dxa"/>
      </w:tblCellMar>
    </w:tblPr>
  </w:style>
  <w:style w:type="table" w:customStyle="1" w:styleId="a8">
    <w:basedOn w:val="TableNormal3"/>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269630280">
      <w:bodyDiv w:val="1"/>
      <w:marLeft w:val="0"/>
      <w:marRight w:val="0"/>
      <w:marTop w:val="0"/>
      <w:marBottom w:val="0"/>
      <w:divBdr>
        <w:top w:val="none" w:sz="0" w:space="0" w:color="auto"/>
        <w:left w:val="none" w:sz="0" w:space="0" w:color="auto"/>
        <w:bottom w:val="none" w:sz="0" w:space="0" w:color="auto"/>
        <w:right w:val="none" w:sz="0" w:space="0" w:color="auto"/>
      </w:divBdr>
    </w:div>
    <w:div w:id="347802264">
      <w:bodyDiv w:val="1"/>
      <w:marLeft w:val="0"/>
      <w:marRight w:val="0"/>
      <w:marTop w:val="0"/>
      <w:marBottom w:val="0"/>
      <w:divBdr>
        <w:top w:val="none" w:sz="0" w:space="0" w:color="auto"/>
        <w:left w:val="none" w:sz="0" w:space="0" w:color="auto"/>
        <w:bottom w:val="none" w:sz="0" w:space="0" w:color="auto"/>
        <w:right w:val="none" w:sz="0" w:space="0" w:color="auto"/>
      </w:divBdr>
    </w:div>
    <w:div w:id="543519730">
      <w:bodyDiv w:val="1"/>
      <w:marLeft w:val="0"/>
      <w:marRight w:val="0"/>
      <w:marTop w:val="0"/>
      <w:marBottom w:val="0"/>
      <w:divBdr>
        <w:top w:val="none" w:sz="0" w:space="0" w:color="auto"/>
        <w:left w:val="none" w:sz="0" w:space="0" w:color="auto"/>
        <w:bottom w:val="none" w:sz="0" w:space="0" w:color="auto"/>
        <w:right w:val="none" w:sz="0" w:space="0" w:color="auto"/>
      </w:divBdr>
    </w:div>
    <w:div w:id="619530336">
      <w:bodyDiv w:val="1"/>
      <w:marLeft w:val="0"/>
      <w:marRight w:val="0"/>
      <w:marTop w:val="0"/>
      <w:marBottom w:val="0"/>
      <w:divBdr>
        <w:top w:val="none" w:sz="0" w:space="0" w:color="auto"/>
        <w:left w:val="none" w:sz="0" w:space="0" w:color="auto"/>
        <w:bottom w:val="none" w:sz="0" w:space="0" w:color="auto"/>
        <w:right w:val="none" w:sz="0" w:space="0" w:color="auto"/>
      </w:divBdr>
    </w:div>
    <w:div w:id="642546040">
      <w:bodyDiv w:val="1"/>
      <w:marLeft w:val="0"/>
      <w:marRight w:val="0"/>
      <w:marTop w:val="0"/>
      <w:marBottom w:val="0"/>
      <w:divBdr>
        <w:top w:val="none" w:sz="0" w:space="0" w:color="auto"/>
        <w:left w:val="none" w:sz="0" w:space="0" w:color="auto"/>
        <w:bottom w:val="none" w:sz="0" w:space="0" w:color="auto"/>
        <w:right w:val="none" w:sz="0" w:space="0" w:color="auto"/>
      </w:divBdr>
    </w:div>
    <w:div w:id="814417376">
      <w:bodyDiv w:val="1"/>
      <w:marLeft w:val="0"/>
      <w:marRight w:val="0"/>
      <w:marTop w:val="0"/>
      <w:marBottom w:val="0"/>
      <w:divBdr>
        <w:top w:val="none" w:sz="0" w:space="0" w:color="auto"/>
        <w:left w:val="none" w:sz="0" w:space="0" w:color="auto"/>
        <w:bottom w:val="none" w:sz="0" w:space="0" w:color="auto"/>
        <w:right w:val="none" w:sz="0" w:space="0" w:color="auto"/>
      </w:divBdr>
    </w:div>
    <w:div w:id="815604408">
      <w:bodyDiv w:val="1"/>
      <w:marLeft w:val="0"/>
      <w:marRight w:val="0"/>
      <w:marTop w:val="0"/>
      <w:marBottom w:val="0"/>
      <w:divBdr>
        <w:top w:val="none" w:sz="0" w:space="0" w:color="auto"/>
        <w:left w:val="none" w:sz="0" w:space="0" w:color="auto"/>
        <w:bottom w:val="none" w:sz="0" w:space="0" w:color="auto"/>
        <w:right w:val="none" w:sz="0" w:space="0" w:color="auto"/>
      </w:divBdr>
    </w:div>
    <w:div w:id="92314381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114985167">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171335328">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56074495">
      <w:bodyDiv w:val="1"/>
      <w:marLeft w:val="0"/>
      <w:marRight w:val="0"/>
      <w:marTop w:val="0"/>
      <w:marBottom w:val="0"/>
      <w:divBdr>
        <w:top w:val="none" w:sz="0" w:space="0" w:color="auto"/>
        <w:left w:val="none" w:sz="0" w:space="0" w:color="auto"/>
        <w:bottom w:val="none" w:sz="0" w:space="0" w:color="auto"/>
        <w:right w:val="none" w:sz="0" w:space="0" w:color="auto"/>
      </w:divBdr>
    </w:div>
    <w:div w:id="1529836376">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16877701">
      <w:bodyDiv w:val="1"/>
      <w:marLeft w:val="0"/>
      <w:marRight w:val="0"/>
      <w:marTop w:val="0"/>
      <w:marBottom w:val="0"/>
      <w:divBdr>
        <w:top w:val="none" w:sz="0" w:space="0" w:color="auto"/>
        <w:left w:val="none" w:sz="0" w:space="0" w:color="auto"/>
        <w:bottom w:val="none" w:sz="0" w:space="0" w:color="auto"/>
        <w:right w:val="none" w:sz="0" w:space="0" w:color="auto"/>
      </w:divBdr>
    </w:div>
    <w:div w:id="1831481604">
      <w:bodyDiv w:val="1"/>
      <w:marLeft w:val="0"/>
      <w:marRight w:val="0"/>
      <w:marTop w:val="0"/>
      <w:marBottom w:val="0"/>
      <w:divBdr>
        <w:top w:val="none" w:sz="0" w:space="0" w:color="auto"/>
        <w:left w:val="none" w:sz="0" w:space="0" w:color="auto"/>
        <w:bottom w:val="none" w:sz="0" w:space="0" w:color="auto"/>
        <w:right w:val="none" w:sz="0" w:space="0" w:color="auto"/>
      </w:divBdr>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1665082779">
          <w:marLeft w:val="274"/>
          <w:marRight w:val="0"/>
          <w:marTop w:val="0"/>
          <w:marBottom w:val="0"/>
          <w:divBdr>
            <w:top w:val="none" w:sz="0" w:space="0" w:color="auto"/>
            <w:left w:val="none" w:sz="0" w:space="0" w:color="auto"/>
            <w:bottom w:val="none" w:sz="0" w:space="0" w:color="auto"/>
            <w:right w:val="none" w:sz="0" w:space="0" w:color="auto"/>
          </w:divBdr>
        </w:div>
        <w:div w:id="72765440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701780476">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430779976">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sChild>
    </w:div>
    <w:div w:id="1943953036">
      <w:bodyDiv w:val="1"/>
      <w:marLeft w:val="0"/>
      <w:marRight w:val="0"/>
      <w:marTop w:val="0"/>
      <w:marBottom w:val="0"/>
      <w:divBdr>
        <w:top w:val="none" w:sz="0" w:space="0" w:color="auto"/>
        <w:left w:val="none" w:sz="0" w:space="0" w:color="auto"/>
        <w:bottom w:val="none" w:sz="0" w:space="0" w:color="auto"/>
        <w:right w:val="none" w:sz="0" w:space="0" w:color="auto"/>
      </w:divBdr>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200685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2A06E2-AB69-4A1B-A47B-0AE33366406C}">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15</TotalTime>
  <Pages>7</Pages>
  <Words>2367</Words>
  <Characters>14207</Characters>
  <Application>Microsoft Office Word</Application>
  <DocSecurity>0</DocSecurity>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Zuzanna Karasiewicz</cp:lastModifiedBy>
  <cp:revision>4</cp:revision>
  <cp:lastPrinted>2023-02-28T06:26:00Z</cp:lastPrinted>
  <dcterms:created xsi:type="dcterms:W3CDTF">2023-02-28T06:29:00Z</dcterms:created>
  <dcterms:modified xsi:type="dcterms:W3CDTF">2023-03-03T15:52:00Z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2022-10-18T08:03:26Z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bd845f00-4e51-4661-bdc3-f0bf140f5268</vt:lpwstr>
  </property>
  <property fmtid="{D5CDD505-2E9C-101B-9397-08002B2CF9AE}" pid="8" name="MSIP_Label_b05923b3-4e86-4aa9-9018-d7e3c1e08536_ContentBits">
    <vt:lpwstr>0</vt:lpwstr>
  </property>
</Properties>
</file>