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C1850" w14:textId="77777777" w:rsidR="00594C2F" w:rsidRDefault="00000000" w:rsidP="00FF2836">
      <w:pPr>
        <w:jc w:val="both"/>
        <w:rPr>
          <w:rFonts w:ascii="Roboto Condensed" w:hAnsi="Roboto Condensed"/>
          <w:sz w:val="24"/>
        </w:rPr>
      </w:pPr>
    </w:p>
    <w:p w14:paraId="191293F6" w14:textId="77777777" w:rsidR="00092C0A" w:rsidRPr="00DA7B45" w:rsidRDefault="00FF309F" w:rsidP="00FF2836">
      <w:pPr>
        <w:pStyle w:val="NormalnyWeb"/>
        <w:shd w:val="clear" w:color="auto" w:fill="FFFFFF"/>
        <w:jc w:val="both"/>
        <w:rPr>
          <w:rFonts w:ascii="Roboto Condensed" w:hAnsi="Roboto Condensed"/>
          <w:sz w:val="24"/>
          <w:lang w:val="pl-PL"/>
        </w:rPr>
      </w:pPr>
      <w:r w:rsidRPr="00DA7B45">
        <w:rPr>
          <w:rFonts w:ascii="Roboto Condensed" w:hAnsi="Roboto Condensed"/>
          <w:sz w:val="24"/>
          <w:lang w:val="pl-PL"/>
        </w:rPr>
        <w:t xml:space="preserve"> </w:t>
      </w:r>
    </w:p>
    <w:p w14:paraId="6A7CED35" w14:textId="77777777" w:rsidR="00092C0A" w:rsidRPr="00DA7B45" w:rsidRDefault="00092C0A" w:rsidP="00FF2836">
      <w:pPr>
        <w:pStyle w:val="NormalnyWeb"/>
        <w:shd w:val="clear" w:color="auto" w:fill="FFFFFF"/>
        <w:jc w:val="both"/>
        <w:rPr>
          <w:rFonts w:ascii="Roboto Condensed" w:hAnsi="Roboto Condensed"/>
          <w:sz w:val="24"/>
          <w:lang w:val="pl-PL"/>
        </w:rPr>
      </w:pPr>
    </w:p>
    <w:p w14:paraId="4D9B6AC5" w14:textId="4A073190" w:rsidR="0062377D" w:rsidRPr="00A5704F" w:rsidRDefault="00DA7B45" w:rsidP="00A5704F">
      <w:pPr>
        <w:shd w:val="clear" w:color="auto" w:fill="FFFFFF"/>
        <w:ind w:left="360"/>
        <w:jc w:val="center"/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</w:pPr>
      <w:r w:rsidRPr="00A5704F"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  <w:t xml:space="preserve">Grupa Play w 2022 roku: </w:t>
      </w:r>
      <w:r w:rsidR="00817986"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  <w:t>znakomite</w:t>
      </w:r>
      <w:r w:rsidR="00817986" w:rsidRPr="00A5704F"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  <w:t xml:space="preserve"> </w:t>
      </w:r>
      <w:r w:rsidRPr="00A5704F"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  <w:t>wyniki biznesowe i finansowe,</w:t>
      </w:r>
      <w:r w:rsidRPr="00A5704F"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  <w:br/>
        <w:t>ponad 17 milionów klientów mobilnych oraz dynamiczne inwestycje</w:t>
      </w:r>
      <w:r w:rsidRPr="00A5704F">
        <w:rPr>
          <w:rStyle w:val="contentpasted0"/>
          <w:rFonts w:ascii="Roboto Condensed" w:eastAsia="Times New Roman" w:hAnsi="Roboto Condensed"/>
          <w:b/>
          <w:bCs/>
          <w:color w:val="000000"/>
          <w:sz w:val="28"/>
          <w:szCs w:val="28"/>
          <w:bdr w:val="none" w:sz="0" w:space="0" w:color="auto" w:frame="1"/>
          <w:lang w:val="pl-PL"/>
        </w:rPr>
        <w:br/>
        <w:t>w wysokiej jakości sieć mobilną i stacjonarną</w:t>
      </w:r>
    </w:p>
    <w:p w14:paraId="1B668EAA" w14:textId="77777777" w:rsidR="00DA7B45" w:rsidRPr="0062377D" w:rsidRDefault="00DA7B45" w:rsidP="00FF2836">
      <w:pPr>
        <w:pStyle w:val="NormalnyWeb"/>
        <w:shd w:val="clear" w:color="auto" w:fill="FFFFFF"/>
        <w:jc w:val="both"/>
        <w:rPr>
          <w:rStyle w:val="contentpasted0"/>
          <w:rFonts w:ascii="Roboto Condensed" w:hAnsi="Roboto Condensed" w:cs="Segoe UI"/>
          <w:b/>
          <w:bCs/>
          <w:color w:val="000000"/>
          <w:sz w:val="23"/>
          <w:szCs w:val="23"/>
          <w:lang w:val="pl-PL"/>
        </w:rPr>
      </w:pPr>
    </w:p>
    <w:p w14:paraId="487BD79D" w14:textId="7555F7AC" w:rsidR="00DA7B45" w:rsidRDefault="00DA7B45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Warszawa, 16 marca 2023 r.: Grupa Play, wiodący operator telekomunikacyjny w Polsce, odnotowała w 2022 r. </w:t>
      </w:r>
      <w:r w:rsidR="0081798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znakomite</w:t>
      </w:r>
      <w:r w:rsidR="00817986"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 </w:t>
      </w: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wyniki komercyjne i finansowe</w:t>
      </w:r>
      <w:r w:rsidR="0081798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,</w:t>
      </w: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 osiągając liczbę 1,5 mln nowych klientów usług komórkowych i stacjonarnych oraz wzrost bazy mobilnej (bez M2M) do</w:t>
      </w:r>
      <w:r w:rsidR="00D923FB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 </w:t>
      </w: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ponad 17 milionów klientów. Jest to efekt rekordowo szybkiej integracji Play i UPC Polska, co przełożyło się na wysoki poziom satysfakcji klientów, którzy </w:t>
      </w:r>
      <w:r w:rsidR="0081798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doceniają</w:t>
      </w:r>
      <w:r w:rsidR="00817986"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 </w:t>
      </w: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korzyści płynące z</w:t>
      </w:r>
      <w:r w:rsidR="00D923FB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 </w:t>
      </w: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nieustannych inwestycji w rozwój sieci komórkowej i stacjonarnej, podejście zapewniające </w:t>
      </w:r>
      <w:r w:rsidR="00ED624A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klientom </w:t>
      </w: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wolność wyboru oraz oferty o najlepszym stosunku jakości do ceny.</w:t>
      </w:r>
    </w:p>
    <w:p w14:paraId="42F3850A" w14:textId="77777777" w:rsidR="007E409E" w:rsidRPr="00203C16" w:rsidRDefault="007E409E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</w:p>
    <w:p w14:paraId="498A5CE0" w14:textId="77777777" w:rsidR="00E21971" w:rsidRPr="00203C16" w:rsidRDefault="00E21971" w:rsidP="00FF2836">
      <w:pPr>
        <w:shd w:val="clear" w:color="auto" w:fill="FFFFFF"/>
        <w:ind w:left="360"/>
        <w:jc w:val="both"/>
        <w:rPr>
          <w:rStyle w:val="contentpasted0"/>
          <w:rFonts w:eastAsia="Times New Roman"/>
          <w:color w:val="000000"/>
          <w:bdr w:val="none" w:sz="0" w:space="0" w:color="auto" w:frame="1"/>
          <w:lang w:val="pl-PL"/>
        </w:rPr>
      </w:pPr>
    </w:p>
    <w:p w14:paraId="520B834B" w14:textId="7B1A875A" w:rsidR="00DA7B45" w:rsidRDefault="00DA7B45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Najważniejsze wydarzenia 2022 roku:</w:t>
      </w:r>
    </w:p>
    <w:p w14:paraId="43C77743" w14:textId="77777777" w:rsidR="00203C16" w:rsidRPr="00203C16" w:rsidRDefault="00203C16" w:rsidP="00FF2836">
      <w:pPr>
        <w:shd w:val="clear" w:color="auto" w:fill="FFFFFF"/>
        <w:ind w:left="360"/>
        <w:jc w:val="both"/>
        <w:rPr>
          <w:rStyle w:val="contentpasted0"/>
          <w:rFonts w:eastAsia="Times New Roman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</w:p>
    <w:p w14:paraId="1EB8A53F" w14:textId="77777777" w:rsidR="00DA7B45" w:rsidRPr="00203C16" w:rsidRDefault="00DA7B45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Wyjątkowe wyniki biznesowe i finansowe po drugim roku działalności w Grupie iliad:</w:t>
      </w:r>
    </w:p>
    <w:p w14:paraId="2CA822ED" w14:textId="17E5EC6F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Liczba raportowanych klientów mobilnych (bez M2M) wzrosła o 8,7% r/r do ponad 17 mln. Liczba</w:t>
      </w:r>
      <w:r w:rsidR="00D923FB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 </w:t>
      </w: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aktywnych klientów mobilnych wzrosła o 5,2% r/r do 12,8 mln</w:t>
      </w:r>
    </w:p>
    <w:p w14:paraId="4950AB0C" w14:textId="77777777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Liczba abonentów usług dla domu przekroczyła 2 mln dzięki dalszemu rozwojowi usług internetu stacjonarnego i telewizji, zarówno Play, jak i UPC</w:t>
      </w:r>
    </w:p>
    <w:p w14:paraId="36BEDA1B" w14:textId="77777777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Przychody ogółem wzrosły o ponad 22% r/r przekraczając w 2022 r. 8,9 mld zł</w:t>
      </w:r>
    </w:p>
    <w:p w14:paraId="52C2031E" w14:textId="77777777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Przychody z usług mobilnych wzrosły o 7,2% r/r do 4,4 mld zł</w:t>
      </w:r>
    </w:p>
    <w:p w14:paraId="77FE7069" w14:textId="30133136" w:rsidR="00DA7B45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EBITDAaL wzrósł o ponad 20% r/r, osiągając 3,8 mld zł w 2022 r. i o 39% r/r tylko w czwartym kwartale do 945 mln zł</w:t>
      </w:r>
    </w:p>
    <w:p w14:paraId="6B53ACFF" w14:textId="77777777" w:rsidR="008127AC" w:rsidRPr="00203C16" w:rsidRDefault="008127AC" w:rsidP="00FF2836">
      <w:pPr>
        <w:pStyle w:val="Akapitzlist"/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</w:p>
    <w:p w14:paraId="772B562A" w14:textId="39EA703B" w:rsidR="00DA7B45" w:rsidRPr="008127AC" w:rsidRDefault="00DA7B45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  <w:r w:rsidRPr="008127AC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Umocnienie pozycji rynkowej PLAY jako operatora usług stacjonarnych, mobilnych</w:t>
      </w:r>
      <w:r w:rsidR="00BE4034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 </w:t>
      </w:r>
      <w:r w:rsidRPr="008127AC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oraz</w:t>
      </w:r>
      <w:r w:rsidR="00BE4034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 </w:t>
      </w:r>
      <w:r w:rsidRPr="008127AC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telewizji cyfrowej:</w:t>
      </w:r>
    </w:p>
    <w:p w14:paraId="54958A5C" w14:textId="1B7A362A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Rekordowo szybka integracja i stworzenie jednego zespołu po przejęciu UPC Polska oraz</w:t>
      </w:r>
      <w:r w:rsidR="00BE4034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 </w:t>
      </w: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uruchomienie pierwszej wspólnej oferty w mniej niż 50 dni po sfinalizowaniu transakcji</w:t>
      </w:r>
    </w:p>
    <w:p w14:paraId="07E9C411" w14:textId="77777777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Wzmocnienie kompetencji w obszarze usług telewizyjnych OTT poprzez nabycie większości udziałów firmy Redge Technologies</w:t>
      </w:r>
    </w:p>
    <w:p w14:paraId="2E136F15" w14:textId="77777777" w:rsidR="00DA7B45" w:rsidRPr="00203C16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Zwiększenie zasięgu usług dla domu do 7,5 mln gospodarstw domowych w Polsce</w:t>
      </w:r>
    </w:p>
    <w:p w14:paraId="3A99473B" w14:textId="54ED5008" w:rsidR="00DA7B45" w:rsidRDefault="00DA7B45" w:rsidP="00FF2836">
      <w:pPr>
        <w:pStyle w:val="Akapitzlist"/>
        <w:numPr>
          <w:ilvl w:val="0"/>
          <w:numId w:val="7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Stworzenie kompleksowego portfolio rozwiązań dla biznesu dzięki połączeniu usług Play, UPC</w:t>
      </w:r>
      <w:r w:rsidR="00D923FB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 </w:t>
      </w: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i</w:t>
      </w:r>
      <w:r w:rsidR="00D923FB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 </w:t>
      </w: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3S </w:t>
      </w:r>
    </w:p>
    <w:p w14:paraId="56E913C7" w14:textId="77777777" w:rsidR="008127AC" w:rsidRPr="00203C16" w:rsidRDefault="008127AC" w:rsidP="00FF2836">
      <w:pPr>
        <w:pStyle w:val="Akapitzlist"/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</w:p>
    <w:p w14:paraId="254E6AAB" w14:textId="15C42CBF" w:rsidR="00DA7B45" w:rsidRPr="008127AC" w:rsidRDefault="00DA7B45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  <w:r w:rsidRPr="008127AC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Dalsze inwestycje w rozbudowę sieci komórkowej i stacjonarnej w celu zapewnienia </w:t>
      </w:r>
      <w:r w:rsidR="00ED624A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 xml:space="preserve">klientom </w:t>
      </w:r>
      <w:r w:rsidRPr="008127AC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wolności wyboru i dostępu do najwyższej jakości usług dla klientów w całej Polsce:</w:t>
      </w:r>
    </w:p>
    <w:p w14:paraId="4C5ED97E" w14:textId="1FFD3065" w:rsidR="00DA7B45" w:rsidRPr="001C7546" w:rsidRDefault="00DA7B45" w:rsidP="00FF2836">
      <w:pPr>
        <w:pStyle w:val="Akapitzlist"/>
        <w:numPr>
          <w:ilvl w:val="0"/>
          <w:numId w:val="8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Przekroczenie historycznego progu 10 000 stacji bazowych w połowie roku</w:t>
      </w:r>
      <w:r w:rsidR="00453FF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i uruchomienie łącznie</w:t>
      </w: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804 nowych stacji, osiągając</w:t>
      </w:r>
      <w:r w:rsidR="00453FF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poziom</w:t>
      </w: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10 571 stacji na koniec 2022 r., z zasięgiem 5G wynoszącym ponad 50% populacji Polski</w:t>
      </w:r>
    </w:p>
    <w:p w14:paraId="6DCA9987" w14:textId="65FE3036" w:rsidR="00DA7B45" w:rsidRPr="001C7546" w:rsidRDefault="00DA7B45" w:rsidP="00FF2836">
      <w:pPr>
        <w:pStyle w:val="Akapitzlist"/>
        <w:numPr>
          <w:ilvl w:val="0"/>
          <w:numId w:val="8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110 tys. przyłączy </w:t>
      </w:r>
      <w:r w:rsidR="0031696C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światłowodowych </w:t>
      </w: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oraz pozycja operatora #1 dla UPC wśród ogólnopolskich dostawców internetu domowego</w:t>
      </w:r>
    </w:p>
    <w:p w14:paraId="1070B952" w14:textId="0F1C39AA" w:rsidR="00DA7B45" w:rsidRDefault="00DA7B45" w:rsidP="00FF2836">
      <w:pPr>
        <w:pStyle w:val="Akapitzlist"/>
        <w:numPr>
          <w:ilvl w:val="0"/>
          <w:numId w:val="8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Umowa z InfraVia Capital Partners na utworzenie od 1 kwietnia 2023 roku spółki Polski Światłowód Otwarty Sp. z o.o., operatora największej otwartej stacjonarnej infrastruktury sieciowej w Polsce z </w:t>
      </w:r>
      <w:r w:rsidR="005C35E7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celem zapewnienia </w:t>
      </w: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zasięg</w:t>
      </w:r>
      <w:r w:rsidR="005C35E7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u</w:t>
      </w: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usług dla </w:t>
      </w:r>
      <w:r w:rsidR="0031696C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6</w:t>
      </w:r>
      <w:r w:rsidRPr="001C754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mln gospodarstw domowych</w:t>
      </w:r>
    </w:p>
    <w:p w14:paraId="05BAF093" w14:textId="77777777" w:rsidR="001C7546" w:rsidRPr="001C7546" w:rsidRDefault="001C7546" w:rsidP="00FF2836">
      <w:pPr>
        <w:pStyle w:val="Akapitzlist"/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</w:p>
    <w:p w14:paraId="4F823A35" w14:textId="6FABF8E3" w:rsidR="00DA7B45" w:rsidRPr="001C7546" w:rsidRDefault="00DA7B45" w:rsidP="00FF2836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</w:pPr>
      <w:r w:rsidRPr="001C754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Dalsze zaangażowanie Grupy Play w rozwój gospodarczy i społeczny jako odpowiedzialnego lidera rynku telekomunikacyjnego w Polsce</w:t>
      </w:r>
      <w:r w:rsidR="001C7546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pl-PL"/>
        </w:rPr>
        <w:t>:</w:t>
      </w:r>
    </w:p>
    <w:p w14:paraId="51FFDEAA" w14:textId="48DCF6FD" w:rsidR="00DA7B45" w:rsidRPr="00DA7B45" w:rsidRDefault="00DA7B45" w:rsidP="00FF2836">
      <w:pPr>
        <w:pStyle w:val="Akapitzlist"/>
        <w:numPr>
          <w:ilvl w:val="0"/>
          <w:numId w:val="8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DA7B45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Play drugim największym</w:t>
      </w:r>
      <w:r w:rsidR="00ED624A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jednostkowym</w:t>
      </w:r>
      <w:r w:rsidRPr="00DA7B45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płatnikiem podatku CIT wśród firm w Polsce z tytułu wpłaty ponad 1,4 mld PLN</w:t>
      </w:r>
      <w:r w:rsidR="00ED624A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podatku CIT</w:t>
      </w:r>
      <w:r w:rsidRPr="00DA7B45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 xml:space="preserve"> za rok podatkowy 2021</w:t>
      </w:r>
    </w:p>
    <w:p w14:paraId="600E10AC" w14:textId="77777777" w:rsidR="00DA7B45" w:rsidRPr="00DA7B45" w:rsidRDefault="00DA7B45" w:rsidP="00FF2836">
      <w:pPr>
        <w:pStyle w:val="Akapitzlist"/>
        <w:numPr>
          <w:ilvl w:val="0"/>
          <w:numId w:val="8"/>
        </w:numPr>
        <w:shd w:val="clear" w:color="auto" w:fill="FFFFFF"/>
        <w:jc w:val="both"/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</w:pPr>
      <w:r w:rsidRPr="00DA7B45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Wsparcie dla Ukrainy – pierwszy operator, który podjął działania w celu zapewnienia obywatelom Ukrainy uciekającym przed wojną niezbędnej pomocy na granicy i łączności z rodzinami</w:t>
      </w:r>
    </w:p>
    <w:p w14:paraId="16A28C6D" w14:textId="77777777" w:rsidR="00DA7B45" w:rsidRPr="00203C16" w:rsidRDefault="00DA7B45" w:rsidP="00FF2836">
      <w:pPr>
        <w:shd w:val="clear" w:color="auto" w:fill="FFFFFF"/>
        <w:ind w:left="360"/>
        <w:jc w:val="both"/>
        <w:rPr>
          <w:rStyle w:val="contentpasted0"/>
          <w:rFonts w:eastAsia="Times New Roman"/>
          <w:color w:val="000000"/>
          <w:bdr w:val="none" w:sz="0" w:space="0" w:color="auto" w:frame="1"/>
          <w:lang w:val="pl-PL"/>
        </w:rPr>
      </w:pPr>
      <w:r w:rsidRPr="00203C16">
        <w:rPr>
          <w:rStyle w:val="contentpasted0"/>
          <w:rFonts w:ascii="Roboto Condensed" w:eastAsia="Times New Roman" w:hAnsi="Roboto Condensed"/>
          <w:color w:val="000000"/>
          <w:bdr w:val="none" w:sz="0" w:space="0" w:color="auto" w:frame="1"/>
          <w:lang w:val="pl-PL"/>
        </w:rPr>
        <w:t> </w:t>
      </w:r>
    </w:p>
    <w:p w14:paraId="74F1E153" w14:textId="72A4571D" w:rsidR="00DA7B45" w:rsidRPr="0016213F" w:rsidRDefault="00DA7B45" w:rsidP="00D90CFA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en-GB"/>
        </w:rPr>
      </w:pPr>
      <w:r w:rsidRPr="0016213F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en-GB"/>
        </w:rPr>
        <w:t xml:space="preserve">Jean Marc Harion, </w:t>
      </w:r>
      <w:r w:rsidR="00CA65F2" w:rsidRPr="0016213F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en-GB"/>
        </w:rPr>
        <w:t>Prezes Grupy Play</w:t>
      </w:r>
      <w:r w:rsidRPr="0016213F">
        <w:rPr>
          <w:rStyle w:val="contentpasted0"/>
          <w:rFonts w:ascii="Roboto Condensed" w:eastAsia="Times New Roman" w:hAnsi="Roboto Condensed"/>
          <w:b/>
          <w:bCs/>
          <w:color w:val="000000"/>
          <w:sz w:val="23"/>
          <w:szCs w:val="23"/>
          <w:bdr w:val="none" w:sz="0" w:space="0" w:color="auto" w:frame="1"/>
          <w:lang w:val="en-GB"/>
        </w:rPr>
        <w:t>:</w:t>
      </w:r>
    </w:p>
    <w:p w14:paraId="35E58F51" w14:textId="7CA99CBE" w:rsidR="00092C0A" w:rsidRPr="00BE4034" w:rsidRDefault="00DA7B45" w:rsidP="00BE4034">
      <w:pPr>
        <w:shd w:val="clear" w:color="auto" w:fill="FFFFFF"/>
        <w:ind w:left="360"/>
        <w:jc w:val="both"/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</w:pP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2022 rok był rokiem transformacji i przełom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u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zarówno dla Play, jak i dla polskiego rynku. Dzięki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zmieniającemu reguły gry przejęciu UPC Polska i rekordowo szybkiej integracji, oferujemy klientom pełną gamę usług mobiln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ych,</w:t>
      </w:r>
      <w:r w:rsidR="00453FF6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stacjonarn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ego internetu </w:t>
      </w:r>
      <w:r w:rsidR="00453FF6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i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cyfrowej rozrywki </w:t>
      </w:r>
      <w:r w:rsidR="00453FF6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oraz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rozwiązań cyfrowych dla przedsiębiorstw. Nasze wyniki za czwarty kwartał i cały rok 2022 </w:t>
      </w:r>
      <w:r w:rsidR="0016213F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są dowodem 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naszej niezawodności: pomimo trudnych warunków makroekonomicznych pozyskaliśmy ponad 1,5 miliona nowych klientów i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przekroczyliśmy próg 17 milionów klientów mobilnych. Ten wyjątkowy wynik jest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efektem wysokiego poziomu zadowolenia naszych klientów zarówno z doskonałej jakości nasz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ej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sieci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mobilnej i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stacjonarnej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,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do czego przyczyniły się nasze nieustanne inwestycje, jak i podejścia marketingowego, które polega na zapewnieniu klientom wolności wyboru przy najlepszym stosunku jakości do ceny. Nie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byłoby to możliwe bez wyjątkowych pracowników PLAY i UPC, którzy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odpowiedzialnie, jako jeden zespół, pomagają ukraińskim obywatelom uciekającym przed wojną, dbają o naszych klientów, czy też podejmują działania w celu zapewnienia ciągłości i bezpieczeństwa naszych usług. Obchodząc 16-lecie działalności na rynku, z optymizmem i ekscytacją patrzymy w</w:t>
      </w:r>
      <w:r w:rsidR="00D923FB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 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przyszłość, ponieważ chcemy zapewniać klientom w Polsce jeszcze większą wolność wyboru usług mobilnych, </w:t>
      </w:r>
      <w:r w:rsidR="002B4DDD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internetu stacjonarnego</w:t>
      </w:r>
      <w:r w:rsidR="002B4DDD"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 xml:space="preserve"> </w:t>
      </w:r>
      <w:r w:rsidRPr="00FC6DEC">
        <w:rPr>
          <w:rStyle w:val="contentpasted0"/>
          <w:rFonts w:ascii="Roboto Condensed" w:eastAsia="Times New Roman" w:hAnsi="Roboto Condensed"/>
          <w:i/>
          <w:iCs/>
          <w:color w:val="000000"/>
          <w:bdr w:val="none" w:sz="0" w:space="0" w:color="auto" w:frame="1"/>
          <w:lang w:val="pl-PL"/>
        </w:rPr>
        <w:t>i cyfrowej rozrywki.</w:t>
      </w:r>
    </w:p>
    <w:sectPr w:rsidR="00092C0A" w:rsidRPr="00BE4034" w:rsidSect="00BE40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D6E2E" w14:textId="77777777" w:rsidR="00A40313" w:rsidRDefault="00A40313" w:rsidP="00F6654F">
      <w:r>
        <w:separator/>
      </w:r>
    </w:p>
  </w:endnote>
  <w:endnote w:type="continuationSeparator" w:id="0">
    <w:p w14:paraId="232C8998" w14:textId="77777777" w:rsidR="00A40313" w:rsidRDefault="00A40313" w:rsidP="00F6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B172" w14:textId="4827C8C9" w:rsidR="00092C0A" w:rsidRDefault="00092C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2BA2" w14:textId="77777777" w:rsidR="00A40313" w:rsidRDefault="00A40313" w:rsidP="00F6654F">
      <w:r>
        <w:separator/>
      </w:r>
    </w:p>
  </w:footnote>
  <w:footnote w:type="continuationSeparator" w:id="0">
    <w:p w14:paraId="24A86F68" w14:textId="77777777" w:rsidR="00A40313" w:rsidRDefault="00A40313" w:rsidP="00F6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60068" w14:textId="77777777" w:rsidR="00F6654F" w:rsidRDefault="00000000">
    <w:pPr>
      <w:pStyle w:val="Nagwek"/>
    </w:pPr>
    <w:r>
      <w:rPr>
        <w:noProof/>
        <w:lang w:eastAsia="pl-PL"/>
      </w:rPr>
      <w:pict w14:anchorId="23AF1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ALL_300_PNG"/>
          <w10:wrap anchorx="margin" anchory="margin"/>
        </v:shape>
      </w:pict>
    </w:r>
    <w:r>
      <w:rPr>
        <w:noProof/>
        <w:lang w:eastAsia="pl-PL"/>
      </w:rPr>
      <w:pict w14:anchorId="0E42A227">
        <v:shape id="_x0000_s1038" type="#_x0000_t75" style="position:absolute;margin-left:0;margin-top:0;width:595.35pt;height:841.95pt;z-index:-251657728;mso-position-horizontal:center;mso-position-horizontal-relative:margin;mso-position-vertical:center;mso-position-vertical-relative:margin" o:allowincell="f">
          <v:imagedata r:id="rId2" o:title="ALL"/>
          <w10:wrap anchorx="margin" anchory="margin"/>
        </v:shape>
      </w:pict>
    </w:r>
    <w:r>
      <w:rPr>
        <w:noProof/>
        <w:lang w:eastAsia="pl-PL"/>
      </w:rPr>
      <w:pict w14:anchorId="2D5372E8">
        <v:shape id="_x0000_s1035" type="#_x0000_t75" style="position:absolute;margin-left:0;margin-top:0;width:595.55pt;height:842.05pt;z-index:-251658752;mso-position-horizontal:center;mso-position-horizontal-relative:margin;mso-position-vertical:center;mso-position-vertical-relative:margin" o:allowincell="f">
          <v:imagedata r:id="rId3" o:title="Obszar roboczy 1@4x"/>
          <w10:wrap anchorx="margin" anchory="margin"/>
        </v:shape>
      </w:pict>
    </w:r>
    <w:r>
      <w:rPr>
        <w:noProof/>
        <w:lang w:eastAsia="pl-PL"/>
      </w:rPr>
      <w:pict w14:anchorId="756C05B8">
        <v:shape id="_x0000_s1032" type="#_x0000_t75" style="position:absolute;margin-left:0;margin-top:0;width:595.55pt;height:842.05pt;z-index:-251659776;mso-position-horizontal:center;mso-position-horizontal-relative:margin;mso-position-vertical:center;mso-position-vertical-relative:margin" o:allowincell="f">
          <v:imagedata r:id="rId4" o:title="Obszar roboczy 1 kopia@4x"/>
          <w10:wrap anchorx="margin" anchory="margin"/>
        </v:shape>
      </w:pict>
    </w:r>
    <w:r>
      <w:rPr>
        <w:noProof/>
        <w:lang w:eastAsia="pl-PL"/>
      </w:rPr>
      <w:pict w14:anchorId="4C246312">
        <v:shape id="_x0000_s1029" type="#_x0000_t75" style="position:absolute;margin-left:0;margin-top:0;width:595.55pt;height:842.05pt;z-index:-251660800;mso-position-horizontal:center;mso-position-horizontal-relative:margin;mso-position-vertical:center;mso-position-vertical-relative:margin" o:allowincell="f">
          <v:imagedata r:id="rId5" o:title="Obszar roboczy 1 kopia 3@4x"/>
          <w10:wrap anchorx="margin" anchory="margin"/>
        </v:shape>
      </w:pict>
    </w:r>
    <w:r>
      <w:rPr>
        <w:noProof/>
        <w:lang w:eastAsia="pl-PL"/>
      </w:rPr>
      <w:pict w14:anchorId="2AF993DD">
        <v:shape id="_x0000_s1026" type="#_x0000_t75" style="position:absolute;margin-left:0;margin-top:0;width:595.55pt;height:842.05pt;z-index:-251661824;mso-position-horizontal:center;mso-position-horizontal-relative:margin;mso-position-vertical:center;mso-position-vertical-relative:margin" o:allowincell="f">
          <v:imagedata r:id="rId6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AADE4" w14:textId="77777777" w:rsidR="00F6654F" w:rsidRPr="00F6654F" w:rsidRDefault="00000000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43AA5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left:0;text-align:left;margin-left:0;margin-top:0;width:595.2pt;height:841.9pt;z-index:-251654656;mso-position-horizontal:center;mso-position-horizontal-relative:margin;mso-position-vertical:center;mso-position-vertical-relative:margin" o:allowincell="f">
          <v:imagedata r:id="rId1" o:title="ALL_300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5B46A" w14:textId="77777777" w:rsidR="00F6654F" w:rsidRDefault="00000000">
    <w:pPr>
      <w:pStyle w:val="Nagwek"/>
    </w:pPr>
    <w:r>
      <w:rPr>
        <w:noProof/>
        <w:lang w:eastAsia="pl-PL"/>
      </w:rPr>
      <w:pict w14:anchorId="789D5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ALL_300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917A2"/>
    <w:multiLevelType w:val="hybridMultilevel"/>
    <w:tmpl w:val="A4F28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E2016"/>
    <w:multiLevelType w:val="hybridMultilevel"/>
    <w:tmpl w:val="0434A2F4"/>
    <w:lvl w:ilvl="0" w:tplc="CD4EC228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9713A"/>
    <w:multiLevelType w:val="multilevel"/>
    <w:tmpl w:val="3B62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19525E"/>
    <w:multiLevelType w:val="multilevel"/>
    <w:tmpl w:val="7440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442BB7"/>
    <w:multiLevelType w:val="multilevel"/>
    <w:tmpl w:val="A4B0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76382"/>
    <w:multiLevelType w:val="hybridMultilevel"/>
    <w:tmpl w:val="89728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0476B"/>
    <w:multiLevelType w:val="multilevel"/>
    <w:tmpl w:val="4AA6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B15E4D"/>
    <w:multiLevelType w:val="multilevel"/>
    <w:tmpl w:val="1418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9307164">
    <w:abstractNumId w:val="6"/>
  </w:num>
  <w:num w:numId="2" w16cid:durableId="1661036237">
    <w:abstractNumId w:val="7"/>
  </w:num>
  <w:num w:numId="3" w16cid:durableId="350643276">
    <w:abstractNumId w:val="4"/>
  </w:num>
  <w:num w:numId="4" w16cid:durableId="257057331">
    <w:abstractNumId w:val="3"/>
  </w:num>
  <w:num w:numId="5" w16cid:durableId="799961515">
    <w:abstractNumId w:val="2"/>
  </w:num>
  <w:num w:numId="6" w16cid:durableId="1809858333">
    <w:abstractNumId w:val="1"/>
  </w:num>
  <w:num w:numId="7" w16cid:durableId="337005177">
    <w:abstractNumId w:val="5"/>
  </w:num>
  <w:num w:numId="8" w16cid:durableId="81868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92C0A"/>
    <w:rsid w:val="000D169D"/>
    <w:rsid w:val="0016213F"/>
    <w:rsid w:val="001A20BA"/>
    <w:rsid w:val="001C7546"/>
    <w:rsid w:val="00203C16"/>
    <w:rsid w:val="002B4DDD"/>
    <w:rsid w:val="002C14AA"/>
    <w:rsid w:val="002F5844"/>
    <w:rsid w:val="0031696C"/>
    <w:rsid w:val="00381DB5"/>
    <w:rsid w:val="00453FF6"/>
    <w:rsid w:val="00463D7D"/>
    <w:rsid w:val="00484593"/>
    <w:rsid w:val="00486B90"/>
    <w:rsid w:val="004E1EDB"/>
    <w:rsid w:val="004E55D1"/>
    <w:rsid w:val="00531CD8"/>
    <w:rsid w:val="005376C3"/>
    <w:rsid w:val="005C35E7"/>
    <w:rsid w:val="0062377D"/>
    <w:rsid w:val="00664A24"/>
    <w:rsid w:val="007E409E"/>
    <w:rsid w:val="00807D4C"/>
    <w:rsid w:val="008127AC"/>
    <w:rsid w:val="00817986"/>
    <w:rsid w:val="008275FE"/>
    <w:rsid w:val="008C5803"/>
    <w:rsid w:val="009C0AB6"/>
    <w:rsid w:val="009D1C4B"/>
    <w:rsid w:val="009F3BB8"/>
    <w:rsid w:val="009F5623"/>
    <w:rsid w:val="00A14838"/>
    <w:rsid w:val="00A32238"/>
    <w:rsid w:val="00A33AC0"/>
    <w:rsid w:val="00A40313"/>
    <w:rsid w:val="00A5704F"/>
    <w:rsid w:val="00AA317F"/>
    <w:rsid w:val="00AF0C84"/>
    <w:rsid w:val="00B74BAF"/>
    <w:rsid w:val="00BE4034"/>
    <w:rsid w:val="00CA65F2"/>
    <w:rsid w:val="00D90CFA"/>
    <w:rsid w:val="00D923FB"/>
    <w:rsid w:val="00DA7B45"/>
    <w:rsid w:val="00DE50F1"/>
    <w:rsid w:val="00E21971"/>
    <w:rsid w:val="00ED624A"/>
    <w:rsid w:val="00F05CE9"/>
    <w:rsid w:val="00F53A8A"/>
    <w:rsid w:val="00F6654F"/>
    <w:rsid w:val="00FA2910"/>
    <w:rsid w:val="00FC6DEC"/>
    <w:rsid w:val="00FE2232"/>
    <w:rsid w:val="00FF2836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DAD13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2C0A"/>
    <w:pPr>
      <w:spacing w:after="0" w:line="240" w:lineRule="auto"/>
    </w:pPr>
    <w:rPr>
      <w:rFonts w:ascii="Calibri" w:hAnsi="Calibri" w:cs="Calibri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NormalnyWeb">
    <w:name w:val="Normal (Web)"/>
    <w:basedOn w:val="Normalny"/>
    <w:uiPriority w:val="99"/>
    <w:unhideWhenUsed/>
    <w:rsid w:val="00092C0A"/>
  </w:style>
  <w:style w:type="paragraph" w:customStyle="1" w:styleId="elementtoproof">
    <w:name w:val="elementtoproof"/>
    <w:basedOn w:val="Normalny"/>
    <w:uiPriority w:val="99"/>
    <w:semiHidden/>
    <w:rsid w:val="00092C0A"/>
  </w:style>
  <w:style w:type="character" w:customStyle="1" w:styleId="xcontentpasted0">
    <w:name w:val="x_contentpasted0"/>
    <w:basedOn w:val="Domylnaczcionkaakapitu"/>
    <w:rsid w:val="00092C0A"/>
  </w:style>
  <w:style w:type="character" w:customStyle="1" w:styleId="contentpasted0">
    <w:name w:val="contentpasted0"/>
    <w:basedOn w:val="Domylnaczcionkaakapitu"/>
    <w:rsid w:val="00DA7B45"/>
  </w:style>
  <w:style w:type="character" w:customStyle="1" w:styleId="ui-provider">
    <w:name w:val="ui-provider"/>
    <w:basedOn w:val="Domylnaczcionkaakapitu"/>
    <w:rsid w:val="00DA7B45"/>
  </w:style>
  <w:style w:type="paragraph" w:styleId="Akapitzlist">
    <w:name w:val="List Paragraph"/>
    <w:basedOn w:val="Normalny"/>
    <w:uiPriority w:val="34"/>
    <w:qFormat/>
    <w:rsid w:val="00203C16"/>
    <w:pPr>
      <w:ind w:left="720"/>
      <w:contextualSpacing/>
    </w:pPr>
  </w:style>
  <w:style w:type="paragraph" w:styleId="Poprawka">
    <w:name w:val="Revision"/>
    <w:hidden/>
    <w:uiPriority w:val="99"/>
    <w:semiHidden/>
    <w:rsid w:val="00817986"/>
    <w:pPr>
      <w:spacing w:after="0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770E8-9789-4CFE-89DB-827E718C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667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Piotr Daniluk</cp:lastModifiedBy>
  <cp:revision>3</cp:revision>
  <dcterms:created xsi:type="dcterms:W3CDTF">2023-03-15T17:21:00Z</dcterms:created>
  <dcterms:modified xsi:type="dcterms:W3CDTF">2023-03-16T07:25:00Z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cc42cb-00e2-4be2-ba13-38ff6ee3e9bc_Enabled">
    <vt:lpwstr>true</vt:lpwstr>
  </property>
  <property fmtid="{D5CDD505-2E9C-101B-9397-08002B2CF9AE}" pid="3" name="MSIP_Label_a4cc42cb-00e2-4be2-ba13-38ff6ee3e9bc_SetDate">
    <vt:lpwstr>2023-03-15T10:13:55Z</vt:lpwstr>
  </property>
  <property fmtid="{D5CDD505-2E9C-101B-9397-08002B2CF9AE}" pid="4" name="MSIP_Label_a4cc42cb-00e2-4be2-ba13-38ff6ee3e9bc_Method">
    <vt:lpwstr>Privileged</vt:lpwstr>
  </property>
  <property fmtid="{D5CDD505-2E9C-101B-9397-08002B2CF9AE}" pid="5" name="MSIP_Label_a4cc42cb-00e2-4be2-ba13-38ff6ee3e9bc_Name">
    <vt:lpwstr>62878f15-622c-66a3-6011-6044940f4200</vt:lpwstr>
  </property>
  <property fmtid="{D5CDD505-2E9C-101B-9397-08002B2CF9AE}" pid="6" name="MSIP_Label_a4cc42cb-00e2-4be2-ba13-38ff6ee3e9bc_SiteId">
    <vt:lpwstr>c0627ec3-7e6c-493d-9763-bf943844e332</vt:lpwstr>
  </property>
  <property fmtid="{D5CDD505-2E9C-101B-9397-08002B2CF9AE}" pid="7" name="MSIP_Label_a4cc42cb-00e2-4be2-ba13-38ff6ee3e9bc_ActionId">
    <vt:lpwstr>b97cec8f-d118-4fd6-b793-084a3a0454fb</vt:lpwstr>
  </property>
  <property fmtid="{D5CDD505-2E9C-101B-9397-08002B2CF9AE}" pid="8" name="MSIP_Label_a4cc42cb-00e2-4be2-ba13-38ff6ee3e9bc_ContentBits">
    <vt:lpwstr>0</vt:lpwstr>
  </property>
  <property fmtid="{D5CDD505-2E9C-101B-9397-08002B2CF9AE}" pid="9" name="UPCGREENmodCATEGORY">
    <vt:lpwstr>INTERNAL</vt:lpwstr>
  </property>
  <property fmtid="{D5CDD505-2E9C-101B-9397-08002B2CF9AE}" pid="10" name="UPCGREENmodClassifiedBy">
    <vt:lpwstr>PLADM\mfura;Fura Michal</vt:lpwstr>
  </property>
  <property fmtid="{D5CDD505-2E9C-101B-9397-08002B2CF9AE}" pid="11" name="UPCGREENmodClassificationDate">
    <vt:lpwstr>2023-03-15T13:23:14.5171254+01:00</vt:lpwstr>
  </property>
  <property fmtid="{D5CDD505-2E9C-101B-9397-08002B2CF9AE}" pid="12" name="UPCGREENmodClassifiedBySID">
    <vt:lpwstr>PLADM\S-1-5-21-274730123-1507018650-313593124-106842</vt:lpwstr>
  </property>
  <property fmtid="{D5CDD505-2E9C-101B-9397-08002B2CF9AE}" pid="13" name="UPCGREENmodGRNItemId">
    <vt:lpwstr>GRN-d5793f76-1f7e-4046-b473-7a5000d2a41a</vt:lpwstr>
  </property>
  <property fmtid="{D5CDD505-2E9C-101B-9397-08002B2CF9AE}" pid="14" name="UPCGREENmodHash">
    <vt:lpwstr>aqdBRKDXIPq/Fog/IF3EBT30k513hzTvQbksLYNywGE=</vt:lpwstr>
  </property>
  <property fmtid="{D5CDD505-2E9C-101B-9397-08002B2CF9AE}" pid="15" name="UPCGREENmodRefresh">
    <vt:lpwstr>False</vt:lpwstr>
  </property>
</Properties>
</file>