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15E4" w14:textId="77777777" w:rsidR="00041E49" w:rsidRDefault="009967C2" w:rsidP="00041E49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3130ED">
        <w:rPr>
          <w:rFonts w:ascii="Tahoma" w:eastAsia="Tahoma" w:hAnsi="Tahoma" w:cs="Tahoma"/>
          <w:color w:val="808080"/>
          <w:sz w:val="20"/>
          <w:szCs w:val="20"/>
        </w:rPr>
        <w:t>2</w:t>
      </w:r>
      <w:r w:rsidR="00FC1AC8">
        <w:rPr>
          <w:rFonts w:ascii="Tahoma" w:eastAsia="Tahoma" w:hAnsi="Tahoma" w:cs="Tahoma"/>
          <w:color w:val="808080"/>
          <w:sz w:val="20"/>
          <w:szCs w:val="20"/>
        </w:rPr>
        <w:t>2</w:t>
      </w:r>
      <w:r w:rsidR="003130ED">
        <w:rPr>
          <w:rFonts w:ascii="Tahoma" w:eastAsia="Tahoma" w:hAnsi="Tahoma" w:cs="Tahoma"/>
          <w:color w:val="808080"/>
          <w:sz w:val="20"/>
          <w:szCs w:val="20"/>
        </w:rPr>
        <w:t xml:space="preserve"> marca</w:t>
      </w:r>
      <w:r w:rsidR="00227424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08F2455F" w:rsidR="003B1DAE" w:rsidRPr="00041E49" w:rsidRDefault="009967C2" w:rsidP="00041E49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489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3118"/>
      </w:tblGrid>
      <w:tr w:rsidR="003B1DAE" w14:paraId="2D6F86A2" w14:textId="77777777" w:rsidTr="005E1910">
        <w:tc>
          <w:tcPr>
            <w:tcW w:w="7371" w:type="dxa"/>
          </w:tcPr>
          <w:p w14:paraId="1B44F898" w14:textId="08E6E9AC" w:rsidR="003B1DAE" w:rsidRDefault="009967C2" w:rsidP="00910071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5E191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gaz</w:t>
            </w:r>
            <w:r w:rsidR="00FD2F0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E62DA4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W</w:t>
            </w:r>
            <w:r w:rsidR="0063489D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arszawa</w:t>
            </w:r>
          </w:p>
          <w:p w14:paraId="1D9F0F3A" w14:textId="77777777" w:rsidR="005E1910" w:rsidRDefault="005E1910" w:rsidP="00910071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030C4C94" w14:textId="4F0B8DE2" w:rsidR="00DE3C90" w:rsidRDefault="00FC1AC8" w:rsidP="005E1910">
            <w:pPr>
              <w:spacing w:line="360" w:lineRule="auto"/>
              <w:ind w:right="1161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zrealizuje Gazociąg Warszawski dla Gaz-System</w:t>
            </w:r>
          </w:p>
          <w:p w14:paraId="0DCD8A12" w14:textId="77777777" w:rsidR="0063489D" w:rsidRPr="00DE3C90" w:rsidRDefault="0063489D" w:rsidP="00DE3C9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4B66464C" w14:textId="431FFD6E" w:rsidR="006774E1" w:rsidRPr="00255B29" w:rsidRDefault="005E1910" w:rsidP="0021788D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ind w:right="1093"/>
              <w:jc w:val="both"/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  <w:t>Budimex wybuduje 28 km nowego gazociągu na granicach Warszawy</w:t>
            </w:r>
          </w:p>
          <w:p w14:paraId="5EACC8EF" w14:textId="19C48BB5" w:rsidR="00FC1AC8" w:rsidRPr="00237336" w:rsidRDefault="005E1910" w:rsidP="00237336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ind w:right="1093"/>
              <w:jc w:val="both"/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  <w:t xml:space="preserve">20% długości inwestycji zostanie wykonana technologiami </w:t>
            </w:r>
            <w:proofErr w:type="spellStart"/>
            <w:r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  <w:t>bezwykopowymi</w:t>
            </w:r>
            <w:proofErr w:type="spellEnd"/>
          </w:p>
          <w:p w14:paraId="518ECA20" w14:textId="2DE4600A" w:rsidR="00024FBE" w:rsidRDefault="00FC1AC8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24F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Budimex podpisał umowę z GAZ-SYSTEM S.A. na generalną realizację Gazociągu Warszawskiego</w:t>
            </w:r>
            <w:r w:rsidR="00024F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 długości 28 km w systemie „buduj”</w:t>
            </w:r>
            <w:r w:rsidRPr="00024F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</w:t>
            </w:r>
            <w:r w:rsidR="00024FBE" w:rsidRPr="00024F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To kolejny gazociąg  po zakończonym terminowo w 2022 roku odcinku Bal</w:t>
            </w:r>
            <w:r w:rsidR="00C1179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t</w:t>
            </w:r>
            <w:r w:rsidR="00024FBE" w:rsidRPr="00024F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ic </w:t>
            </w:r>
            <w:proofErr w:type="spellStart"/>
            <w:r w:rsidR="00024FBE" w:rsidRPr="00024F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Pipe</w:t>
            </w:r>
            <w:proofErr w:type="spellEnd"/>
            <w:r w:rsidR="00024FBE" w:rsidRPr="00024F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, realizowany przez </w:t>
            </w:r>
            <w:r w:rsidR="00024F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tego samego </w:t>
            </w:r>
            <w:r w:rsidR="00024FBE" w:rsidRPr="00024FB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polskiego wykonawcę. Oferta Budimeksu została oceniona najwyżej w postępowaniu przetargowym i wybrana jako najkorzystniejsza w grudniu 2022 roku. </w:t>
            </w:r>
          </w:p>
          <w:p w14:paraId="78AA18F9" w14:textId="170939DD" w:rsidR="00FC1AC8" w:rsidRDefault="00024FBE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Gazociąg biegnie w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relacji Rembelszczyzna – ‎Mory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 północno - zachodniej stronie Warszawy. 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Wartość umowy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wynosi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188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mln zł netto.  Rozpoczęcie prac budowlanych jest planowane bezpośrednio po podpisaniu umowy.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Termin zakończenia robót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wynosi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24 miesiące od dnia zawarcia umowy‎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więc w I połowie 2025 roku.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Okres gwarancji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wynosi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36 miesięcy</w:t>
            </w:r>
            <w:r w:rsidR="00041E49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32546F6B" w14:textId="48393100" w:rsidR="00024FBE" w:rsidRPr="00810F40" w:rsidRDefault="00FC1AC8" w:rsidP="00810F40">
            <w:pPr>
              <w:spacing w:before="240" w:after="120" w:line="360" w:lineRule="auto"/>
              <w:ind w:right="1161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Gazociąg Warszawski to strategiczny projekt infrastrukturalny </w:t>
            </w:r>
            <w:r w:rsid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dla Warszawy</w:t>
            </w:r>
            <w:r w:rsidR="00024FBE"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i tego regionu Polski.</w:t>
            </w:r>
            <w:r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. Dzięki budowie nowego gazociągu </w:t>
            </w:r>
            <w:r w:rsid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zwiększy się dostęp do gazu ziemnego zarówno dla odbiorców </w:t>
            </w:r>
            <w:r w:rsid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przemysłowych</w:t>
            </w:r>
            <w:r w:rsidR="00024FBE"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mieszkańców aglomeracji warszawskiej. </w:t>
            </w:r>
            <w:r w:rsidR="00024FBE"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Działający gazociąg o</w:t>
            </w:r>
            <w:r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granic</w:t>
            </w:r>
            <w:r w:rsidR="00024FBE"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zy </w:t>
            </w:r>
            <w:r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emisj</w:t>
            </w:r>
            <w:r w:rsidR="00024FBE"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ę</w:t>
            </w:r>
            <w:r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szkodliwych substancji, co </w:t>
            </w:r>
            <w:r w:rsid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E191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wpłynie na poprawę jakości powietrza w stolicy.</w:t>
            </w:r>
          </w:p>
          <w:p w14:paraId="21B1D00F" w14:textId="5E79CFD4" w:rsidR="00024FBE" w:rsidRDefault="00024FBE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Inwestycja zakłada także budowę: </w:t>
            </w:r>
          </w:p>
          <w:p w14:paraId="3DCFC327" w14:textId="7DBE7423" w:rsidR="00024FBE" w:rsidRDefault="00024FBE" w:rsidP="00810F40">
            <w:pPr>
              <w:spacing w:before="240" w:line="360" w:lineRule="auto"/>
              <w:ind w:right="1093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="005E1910">
              <w:rPr>
                <w:rFonts w:ascii="Tahoma" w:eastAsia="Tahoma" w:hAnsi="Tahoma" w:cs="Tahoma"/>
                <w:color w:val="747678"/>
                <w:sz w:val="18"/>
                <w:szCs w:val="18"/>
              </w:rPr>
              <w:t>sieci światłowodowej</w:t>
            </w:r>
            <w:r w:rsidR="00737135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</w:p>
          <w:p w14:paraId="4E4807B5" w14:textId="650780B5" w:rsidR="00FC1AC8" w:rsidRDefault="00024FBE" w:rsidP="00810F40">
            <w:pPr>
              <w:spacing w:before="240" w:line="360" w:lineRule="auto"/>
              <w:ind w:right="1093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podziemnego zespołu przyłączeniowego DN700/DN100</w:t>
            </w:r>
            <w:r w:rsidR="005E191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umożliwiającego</w:t>
            </w:r>
            <w:r w:rsidR="00810F4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podłączenie istniejącej stacji gazowej Jabłonna</w:t>
            </w:r>
            <w:r w:rsidR="005E1910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</w:p>
          <w:p w14:paraId="4DA6330C" w14:textId="0E7A5DFA" w:rsidR="00FC1AC8" w:rsidRPr="00FC1AC8" w:rsidRDefault="00024FBE" w:rsidP="00810F40">
            <w:pPr>
              <w:spacing w:before="240" w:line="360" w:lineRule="auto"/>
              <w:ind w:right="1093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-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stacji gazowej zlokalizowanej w bezpośrednim sąsiedztwie</w:t>
            </w:r>
            <w:r w:rsidR="00810F4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istniejącej stacji gazowej</w:t>
            </w:r>
            <w:r w:rsidR="005E1910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</w:p>
          <w:p w14:paraId="047A8523" w14:textId="68CF52B5" w:rsidR="00FC1AC8" w:rsidRDefault="00024FBE" w:rsidP="00810F40">
            <w:pPr>
              <w:spacing w:before="240" w:line="360" w:lineRule="auto"/>
              <w:ind w:right="1093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 systemów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przełączeniowych polegających na połączeniu wybudowanego</w:t>
            </w:r>
            <w:r w:rsidR="00810F4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gazociągu z istniejącym gazociągiem przesyłowym</w:t>
            </w:r>
            <w:r w:rsidR="005E1910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48033218" w14:textId="1F431841" w:rsidR="00FC1AC8" w:rsidRPr="00FC1AC8" w:rsidRDefault="00024FBE" w:rsidP="00810F40">
            <w:pPr>
              <w:spacing w:before="240" w:line="360" w:lineRule="auto"/>
              <w:ind w:right="1093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ciągu pieszo – rowerowego stanowiącego awaryjny dojazd służb</w:t>
            </w:r>
            <w:r w:rsidR="00810F4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przeciwpożarowych o długości</w:t>
            </w:r>
            <w:r w:rsidR="005E191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1,4 km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, prowadzonego wzdłuż istniejącej ścieżki pieszo –</w:t>
            </w:r>
            <w:r w:rsidR="005E191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rowerowej</w:t>
            </w:r>
            <w:r w:rsidR="005E1910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</w:p>
          <w:p w14:paraId="0ED19D4B" w14:textId="66CB81E3" w:rsidR="00FC1AC8" w:rsidRPr="00FC1AC8" w:rsidRDefault="005E1910" w:rsidP="00810F40">
            <w:pPr>
              <w:spacing w:before="240" w:line="360" w:lineRule="auto"/>
              <w:ind w:right="1093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systemu ochrony katodowej wraz ze stacjami ochrony katodowej</w:t>
            </w:r>
            <w:r w:rsidR="00810F4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z uziomami anodowymi oraz stacjami anod galwanicznych.</w:t>
            </w:r>
          </w:p>
          <w:p w14:paraId="111A3BC2" w14:textId="7D6F78AE" w:rsidR="005E1910" w:rsidRPr="00810F40" w:rsidRDefault="005E1910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5E191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Nowoczesne tech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n</w:t>
            </w:r>
            <w:r w:rsidRPr="005E191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ologie</w:t>
            </w:r>
          </w:p>
          <w:p w14:paraId="5D3B7E92" w14:textId="3EE71CC3" w:rsidR="00FC1AC8" w:rsidRPr="00FC1AC8" w:rsidRDefault="00FC1AC8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Ponad 5 km trasy, czyli około 1/5 długości gazociągu, będzie wykonanych metodami </w:t>
            </w:r>
            <w:proofErr w:type="spellStart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bezwykopowymi</w:t>
            </w:r>
            <w:proofErr w:type="spellEnd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łącznie zaplanowano 32 takie przejścia o</w:t>
            </w:r>
            <w:r w:rsidR="001D0323">
              <w:rPr>
                <w:rFonts w:ascii="Tahoma" w:eastAsia="Tahoma" w:hAnsi="Tahoma" w:cs="Tahoma"/>
                <w:color w:val="747678"/>
                <w:sz w:val="18"/>
                <w:szCs w:val="18"/>
              </w:rPr>
              <w:t> </w:t>
            </w: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różnej długości. Wśród nich jest </w:t>
            </w:r>
            <w:r w:rsidR="001D0323">
              <w:rPr>
                <w:rFonts w:ascii="Tahoma" w:eastAsia="Tahoma" w:hAnsi="Tahoma" w:cs="Tahoma"/>
                <w:color w:val="747678"/>
                <w:sz w:val="18"/>
                <w:szCs w:val="18"/>
              </w:rPr>
              <w:t>pięć</w:t>
            </w: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tzw. długich – dwa horyzontalne przewierty sterowane (HDD) oraz trzy przejścia metodą Direct </w:t>
            </w:r>
            <w:proofErr w:type="spellStart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Pipe</w:t>
            </w:r>
            <w:proofErr w:type="spellEnd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. Taki sposób realizacji prac znacząco zmniejsza ingerencję w środowisko naturalne –  nienaruszone pozostaną miejsca cenne przyrodniczo, takie jak Rezerwat Ławice Kiełpińskie na Wiśle, czy Park Młociński na Bielanach.</w:t>
            </w:r>
          </w:p>
          <w:p w14:paraId="3F9CEF7D" w14:textId="059807FF" w:rsidR="00FC1AC8" w:rsidRPr="00FC1AC8" w:rsidRDefault="00FC1AC8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Do przejścia pod dnem Wisły i Rezerwatem Ławice Kiełpińskie na długości ok. 1149 metrów wykorzystana zostanie technologia sterowanego przewiertu horyzontalnego, tzw. HDD. Pozwoli to ominąć cenny przyrodniczo teren Rezerwatu i zachować ciągłość żeglugi rzecznej.  Drugi przewiert HDD zaplanowany jest na terenie Lasu Nowa Warszawa (Młocińskiego). </w:t>
            </w:r>
            <w:proofErr w:type="spellStart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Bezwykopowe</w:t>
            </w:r>
            <w:proofErr w:type="spellEnd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poprowadzenie gazociągu na trasie ok. 1200 metrów pozwoli zachować </w:t>
            </w:r>
            <w:r w:rsidR="00162C0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miejscowe drzewa. </w:t>
            </w: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1293830D" w14:textId="6D166D91" w:rsidR="00FC1AC8" w:rsidRPr="00FC1AC8" w:rsidRDefault="00FC1AC8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Drugą zastosowaną metodą </w:t>
            </w:r>
            <w:proofErr w:type="spellStart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bezwykopową</w:t>
            </w:r>
            <w:proofErr w:type="spellEnd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będzie Direct </w:t>
            </w:r>
            <w:proofErr w:type="spellStart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Pipe</w:t>
            </w:r>
            <w:proofErr w:type="spellEnd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. W celu jak największego zachowania drzewostanu technologia ta zostanie wykorzystana:</w:t>
            </w:r>
          </w:p>
          <w:p w14:paraId="40174FB5" w14:textId="0C84FD6F" w:rsidR="00FC1AC8" w:rsidRPr="00FC1AC8" w:rsidRDefault="005E1910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pod Parkiem Młocińskim na długości ok. 526 m,</w:t>
            </w:r>
          </w:p>
          <w:p w14:paraId="59599F41" w14:textId="13F8C36B" w:rsidR="00FC1AC8" w:rsidRPr="00FC1AC8" w:rsidRDefault="005E1910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w rejonie ogródków działkowych na Bielanach – gazociąg zostanie tam poprowadzony pod ziemią, bez robienia wykopów na długości ok. 320 m (obszar wzdłuż Wału Wiślanego przyległy do Parku Młocińskiego),</w:t>
            </w:r>
          </w:p>
          <w:p w14:paraId="2D49E94F" w14:textId="5260134C" w:rsidR="00041E49" w:rsidRDefault="005E1910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- </w:t>
            </w:r>
            <w:r w:rsidR="00FC1AC8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pod ul. Modlińską oraz na obszarze leśnym po zachodniej stronie ul. Modlińskiej na długości ok. 529 m (obszar leśny od ul. Modlińskiej w stronę Wisły).</w:t>
            </w:r>
          </w:p>
          <w:p w14:paraId="127A7580" w14:textId="4FCCAC15" w:rsidR="00041E49" w:rsidRPr="00810F40" w:rsidRDefault="00041E49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5E191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Ochrona środowiska</w:t>
            </w:r>
          </w:p>
          <w:p w14:paraId="7EFA69B7" w14:textId="77777777" w:rsidR="00041E49" w:rsidRDefault="00041E49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trakcie projektowania trasy Gazociągu Warszawskiego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podjęto wiele działań na rzecz ochrony środowiska. N</w:t>
            </w: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a etapie budowy pas budowlano-montażowy na terenach leśnych będzie zawężony do 15 metrów (standardowa szerokość to 18-20 m) – jest to minimalna szerokość niezbędna do przeprowadzenia prac i dostarczenia na miejsce elementów budowlanych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62C60F52" w14:textId="29048C62" w:rsidR="00041E49" w:rsidRPr="00FC1AC8" w:rsidRDefault="00041E49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N</w:t>
            </w: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 trasie gazociągu zaprojektowano szereg przekroczeń </w:t>
            </w:r>
            <w:proofErr w:type="spellStart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bezwykopowych</w:t>
            </w:r>
            <w:proofErr w:type="spellEnd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, zwłaszcza na terenach zalesionych takich jak: Park Młociński, Las Nowa Warszawa oraz teren leśny w okolicy ul. Modlińskiej. Umożliwią one poprowadzenie gazociągu głęboko pod ziemią, z korzyścią dla środowiska</w:t>
            </w:r>
            <w:r w:rsidR="00E11319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295D6A03" w14:textId="06D79FD1" w:rsidR="00041E49" w:rsidRDefault="00E11319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P</w:t>
            </w:r>
            <w:r w:rsidR="00041E49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 zakończeniu budowy </w:t>
            </w: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pasie inwestycji </w:t>
            </w:r>
            <w:r w:rsidR="00041E49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przeprowadz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one zostaną</w:t>
            </w:r>
            <w:r w:rsidR="00041E49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nasadzenia towarzyszące, złożone z gatunków rodzimych. Dodatkowo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za</w:t>
            </w:r>
            <w:r w:rsidR="00041E49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plan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owano</w:t>
            </w:r>
            <w:r w:rsidR="00041E49"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dobrowolne nasadzenia w ramach działań proekologicznych na rzecz środowiska naturalnego w aglomeracji warszawskiej.</w:t>
            </w:r>
          </w:p>
          <w:p w14:paraId="6BDF608F" w14:textId="33982851" w:rsidR="00041E49" w:rsidRPr="00FC1AC8" w:rsidRDefault="00041E49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Wykorzystanie technologii </w:t>
            </w:r>
            <w:proofErr w:type="spellStart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bezwykopowych</w:t>
            </w:r>
            <w:proofErr w:type="spellEnd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nie tylko znacząco zmniejsza ingerencję w środowisko, ale pozwala też w mniej uciążliwy sposób przekroczyć przeszkody terenowe – skrzyżowania z drogami, wiaduktami i</w:t>
            </w:r>
            <w:r w:rsidR="00E11319">
              <w:rPr>
                <w:rFonts w:ascii="Tahoma" w:eastAsia="Tahoma" w:hAnsi="Tahoma" w:cs="Tahoma"/>
                <w:color w:val="747678"/>
                <w:sz w:val="18"/>
                <w:szCs w:val="18"/>
              </w:rPr>
              <w:t> </w:t>
            </w: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ciekami wodnymi, np. rzekami, czy kanałami. W trakcie prac budowalnych drogi będę pokonywane przy użyciu </w:t>
            </w:r>
            <w:proofErr w:type="spellStart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przecisków</w:t>
            </w:r>
            <w:proofErr w:type="spellEnd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, dzięki czemu ruch nie zostanie wstrzymany.</w:t>
            </w:r>
          </w:p>
          <w:p w14:paraId="1D1F5484" w14:textId="1769CAB6" w:rsidR="0021788D" w:rsidRPr="00810F40" w:rsidRDefault="00041E49" w:rsidP="00810F40">
            <w:pPr>
              <w:spacing w:before="24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Wszystkie te działania wpłynęły na ostateczny koszt budowy, a ich korzyści dla otoczenia są niebagatelne. Szczególne istotne dla zachowania drzewostanu będą wymagające technicznie przejścia </w:t>
            </w:r>
            <w:proofErr w:type="spellStart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bezwykopowe</w:t>
            </w:r>
            <w:proofErr w:type="spellEnd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529A44FD" w14:textId="77777777" w:rsidR="00FC1AC8" w:rsidRPr="00FC1AC8" w:rsidRDefault="00FC1AC8" w:rsidP="00810F40">
            <w:pPr>
              <w:spacing w:before="24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FC1A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Podstawowe parametry i opis inwestycji:</w:t>
            </w:r>
          </w:p>
          <w:p w14:paraId="035575F4" w14:textId="77777777" w:rsidR="00FC1AC8" w:rsidRPr="00FC1AC8" w:rsidRDefault="00FC1AC8" w:rsidP="00810F40">
            <w:pPr>
              <w:numPr>
                <w:ilvl w:val="0"/>
                <w:numId w:val="4"/>
              </w:numPr>
              <w:spacing w:before="24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gazociąg wysokiego ciśnienia,</w:t>
            </w:r>
          </w:p>
          <w:p w14:paraId="009AD588" w14:textId="77777777" w:rsidR="00FC1AC8" w:rsidRPr="00FC1AC8" w:rsidRDefault="00FC1AC8" w:rsidP="00810F40">
            <w:pPr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średnica: 700 mm,</w:t>
            </w:r>
          </w:p>
          <w:p w14:paraId="4EFE653F" w14:textId="77777777" w:rsidR="00FC1AC8" w:rsidRPr="00FC1AC8" w:rsidRDefault="00FC1AC8" w:rsidP="00810F40">
            <w:pPr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ciśnienie robocze: 8,4 </w:t>
            </w:r>
            <w:proofErr w:type="spellStart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MPa</w:t>
            </w:r>
            <w:proofErr w:type="spellEnd"/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</w:p>
          <w:p w14:paraId="107F0D7D" w14:textId="77777777" w:rsidR="00FC1AC8" w:rsidRPr="00FC1AC8" w:rsidRDefault="00FC1AC8" w:rsidP="00810F40">
            <w:pPr>
              <w:numPr>
                <w:ilvl w:val="0"/>
                <w:numId w:val="7"/>
              </w:numPr>
              <w:spacing w:before="24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FC1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długość: ok. 28,5 km.</w:t>
            </w:r>
          </w:p>
          <w:p w14:paraId="07D24DC1" w14:textId="6BBA950D" w:rsidR="0063489D" w:rsidRPr="0063489D" w:rsidRDefault="0063489D" w:rsidP="0063489D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D9AEC0C" w14:textId="5873BEF1" w:rsidR="00734D0A" w:rsidRDefault="00910071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lastRenderedPageBreak/>
              <w:t>------</w:t>
            </w: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2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 w:rsidP="00041E49">
            <w:pPr>
              <w:spacing w:after="120" w:line="360" w:lineRule="auto"/>
              <w:ind w:left="-118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 w:rsidP="00041E49">
            <w:pPr>
              <w:spacing w:after="120" w:line="360" w:lineRule="auto"/>
              <w:ind w:left="-118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 w:rsidP="00041E49">
            <w:pPr>
              <w:spacing w:line="360" w:lineRule="auto"/>
              <w:ind w:left="-118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162C01" w:rsidP="00041E49">
            <w:pPr>
              <w:spacing w:line="360" w:lineRule="auto"/>
              <w:ind w:left="-118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162C01" w:rsidP="00041E49">
            <w:pPr>
              <w:spacing w:before="280" w:after="280" w:line="360" w:lineRule="auto"/>
              <w:ind w:left="-118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0061" w14:textId="77777777" w:rsidR="00033B4D" w:rsidRDefault="00033B4D">
      <w:pPr>
        <w:spacing w:after="0" w:line="240" w:lineRule="auto"/>
      </w:pPr>
      <w:r>
        <w:separator/>
      </w:r>
    </w:p>
  </w:endnote>
  <w:endnote w:type="continuationSeparator" w:id="0">
    <w:p w14:paraId="19C92862" w14:textId="77777777" w:rsidR="00033B4D" w:rsidRDefault="0003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57D5" w14:textId="77777777" w:rsidR="00033B4D" w:rsidRDefault="00033B4D">
      <w:pPr>
        <w:spacing w:after="0" w:line="240" w:lineRule="auto"/>
      </w:pPr>
      <w:r>
        <w:separator/>
      </w:r>
    </w:p>
  </w:footnote>
  <w:footnote w:type="continuationSeparator" w:id="0">
    <w:p w14:paraId="0BEEFF42" w14:textId="77777777" w:rsidR="00033B4D" w:rsidRDefault="0003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5D40"/>
    <w:multiLevelType w:val="multilevel"/>
    <w:tmpl w:val="58A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13CA3"/>
    <w:multiLevelType w:val="multilevel"/>
    <w:tmpl w:val="DB90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0213610">
    <w:abstractNumId w:val="3"/>
  </w:num>
  <w:num w:numId="2" w16cid:durableId="208614466">
    <w:abstractNumId w:val="4"/>
  </w:num>
  <w:num w:numId="3" w16cid:durableId="1115715603">
    <w:abstractNumId w:val="2"/>
  </w:num>
  <w:num w:numId="4" w16cid:durableId="679202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679202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679202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679202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59031306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59031306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E"/>
    <w:rsid w:val="00005967"/>
    <w:rsid w:val="00024FBE"/>
    <w:rsid w:val="00033B4D"/>
    <w:rsid w:val="00035098"/>
    <w:rsid w:val="00041E49"/>
    <w:rsid w:val="0004417E"/>
    <w:rsid w:val="00045270"/>
    <w:rsid w:val="000C1AA1"/>
    <w:rsid w:val="0011509B"/>
    <w:rsid w:val="00122EF2"/>
    <w:rsid w:val="00125D50"/>
    <w:rsid w:val="0015128F"/>
    <w:rsid w:val="00153DB6"/>
    <w:rsid w:val="00162C01"/>
    <w:rsid w:val="00170C68"/>
    <w:rsid w:val="00172D1D"/>
    <w:rsid w:val="00192890"/>
    <w:rsid w:val="001A4445"/>
    <w:rsid w:val="001B65C3"/>
    <w:rsid w:val="001C6FB2"/>
    <w:rsid w:val="001D0323"/>
    <w:rsid w:val="001D0358"/>
    <w:rsid w:val="001E103E"/>
    <w:rsid w:val="001E1475"/>
    <w:rsid w:val="001F0F39"/>
    <w:rsid w:val="00203086"/>
    <w:rsid w:val="0021788D"/>
    <w:rsid w:val="00227424"/>
    <w:rsid w:val="002342F3"/>
    <w:rsid w:val="00237336"/>
    <w:rsid w:val="00237B08"/>
    <w:rsid w:val="00255B29"/>
    <w:rsid w:val="002653BF"/>
    <w:rsid w:val="00271280"/>
    <w:rsid w:val="0027391F"/>
    <w:rsid w:val="00285560"/>
    <w:rsid w:val="00293A52"/>
    <w:rsid w:val="002B0328"/>
    <w:rsid w:val="002B3398"/>
    <w:rsid w:val="002B6F82"/>
    <w:rsid w:val="002E37BE"/>
    <w:rsid w:val="00307758"/>
    <w:rsid w:val="003130ED"/>
    <w:rsid w:val="00333A8B"/>
    <w:rsid w:val="003B0035"/>
    <w:rsid w:val="003B1DAE"/>
    <w:rsid w:val="003E3E21"/>
    <w:rsid w:val="003E6001"/>
    <w:rsid w:val="00425428"/>
    <w:rsid w:val="004317A0"/>
    <w:rsid w:val="00455AF7"/>
    <w:rsid w:val="0045625E"/>
    <w:rsid w:val="00463DB1"/>
    <w:rsid w:val="00473F87"/>
    <w:rsid w:val="00482FFC"/>
    <w:rsid w:val="0048734C"/>
    <w:rsid w:val="0049557E"/>
    <w:rsid w:val="004A227F"/>
    <w:rsid w:val="004B0E48"/>
    <w:rsid w:val="004B3484"/>
    <w:rsid w:val="004B36C2"/>
    <w:rsid w:val="004B4585"/>
    <w:rsid w:val="004C6F43"/>
    <w:rsid w:val="004D23DB"/>
    <w:rsid w:val="004D2CB9"/>
    <w:rsid w:val="004E2352"/>
    <w:rsid w:val="004F28EB"/>
    <w:rsid w:val="00580DBC"/>
    <w:rsid w:val="00591F2A"/>
    <w:rsid w:val="005B2870"/>
    <w:rsid w:val="005C7B13"/>
    <w:rsid w:val="005E1910"/>
    <w:rsid w:val="005E5391"/>
    <w:rsid w:val="0060483B"/>
    <w:rsid w:val="00617FB9"/>
    <w:rsid w:val="00621025"/>
    <w:rsid w:val="0063489D"/>
    <w:rsid w:val="00664B42"/>
    <w:rsid w:val="0067228C"/>
    <w:rsid w:val="006774E1"/>
    <w:rsid w:val="006B23E5"/>
    <w:rsid w:val="006B4229"/>
    <w:rsid w:val="006B73ED"/>
    <w:rsid w:val="006F4A28"/>
    <w:rsid w:val="00733A2E"/>
    <w:rsid w:val="00734D0A"/>
    <w:rsid w:val="00737135"/>
    <w:rsid w:val="00753410"/>
    <w:rsid w:val="007619F3"/>
    <w:rsid w:val="00764B40"/>
    <w:rsid w:val="007B1336"/>
    <w:rsid w:val="007E18DE"/>
    <w:rsid w:val="007F2E04"/>
    <w:rsid w:val="007F3184"/>
    <w:rsid w:val="007F3CC7"/>
    <w:rsid w:val="00800D2C"/>
    <w:rsid w:val="00810F40"/>
    <w:rsid w:val="00815A09"/>
    <w:rsid w:val="00821D89"/>
    <w:rsid w:val="00845EC4"/>
    <w:rsid w:val="00845ED3"/>
    <w:rsid w:val="008717D3"/>
    <w:rsid w:val="008745A4"/>
    <w:rsid w:val="00876DE2"/>
    <w:rsid w:val="00885B0E"/>
    <w:rsid w:val="008D42A6"/>
    <w:rsid w:val="008D5767"/>
    <w:rsid w:val="008E07BF"/>
    <w:rsid w:val="008E6A30"/>
    <w:rsid w:val="00900FB4"/>
    <w:rsid w:val="00910071"/>
    <w:rsid w:val="00910344"/>
    <w:rsid w:val="00932589"/>
    <w:rsid w:val="00935737"/>
    <w:rsid w:val="009709D2"/>
    <w:rsid w:val="00994841"/>
    <w:rsid w:val="009967C2"/>
    <w:rsid w:val="009A2909"/>
    <w:rsid w:val="009C71D1"/>
    <w:rsid w:val="00A0236D"/>
    <w:rsid w:val="00A2605A"/>
    <w:rsid w:val="00A51B54"/>
    <w:rsid w:val="00A60D9C"/>
    <w:rsid w:val="00A62C3A"/>
    <w:rsid w:val="00A751EB"/>
    <w:rsid w:val="00A81EB4"/>
    <w:rsid w:val="00A95F3C"/>
    <w:rsid w:val="00AB13B2"/>
    <w:rsid w:val="00AB41A5"/>
    <w:rsid w:val="00AD373B"/>
    <w:rsid w:val="00AD6A2F"/>
    <w:rsid w:val="00AE517C"/>
    <w:rsid w:val="00AF7CB0"/>
    <w:rsid w:val="00B06DE6"/>
    <w:rsid w:val="00B12F71"/>
    <w:rsid w:val="00B738C4"/>
    <w:rsid w:val="00B96E92"/>
    <w:rsid w:val="00BA7C09"/>
    <w:rsid w:val="00C0050C"/>
    <w:rsid w:val="00C11790"/>
    <w:rsid w:val="00C353E3"/>
    <w:rsid w:val="00C448E6"/>
    <w:rsid w:val="00C712F5"/>
    <w:rsid w:val="00C717BC"/>
    <w:rsid w:val="00C74D83"/>
    <w:rsid w:val="00CA3C4C"/>
    <w:rsid w:val="00CC3A35"/>
    <w:rsid w:val="00CD6FD8"/>
    <w:rsid w:val="00CE5E73"/>
    <w:rsid w:val="00D25679"/>
    <w:rsid w:val="00D269A5"/>
    <w:rsid w:val="00D40B49"/>
    <w:rsid w:val="00D42D4D"/>
    <w:rsid w:val="00D62673"/>
    <w:rsid w:val="00D65E13"/>
    <w:rsid w:val="00D67D0B"/>
    <w:rsid w:val="00D87525"/>
    <w:rsid w:val="00DB27C9"/>
    <w:rsid w:val="00DC033A"/>
    <w:rsid w:val="00DD0A38"/>
    <w:rsid w:val="00DD67EE"/>
    <w:rsid w:val="00DE3C90"/>
    <w:rsid w:val="00DF25E5"/>
    <w:rsid w:val="00E11319"/>
    <w:rsid w:val="00E2090D"/>
    <w:rsid w:val="00E24F1A"/>
    <w:rsid w:val="00E31E81"/>
    <w:rsid w:val="00E43C68"/>
    <w:rsid w:val="00E62DA4"/>
    <w:rsid w:val="00EC75C0"/>
    <w:rsid w:val="00ED4BD3"/>
    <w:rsid w:val="00ED5AE6"/>
    <w:rsid w:val="00F1073B"/>
    <w:rsid w:val="00F15958"/>
    <w:rsid w:val="00F479B6"/>
    <w:rsid w:val="00F70BEA"/>
    <w:rsid w:val="00FB12A7"/>
    <w:rsid w:val="00FC1AC8"/>
    <w:rsid w:val="00FD2F0C"/>
    <w:rsid w:val="00FF1E47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B7E98"/>
  <w15:docId w15:val="{6EEC8B47-5D33-4C82-A87D-97016A94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AF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  <w:style w:type="paragraph" w:customStyle="1" w:styleId="intro">
    <w:name w:val="intro"/>
    <w:basedOn w:val="Normalny"/>
    <w:rsid w:val="00CC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463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udimex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8E9E02-7511-4A6D-ABE6-10EB29B583C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945</Words>
  <Characters>5675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Wrzosek, Michał</cp:lastModifiedBy>
  <cp:revision>2</cp:revision>
  <dcterms:created xsi:type="dcterms:W3CDTF">2023-03-22T09:27:00Z</dcterms:created>
  <dcterms:modified xsi:type="dcterms:W3CDTF">2023-03-22T09:27:00Z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