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7FE0" w14:textId="77777777" w:rsidR="0005199B" w:rsidRPr="00E14561" w:rsidRDefault="0005199B" w:rsidP="00E14561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32487921" w14:textId="49F8B595" w:rsidR="0046567B" w:rsidRDefault="00427B1C" w:rsidP="00427B1C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noProof/>
          <w:color w:val="000000" w:themeColor="text1"/>
          <w:kern w:val="0"/>
          <w:sz w:val="18"/>
          <w:szCs w:val="18"/>
          <w:lang w:eastAsia="pl-PL"/>
        </w:rPr>
        <w:drawing>
          <wp:inline distT="0" distB="0" distL="0" distR="0" wp14:anchorId="655AF376" wp14:editId="180A7321">
            <wp:extent cx="1137371" cy="2563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243" cy="26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7499B" w14:textId="77777777" w:rsidR="00427B1C" w:rsidRDefault="00427B1C" w:rsidP="00427B1C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0B9BE7DB" w14:textId="77777777" w:rsidR="00427B1C" w:rsidRDefault="00427B1C" w:rsidP="00427B1C">
      <w:pPr>
        <w:shd w:val="clear" w:color="auto" w:fill="FEFEFE"/>
        <w:spacing w:line="276" w:lineRule="auto"/>
        <w:jc w:val="right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22682328" w14:textId="2EBFB552" w:rsidR="0046567B" w:rsidRPr="00427B1C" w:rsidRDefault="0046567B" w:rsidP="00427B1C">
      <w:pPr>
        <w:shd w:val="clear" w:color="auto" w:fill="FEFEFE"/>
        <w:spacing w:line="276" w:lineRule="auto"/>
        <w:jc w:val="right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427B1C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materiał prasowy, xx.03.2023</w:t>
      </w: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r</w:t>
      </w:r>
      <w:r w:rsidRPr="00427B1C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</w:p>
    <w:p w14:paraId="530FF4E2" w14:textId="77777777" w:rsidR="0046567B" w:rsidRDefault="0046567B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</w:pPr>
    </w:p>
    <w:p w14:paraId="60A9DE7B" w14:textId="526E1567" w:rsidR="00E14561" w:rsidRPr="00E14561" w:rsidRDefault="00E14561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</w:pPr>
      <w:r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  <w:t>Kiedy babci</w:t>
      </w:r>
      <w:r w:rsidR="00312C1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  <w:t>a</w:t>
      </w:r>
      <w:r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22"/>
          <w:szCs w:val="22"/>
          <w:lang w:eastAsia="pl-PL"/>
          <w14:ligatures w14:val="none"/>
        </w:rPr>
        <w:t xml:space="preserve"> zostawia nam w spadku nie tylko mieszkanie, ale i problem…, czyli co trzeba wiedzieć o dziedziczeniu długów </w:t>
      </w:r>
    </w:p>
    <w:p w14:paraId="3A372E20" w14:textId="77777777" w:rsidR="00E14561" w:rsidRPr="00E14561" w:rsidRDefault="00E14561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0D2A1764" w14:textId="43B22DE0" w:rsidR="00C15FED" w:rsidRPr="008C67EF" w:rsidRDefault="00E14561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Zdarza się, że o problemach finansowych naszych bliskich dowiadujemy się dopiero wtedy, gdy odeszli. Już ten sam fakt jest </w:t>
      </w:r>
      <w:r w:rsidR="00312C1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wystarczająco</w:t>
      </w:r>
      <w:r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trudny, a potem dowiadujemy się, że kochana babcia czy ciocia zostawiła </w:t>
      </w:r>
      <w:r w:rsidR="00312C1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 spadku nie tylko mieszkanie czy zestaw rodzinnych </w:t>
      </w:r>
      <w:r w:rsidR="00635FED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sreber, ale również… długi! Co wtedy?</w:t>
      </w:r>
      <w:r w:rsidR="00312C1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Kluczowa jest wiedza, jakie są konsekwencje dla spadkobiercy, gdy świadomie rezygnuje z</w:t>
      </w:r>
      <w:r w:rsidR="00C15FED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majątku</w:t>
      </w:r>
      <w:r w:rsidR="00312C1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ale także i z konieczności spłaty nieswojego długu</w:t>
      </w:r>
      <w:r w:rsidR="00C15FED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a z czym musi się liczyć, gdy decyduje się przyjąć zadłużony spadek</w:t>
      </w:r>
      <w:r w:rsidR="00312C1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. Chociaż przyjęcie majątku z dłu</w:t>
      </w:r>
      <w:r w:rsidR="00C15FED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giem może być wyzwaniem finansowym, to jednak bywają sytuacje, w których podjęcie tego ryzyka się opłaca. Dlaczego? Czy spłata odz</w:t>
      </w:r>
      <w:r w:rsidR="00593DBC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iedzi</w:t>
      </w:r>
      <w:r w:rsidR="00C15FED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czonego zadłużenia wygląda inaczej niż „zwykłego” długu?</w:t>
      </w:r>
      <w:r w:rsidR="00593DBC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C15FED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Ekspert Intrum odpowiada.</w:t>
      </w:r>
    </w:p>
    <w:p w14:paraId="5237E272" w14:textId="77777777" w:rsidR="00E14561" w:rsidRDefault="00E14561" w:rsidP="00E14561">
      <w:pPr>
        <w:shd w:val="clear" w:color="auto" w:fill="FEFEFE"/>
        <w:spacing w:line="276" w:lineRule="auto"/>
        <w:outlineLvl w:val="3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2453FF42" w14:textId="1544439B" w:rsidR="00593DBC" w:rsidRPr="00593DBC" w:rsidRDefault="00593DBC" w:rsidP="00E14561">
      <w:pPr>
        <w:shd w:val="clear" w:color="auto" w:fill="FEFEFE"/>
        <w:spacing w:line="276" w:lineRule="auto"/>
        <w:outlineLvl w:val="3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593DBC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Dziedziczenie długów – co mówi prawo?</w:t>
      </w:r>
    </w:p>
    <w:p w14:paraId="6421C5E9" w14:textId="77777777" w:rsidR="00593DBC" w:rsidRPr="00E14561" w:rsidRDefault="00593DBC" w:rsidP="00E14561">
      <w:pPr>
        <w:shd w:val="clear" w:color="auto" w:fill="FEFEFE"/>
        <w:spacing w:line="276" w:lineRule="auto"/>
        <w:outlineLvl w:val="3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74D1C864" w14:textId="3FAC56B3" w:rsidR="00635FED" w:rsidRPr="0046567B" w:rsidRDefault="00635FED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Osoba, która otrzymuje spadek z długami w świetle obowiązującego prawa: </w:t>
      </w:r>
      <w:r w:rsidR="00593DBC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może go odrzucić, </w:t>
      </w:r>
      <w:r w:rsidR="00E14561"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przyjąć go z tzw. dobrodziejstwem inwentarza lub przyjąć dziedziczony majątek wprost.</w:t>
      </w: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– 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Co ważne, w 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każdej ze wspomnianych sytuacji mamy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6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miesięcy na podjęcie decyzji. Jeśli w tym czasie nie podejmiemy żadnych 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kroków, 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spadek automatycznie zostanie przez nas </w:t>
      </w:r>
      <w:r w:rsidR="00A45D30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odziedziczony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z dobrodziejstwem inwentarza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– wyjaśnia </w:t>
      </w:r>
      <w:r w:rsidR="00D417AE" w:rsidRPr="00D417AE">
        <w:rPr>
          <w:rFonts w:ascii="Intrum Sans" w:hAnsi="Intrum Sans" w:cs="Calibri"/>
          <w:b/>
          <w:bCs/>
          <w:color w:val="000000" w:themeColor="text1"/>
          <w:sz w:val="18"/>
          <w:szCs w:val="18"/>
        </w:rPr>
        <w:t>Marlena Żukowska</w:t>
      </w:r>
      <w:r w:rsidRPr="00D417AE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</w:t>
      </w:r>
      <w:r w:rsidRPr="0046567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ekspert Intrum.</w:t>
      </w:r>
    </w:p>
    <w:p w14:paraId="3AE48752" w14:textId="77777777" w:rsidR="00635FED" w:rsidRDefault="00635FED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0098BEA7" w14:textId="27371AEC" w:rsidR="00E14561" w:rsidRDefault="00635FED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Co </w:t>
      </w:r>
      <w:r w:rsidR="00593DBC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dla spadkobiercy oznacza każda z tych sytuacji</w:t>
      </w: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?</w:t>
      </w:r>
    </w:p>
    <w:p w14:paraId="0F67FC74" w14:textId="77777777" w:rsidR="00E14561" w:rsidRPr="00E14561" w:rsidRDefault="00E14561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5C433642" w14:textId="306BE28E" w:rsidR="00635FED" w:rsidRPr="0046567B" w:rsidRDefault="00635FED" w:rsidP="0046567B">
      <w:pPr>
        <w:shd w:val="clear" w:color="auto" w:fill="FEFEFE"/>
        <w:spacing w:line="276" w:lineRule="auto"/>
        <w:outlineLvl w:val="3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Uniknięcie dziedziczenia długów, czyli zrzeczenie się spadku</w:t>
      </w:r>
    </w:p>
    <w:p w14:paraId="4FF1E446" w14:textId="77777777" w:rsidR="00E14561" w:rsidRPr="00E14561" w:rsidRDefault="00E14561" w:rsidP="0046567B">
      <w:pPr>
        <w:rPr>
          <w:lang w:eastAsia="pl-PL"/>
        </w:rPr>
      </w:pPr>
    </w:p>
    <w:p w14:paraId="01488254" w14:textId="7D22D437" w:rsidR="00135CCB" w:rsidRDefault="00635FED" w:rsidP="00135CCB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Co</w:t>
      </w:r>
      <w:r w:rsidR="00135CC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,</w:t>
      </w: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jeśli</w:t>
      </w:r>
      <w:r w:rsidR="00135CC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nie chcemy brać na siebie dodatkowej odpowiedzialności </w:t>
      </w:r>
      <w:r w:rsidR="00135CC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i nie chcemy spłacać zaległych zobowiązań, które nie są naszym udziałem? </w:t>
      </w:r>
      <w:r w:rsidR="00E14561"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Wtedy</w:t>
      </w:r>
      <w:r w:rsidR="00135CC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powinniśmy zrzec się spadku. Taki krok usuwa nas </w:t>
      </w:r>
      <w:r w:rsidR="00E14561"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z procesu dziedziczenia.</w:t>
      </w:r>
      <w:r w:rsidR="00135CC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8C67E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135CC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Jak zaznacza </w:t>
      </w:r>
      <w:r w:rsidR="00D417AE" w:rsidRPr="00D417AE">
        <w:rPr>
          <w:rFonts w:ascii="Intrum Sans" w:hAnsi="Intrum Sans" w:cs="Calibri"/>
          <w:b/>
          <w:bCs/>
          <w:color w:val="000000" w:themeColor="text1"/>
          <w:sz w:val="18"/>
          <w:szCs w:val="18"/>
        </w:rPr>
        <w:t>Marlena Żukowska</w:t>
      </w:r>
      <w:r w:rsidR="00D417AE" w:rsidRPr="00D417AE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</w:t>
      </w:r>
      <w:r w:rsidR="00135CCB" w:rsidRPr="0046567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ekspert Intrum</w:t>
      </w:r>
      <w:r w:rsidR="00135CCB" w:rsidRPr="00A45D30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,</w:t>
      </w:r>
      <w:r w:rsidR="00135CC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warto zdecydować się na takie rozwiązanie z dwóch głównych powodów:</w:t>
      </w:r>
      <w:r w:rsidR="00135CC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</w:p>
    <w:p w14:paraId="135FEC9E" w14:textId="3A67A2F8" w:rsidR="00135CCB" w:rsidRPr="00135CCB" w:rsidRDefault="00135CCB" w:rsidP="00135CCB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E14561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–</w:t>
      </w: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Może się zdarzyć, że oddziedziczony dług jest aż tak wysoki, że swoją wartością zdecydowanie przewyższa majątek, który dziedziczymy. Bądźmy świadomi, że jego uregulowanie stanie się naszym obowiązkiem. </w:t>
      </w:r>
      <w:r w:rsidR="00514718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Jego wypełnienie może stanowić problem, jeżeli jesteśmy w trudnej sytuacji finansowej. </w:t>
      </w:r>
      <w:r w:rsidR="00593DBC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Dodatkowo, j</w:t>
      </w:r>
      <w:r w:rsidR="00514718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eżeli jesteśmy </w:t>
      </w:r>
      <w:r w:rsidR="00A45D30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514718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w procesie starania się o kredyt hipoteczny lub planujemy zaciągnąć kredyt gotówkowy na wysoką kwotę, warto, abyśmy mieli „czystą kartę” i pozytywn</w:t>
      </w:r>
      <w:r w:rsidR="00A45D30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ą</w:t>
      </w:r>
      <w:r w:rsidR="00514718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historię kredytową, a nie widnieli na jednej z list dłużników.</w:t>
      </w:r>
      <w:r w:rsidR="00514718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</w:p>
    <w:p w14:paraId="55125CDA" w14:textId="77777777" w:rsidR="00135CCB" w:rsidRDefault="00135CCB" w:rsidP="00135CCB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0E068F18" w14:textId="6B555DA2" w:rsidR="00E14561" w:rsidRPr="00514718" w:rsidRDefault="00514718" w:rsidP="00514718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Jak zatem wygląda w praktyce zrzeczenie się spadku? Spadkobierca – bez względu na to, czy jest ustalony przez testament, czy jest tzw. spadkobiercą ustawowym, powinien złożyć odpowiednie oświadczenie przed sądem (chodzi o sąd rejonowy – wydział cywilny) lub udać się do notariusza w maksymalnym terminie </w:t>
      </w:r>
      <w:r w:rsidR="00E14561"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6 miesięcy od otrzymania informacji o odziedziczonym majątku.</w:t>
      </w:r>
      <w:r w:rsidR="00E14561" w:rsidRPr="00E14561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Pr="00514718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Pamiętajmy, że po podjęciu tych kroków nie będziemy mogli zmienić naszej decyzji.  </w:t>
      </w:r>
    </w:p>
    <w:p w14:paraId="1D72BCED" w14:textId="77777777" w:rsidR="00E14561" w:rsidRPr="00E14561" w:rsidRDefault="00E14561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2CAC47BD" w14:textId="2F11D0B2" w:rsidR="00E14561" w:rsidRPr="0046567B" w:rsidRDefault="00E7431E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A co z długiem? – 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Przejdzie on w ręce kolejn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ej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os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oby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wskazan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ej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w testamencie, jeżeli 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nasz bliski zadb</w:t>
      </w:r>
      <w:r w:rsidR="00593DBC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ał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593DBC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 sporządzenie takiego dokumentu. W innym przypadku 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obowiązuje linia dziedziczenia ustawowego, przewidziana w Kodeksie Cywilnym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Wtedy w praktyce w pierwszej kolejności spadek (wraz z długiem!) dotyczy: 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współmałżon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ka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i dzieci zmarłego, 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wnuków, 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itp. 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Co warto wiedzieć, k</w:t>
      </w:r>
      <w:r w:rsidR="00E14561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ażda z tych osób również ma prawo odrzucić </w:t>
      </w:r>
      <w:r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zadłużony majątek. Gdy w grę wchodzi osoba niepełnoletnia, tę decyzję podejmuje opiekun prawny spadkobiercy</w:t>
      </w: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– dodaje </w:t>
      </w:r>
      <w:r w:rsidR="00D417AE" w:rsidRPr="00D417AE">
        <w:rPr>
          <w:rFonts w:ascii="Intrum Sans" w:hAnsi="Intrum Sans" w:cs="Calibri"/>
          <w:b/>
          <w:bCs/>
          <w:color w:val="000000" w:themeColor="text1"/>
          <w:sz w:val="18"/>
          <w:szCs w:val="18"/>
        </w:rPr>
        <w:t>Marlena Żukowska</w:t>
      </w:r>
      <w:r w:rsidRPr="0046567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ekspert Intrum.</w:t>
      </w:r>
    </w:p>
    <w:p w14:paraId="16796600" w14:textId="77777777" w:rsidR="00E7431E" w:rsidRDefault="00E7431E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7431E" w14:paraId="3EC235BD" w14:textId="77777777" w:rsidTr="00427B1C">
        <w:tc>
          <w:tcPr>
            <w:tcW w:w="9056" w:type="dxa"/>
            <w:shd w:val="clear" w:color="auto" w:fill="FF2F92"/>
          </w:tcPr>
          <w:p w14:paraId="62C871CA" w14:textId="026B8C29" w:rsidR="00E7431E" w:rsidRPr="00427B1C" w:rsidRDefault="00E7431E" w:rsidP="0046567B">
            <w:pPr>
              <w:spacing w:line="276" w:lineRule="auto"/>
              <w:jc w:val="center"/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7B1C"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zrzeczenie się spadku</w:t>
            </w:r>
          </w:p>
        </w:tc>
      </w:tr>
      <w:tr w:rsidR="00E7431E" w14:paraId="4764E2BE" w14:textId="77777777" w:rsidTr="00E7431E">
        <w:tc>
          <w:tcPr>
            <w:tcW w:w="9056" w:type="dxa"/>
          </w:tcPr>
          <w:p w14:paraId="3B9467F5" w14:textId="10F4FA9F" w:rsidR="00E7431E" w:rsidRPr="00427B1C" w:rsidRDefault="00E7431E" w:rsidP="00E7431E">
            <w:pPr>
              <w:spacing w:line="276" w:lineRule="auto"/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27B1C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Ma miejsce po złożeniu odpowiedniego oświadczenia przed sądem </w:t>
            </w:r>
            <w:r w:rsidR="00593DBC" w:rsidRPr="00427B1C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lub</w:t>
            </w:r>
            <w:r w:rsidRPr="00427B1C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 xml:space="preserve"> gdy decydujemy się na odrzucenie spadku u notariusza. Zostaniemy wtedy wyjęci z procesu dziedziczenia. Nie otrzymamy wtedy zapisanego nam majątku (lub majątku, który „przewiduje” dla nas linia dziedziczenia wskazana przez prawo), ale też nie zostaniemy obciążeni spłatą „cudzych” zobowiązań.</w:t>
            </w:r>
          </w:p>
        </w:tc>
      </w:tr>
    </w:tbl>
    <w:p w14:paraId="2954C83E" w14:textId="77777777" w:rsidR="007C07C2" w:rsidRDefault="007C07C2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848E417" w14:textId="196AE064" w:rsidR="00E14561" w:rsidRPr="0046567B" w:rsidRDefault="00E14561" w:rsidP="0046567B">
      <w:pPr>
        <w:shd w:val="clear" w:color="auto" w:fill="FEFEFE"/>
        <w:spacing w:line="276" w:lineRule="auto"/>
        <w:outlineLvl w:val="3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46567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Dziedziczenie z dobrodziejstwem inwentarza</w:t>
      </w:r>
      <w:r w:rsidR="007C07C2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– o co w tym chodzi?</w:t>
      </w:r>
    </w:p>
    <w:p w14:paraId="5820037B" w14:textId="77777777" w:rsidR="00E14561" w:rsidRPr="00E14561" w:rsidRDefault="00E14561" w:rsidP="0046567B">
      <w:pPr>
        <w:pStyle w:val="Akapitzlist"/>
        <w:shd w:val="clear" w:color="auto" w:fill="FEFEFE"/>
        <w:spacing w:line="276" w:lineRule="auto"/>
        <w:outlineLvl w:val="3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1D7E12B" w14:textId="66B73F80" w:rsidR="00F63407" w:rsidRDefault="00E14561" w:rsidP="00F63407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Przyjęcie spadku z dobrodziejstwem inwentarza </w:t>
      </w:r>
      <w:r w:rsidR="00F63407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oznacza, że dziedziczymy majątek oraz również dług, ALE </w:t>
      </w:r>
      <w:r w:rsidR="008C67E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F63407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– odpowiadamy za niego </w:t>
      </w:r>
      <w:r w:rsidR="00F63407"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tylko do wysokości odziedziczonego </w:t>
      </w:r>
      <w:r w:rsidR="00F63407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spadku. – </w:t>
      </w:r>
      <w:r w:rsidR="00F63407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Co ważne, istnieje tu pewne </w:t>
      </w:r>
      <w:r w:rsidR="008C67EF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zastrzeżenie</w:t>
      </w:r>
      <w:r w:rsidR="008C67EF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.</w:t>
      </w:r>
      <w:r w:rsidR="008C67EF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Ta</w:t>
      </w:r>
      <w:r w:rsidR="00F63407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 zasada ograniczonej odpowiedzialności za dług nie obejmuje nieruchomości obciążonej hipoteką. W takim wypadku wierzyciel może dochodzić u spadkobierc</w:t>
      </w:r>
      <w:r w:rsidR="00F63407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y</w:t>
      </w:r>
      <w:r w:rsidR="00F63407" w:rsidRP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spłaty całego długu </w:t>
      </w:r>
      <w:r w:rsidR="00F63407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– zaznacza </w:t>
      </w:r>
      <w:r w:rsidR="00D417AE" w:rsidRPr="00D417AE">
        <w:rPr>
          <w:rFonts w:ascii="Intrum Sans" w:hAnsi="Intrum Sans" w:cs="Calibri"/>
          <w:b/>
          <w:bCs/>
          <w:color w:val="000000" w:themeColor="text1"/>
          <w:sz w:val="18"/>
          <w:szCs w:val="18"/>
        </w:rPr>
        <w:t>Marlena Żukowska</w:t>
      </w:r>
      <w:r w:rsidR="00F63407" w:rsidRPr="0046567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ekspert Intrum.</w:t>
      </w:r>
    </w:p>
    <w:p w14:paraId="2D1BE190" w14:textId="41E60683" w:rsidR="00F63407" w:rsidRDefault="00F63407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5049BAA" w14:textId="5AFFB1C4" w:rsidR="00F63407" w:rsidRDefault="00F63407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 jakich sytuacjach warto rozważyć dziedziczenie z dobrodziejstwem inwentarza? Wtedy, gdy po prostu zależy nam na spadku, bo dla nas wartość sentymentalną lub dziedziczony dług nie jest wysoki, szczególnie w stosunku do wartości majątku, który wchodzi w nasze posiadanie. Klasycznym przykładem jest dziedziczenie nieruchomości. </w:t>
      </w:r>
      <w:r w:rsidR="008C67E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 praktyce może chodzić np. o atrakcyjne mieszkanie warte </w:t>
      </w:r>
      <w:r w:rsidR="0002717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500 tys. zł</w:t>
      </w:r>
      <w:r w:rsidR="00593DBC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a </w:t>
      </w:r>
      <w:r w:rsidR="0002717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dług powstały </w:t>
      </w:r>
      <w:r w:rsidR="00593DBC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w rezultacie</w:t>
      </w:r>
      <w:r w:rsidR="0002717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niepłacenia czynszu czy mediów </w:t>
      </w:r>
      <w:r w:rsidR="00593DBC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t</w:t>
      </w:r>
      <w:r w:rsidR="0002717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o „tylko” 15 tys. zł. Prosty </w:t>
      </w:r>
      <w:r w:rsidR="00593DBC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rachunek</w:t>
      </w:r>
      <w:r w:rsidR="0002717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pokazuje, że warto wziąć na siebie to zobowiązanie, bo </w:t>
      </w:r>
      <w:r w:rsidR="00593DBC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02717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 grę wchodzi konkretny spadek. </w:t>
      </w:r>
    </w:p>
    <w:p w14:paraId="7B22B777" w14:textId="77777777" w:rsidR="0002717F" w:rsidRDefault="0002717F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0767EAE" w14:textId="4382BD5B" w:rsidR="00F63407" w:rsidRPr="00573D6B" w:rsidRDefault="0002717F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573D6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Jednak zanim zdecydujemy się na przyj</w:t>
      </w:r>
      <w:r w:rsidR="00A45D30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ę</w:t>
      </w:r>
      <w:r w:rsidRPr="00573D6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cie spadku z dobrodziejstwem inwentarza, czyli w praktyce również i długu, </w:t>
      </w:r>
    </w:p>
    <w:p w14:paraId="2D1B3EB2" w14:textId="3B03075D" w:rsidR="00E14561" w:rsidRDefault="00E14561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upewnijmy się, że </w:t>
      </w:r>
      <w:r w:rsidR="0002717F" w:rsidRPr="00573D6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dysponujemy wszystkimi informacjami na jego temat, np. czy wiemy, kto jest wierzycielem, jak duża jest zaległość. Kiedy i w jaki sposób możemy spłacić zadłużenie. To samo dotyczy dziedziczonego majątku </w:t>
      </w:r>
      <w:r w:rsidR="008C67E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="0002717F" w:rsidRPr="00573D6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– upewnijmy się co do jego wartości. Dopiero poznanie tych informacji pozwoli nam ocenić, czy </w:t>
      </w:r>
      <w:r w:rsidR="00573D6B" w:rsidRPr="00573D6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to dobry pomysł, abyśmy brali na siebie zadłużony spadek</w:t>
      </w:r>
      <w:r w:rsidR="00573D6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</w:t>
      </w:r>
    </w:p>
    <w:p w14:paraId="4825B889" w14:textId="77777777" w:rsidR="00573D6B" w:rsidRDefault="00573D6B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73D6B" w14:paraId="2243C10A" w14:textId="77777777" w:rsidTr="00427B1C">
        <w:tc>
          <w:tcPr>
            <w:tcW w:w="9056" w:type="dxa"/>
            <w:shd w:val="clear" w:color="auto" w:fill="011893"/>
          </w:tcPr>
          <w:p w14:paraId="3B68103D" w14:textId="602DC7BF" w:rsidR="00573D6B" w:rsidRPr="00427B1C" w:rsidRDefault="00573D6B" w:rsidP="0046567B">
            <w:pPr>
              <w:spacing w:line="276" w:lineRule="auto"/>
              <w:jc w:val="center"/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7B1C"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  <w:t>dziedziczenie z dobrodziejstwem inwentarza</w:t>
            </w:r>
          </w:p>
        </w:tc>
      </w:tr>
      <w:tr w:rsidR="00573D6B" w14:paraId="7891BBC9" w14:textId="77777777" w:rsidTr="005D2406">
        <w:tc>
          <w:tcPr>
            <w:tcW w:w="9056" w:type="dxa"/>
          </w:tcPr>
          <w:p w14:paraId="1C515E0C" w14:textId="419BDBF4" w:rsidR="00573D6B" w:rsidRPr="00427B1C" w:rsidRDefault="00573D6B" w:rsidP="00573D6B">
            <w:pPr>
              <w:spacing w:line="276" w:lineRule="auto"/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27B1C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Osoba, która dziedziczy zadłużony spadek, odpowiada za długi zmarłego tylko do wysokości wartości odziedziczonego majątku. UWAGA: od tej zasady istnieje jednak wyjątek, tzn. ona nie obowiązuje, jeżeli spadek obejmuje nieruchomość obciążoną hipoteką.</w:t>
            </w:r>
          </w:p>
        </w:tc>
      </w:tr>
    </w:tbl>
    <w:p w14:paraId="2F53FC0A" w14:textId="77777777" w:rsidR="00573D6B" w:rsidRDefault="00573D6B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1AC0F9A1" w14:textId="2F4B124A" w:rsidR="00E14561" w:rsidRDefault="00E14561" w:rsidP="00E14561">
      <w:pPr>
        <w:shd w:val="clear" w:color="auto" w:fill="FEFEFE"/>
        <w:spacing w:line="276" w:lineRule="auto"/>
        <w:outlineLvl w:val="3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E14561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Przyjęcie spadku wprost</w:t>
      </w:r>
      <w:r w:rsidR="00B85E83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czyli dziedziczymy majątek i długi</w:t>
      </w:r>
    </w:p>
    <w:p w14:paraId="3AF243CB" w14:textId="77777777" w:rsidR="00E14561" w:rsidRPr="00E14561" w:rsidRDefault="00E14561" w:rsidP="00E14561">
      <w:pPr>
        <w:shd w:val="clear" w:color="auto" w:fill="FEFEFE"/>
        <w:spacing w:line="276" w:lineRule="auto"/>
        <w:outlineLvl w:val="3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38CCBBE" w14:textId="617F8B3E" w:rsidR="00E14561" w:rsidRPr="0046567B" w:rsidRDefault="00B85E83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B85E83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 tym przypadku dziedziczymy nie tylko majątek, ale i </w:t>
      </w:r>
      <w:r w:rsidR="00E14561" w:rsidRPr="00B85E83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wszystkie długi osoby </w:t>
      </w:r>
      <w:r w:rsidR="00E14561"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zmarłej</w:t>
      </w:r>
      <w:r w:rsidRPr="00B85E83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. Co istotne, </w:t>
      </w:r>
      <w:r w:rsidR="00E14561"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osoba, która przyjmie spadek z długami, odpowiada za </w:t>
      </w:r>
      <w:r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nie</w:t>
      </w:r>
      <w:r w:rsidR="00E14561"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także swoim majątkiem. </w:t>
      </w:r>
      <w:r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W praktyce oznacza to, że</w:t>
      </w:r>
      <w:r w:rsidR="00E14561"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 jeżeli wysokość </w:t>
      </w:r>
      <w:r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zadłużenia </w:t>
      </w:r>
      <w:r w:rsidR="00E14561"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przekracza wartość </w:t>
      </w:r>
      <w:r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spadku</w:t>
      </w:r>
      <w:r w:rsidR="00E14561"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</w:t>
      </w:r>
      <w:r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przyjmujący majątek</w:t>
      </w:r>
      <w:r w:rsidR="00E14561"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będzi</w:t>
      </w:r>
      <w:r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e</w:t>
      </w:r>
      <w:r w:rsidR="00E14561"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musiał pokryć resztę zobowiązań z własnych środków. Przykł</w:t>
      </w:r>
      <w:r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ad: wartość dziedziczonego majątku to 80 tys. zł, a długu 100 tys. Spadkobierca będzie musiał uregulować „na własną rękę” zobowiązanie wynoszące 20 tys. zł. </w:t>
      </w:r>
    </w:p>
    <w:p w14:paraId="05E6C241" w14:textId="77777777" w:rsidR="00E14561" w:rsidRPr="00E14561" w:rsidRDefault="00E14561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B7107F9" w14:textId="281E4E80" w:rsidR="00E14561" w:rsidRDefault="004C0916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Pamiętajmy, że, gdy chcemy</w:t>
      </w:r>
      <w:r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  <w:r w:rsidR="00E14561"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nabyć prawo do rozporządzania odziedziczonym majątkiem i przyjąć spadek wprost, również </w:t>
      </w: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musimy złożyć stosowny wniosek</w:t>
      </w:r>
      <w:r w:rsidR="00E14561"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przed sądem lub u notariusza.</w:t>
      </w:r>
    </w:p>
    <w:p w14:paraId="2A81D4D9" w14:textId="77777777" w:rsidR="004C0916" w:rsidRDefault="004C0916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C0916" w14:paraId="16749F95" w14:textId="77777777" w:rsidTr="00427B1C">
        <w:tc>
          <w:tcPr>
            <w:tcW w:w="9056" w:type="dxa"/>
            <w:shd w:val="clear" w:color="auto" w:fill="009193"/>
          </w:tcPr>
          <w:p w14:paraId="29FE28EC" w14:textId="77777777" w:rsidR="004C0916" w:rsidRPr="00427B1C" w:rsidRDefault="004C0916" w:rsidP="005D2406">
            <w:pPr>
              <w:spacing w:line="276" w:lineRule="auto"/>
              <w:jc w:val="center"/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27B1C">
              <w:rPr>
                <w:rFonts w:ascii="Intrum Sans" w:eastAsia="Times New Roman" w:hAnsi="Intrum Sans" w:cs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pl-PL"/>
                <w14:ligatures w14:val="none"/>
              </w:rPr>
              <w:t>przyjęcie spadku wprost</w:t>
            </w:r>
          </w:p>
        </w:tc>
      </w:tr>
      <w:tr w:rsidR="004C0916" w14:paraId="0728DEFC" w14:textId="77777777" w:rsidTr="005D2406">
        <w:tc>
          <w:tcPr>
            <w:tcW w:w="9056" w:type="dxa"/>
          </w:tcPr>
          <w:p w14:paraId="131AD34D" w14:textId="77777777" w:rsidR="004C0916" w:rsidRPr="00427B1C" w:rsidRDefault="004C0916" w:rsidP="005D2406">
            <w:pPr>
              <w:spacing w:line="276" w:lineRule="auto"/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427B1C">
              <w:rPr>
                <w:rFonts w:ascii="Intrum Sans" w:eastAsia="Times New Roman" w:hAnsi="Intrum Sans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Przyjcie wraz ze spadkiem wszystkich zobowiązań finansowych osoby zmarłej, nawet jeśli długi przekraczają wartość odziedziczonego majątku.</w:t>
            </w:r>
          </w:p>
        </w:tc>
      </w:tr>
    </w:tbl>
    <w:p w14:paraId="06820AB8" w14:textId="77777777" w:rsidR="00E14561" w:rsidRPr="00E14561" w:rsidRDefault="00E14561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7A4BAE06" w14:textId="114D874C" w:rsidR="00E14561" w:rsidRDefault="004C0916" w:rsidP="00E14561">
      <w:pPr>
        <w:shd w:val="clear" w:color="auto" w:fill="FEFEFE"/>
        <w:spacing w:line="276" w:lineRule="auto"/>
        <w:outlineLvl w:val="3"/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Jak wygląda spłata </w:t>
      </w:r>
      <w:r w:rsidR="00A45D30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odziedziczonego</w:t>
      </w:r>
      <w:r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długu?</w:t>
      </w:r>
    </w:p>
    <w:p w14:paraId="0569BCAC" w14:textId="77777777" w:rsidR="00E14561" w:rsidRPr="00E14561" w:rsidRDefault="00E14561" w:rsidP="00E14561">
      <w:pPr>
        <w:shd w:val="clear" w:color="auto" w:fill="FEFEFE"/>
        <w:spacing w:line="276" w:lineRule="auto"/>
        <w:outlineLvl w:val="3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7C7B8B1D" w14:textId="2F38EE1A" w:rsidR="004C0916" w:rsidRDefault="004C0916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Bez względu na to, czy zdecydujemy się na przyjęcie spadku z dobrodziejstwem inwentarza, czy wprost, w świetle prawa stajemy się dłużnikami i spłata zobowiązania będzie naszym obowiązkiem. </w:t>
      </w:r>
    </w:p>
    <w:p w14:paraId="5BB17E6A" w14:textId="77777777" w:rsidR="004C0916" w:rsidRDefault="004C0916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DCD9569" w14:textId="0C115294" w:rsidR="004C0916" w:rsidRDefault="004C0916" w:rsidP="004C0916">
      <w:pPr>
        <w:shd w:val="clear" w:color="auto" w:fill="FEFEFE"/>
        <w:spacing w:line="276" w:lineRule="auto"/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E14561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– </w:t>
      </w:r>
      <w:r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 </w:t>
      </w:r>
      <w:r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Należy być świadomym faktu, że spadkobierca, któremu przyjdzie</w:t>
      </w:r>
      <w:r w:rsidRPr="00E14561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spłacić zaległe zobowiązanie</w:t>
      </w:r>
      <w:r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, będzie </w:t>
      </w:r>
      <w:r w:rsid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musiał </w:t>
      </w:r>
      <w:r w:rsidR="0046567B" w:rsidRPr="00E14561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wypełnić</w:t>
      </w:r>
      <w:r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ten obowiązek </w:t>
      </w:r>
      <w:r w:rsidRPr="00E14561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na tych samych zasadach, co osoba, która</w:t>
      </w:r>
      <w:r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pierwotnie zaciągnęła zobowiązania. To, jak </w:t>
      </w:r>
      <w:r w:rsidR="008C67EF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w praktyce będzie wyglądać ten proces, zależy od kilku czynników. Najważniejszym z nich jest his</w:t>
      </w:r>
      <w:r w:rsid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toria zadłużenia i to, jak bardzo przedawniony jest dług. Inna kwestia – czy wierzyciel (bądź wierzyciele) samodzielnie dochodzi swoich praw, czy poprosił firmę windykacyjną o odzyskanie pieniędzy i negocjacje ze spadkobiercą – teraz osobą zadłużoną – </w:t>
      </w:r>
      <w:r w:rsidR="0046567B"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wyjaśnia </w:t>
      </w:r>
      <w:r w:rsidR="00D417AE" w:rsidRPr="00D417AE">
        <w:rPr>
          <w:rFonts w:ascii="Intrum Sans" w:hAnsi="Intrum Sans" w:cs="Calibri"/>
          <w:b/>
          <w:bCs/>
          <w:color w:val="000000" w:themeColor="text1"/>
          <w:sz w:val="18"/>
          <w:szCs w:val="18"/>
        </w:rPr>
        <w:t>Marlena Żukowska</w:t>
      </w:r>
      <w:r w:rsidR="0046567B" w:rsidRPr="0046567B">
        <w:rPr>
          <w:rFonts w:ascii="Intrum Sans" w:eastAsia="Times New Roman" w:hAnsi="Intrum Sans" w:cs="Times New Roman"/>
          <w:b/>
          <w:bCs/>
          <w:color w:val="000000" w:themeColor="text1"/>
          <w:kern w:val="0"/>
          <w:sz w:val="18"/>
          <w:szCs w:val="18"/>
          <w:lang w:eastAsia="pl-PL"/>
          <w14:ligatures w14:val="none"/>
        </w:rPr>
        <w:t>, ekspert Intrum.</w:t>
      </w:r>
      <w:r w:rsidR="0046567B">
        <w:rPr>
          <w:rFonts w:ascii="Intrum Sans" w:eastAsia="Times New Roman" w:hAnsi="Intrum Sans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</w:t>
      </w:r>
    </w:p>
    <w:p w14:paraId="475DADC2" w14:textId="77777777" w:rsidR="004C0916" w:rsidRDefault="004C0916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7E578B77" w14:textId="0F57B809" w:rsidR="0046567B" w:rsidRPr="0046567B" w:rsidRDefault="0046567B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W takim przypadku nie warto unikać kontaktu z windykatorem. Ekspert z firmy windykacyjnej pomoże nam w szybkiej i bezstresowej spłacie długu. Jeżeli wiemy, że firma windykacyjna już wcześniej kontaktowała z naszym krewnym </w:t>
      </w:r>
      <w:r w:rsidR="008C67E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– „pierwotnym dłużnikiem”, który miał problem z terminowym regulowaniem należności, warto ten kontakt odnowić </w:t>
      </w:r>
      <w:r w:rsidR="008C67EF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br/>
      </w:r>
      <w:r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i nie czekać z rozwiązaniem problemu finansowego, bo z cza</w:t>
      </w:r>
      <w:r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s</w:t>
      </w:r>
      <w:r w:rsidRPr="0046567B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em stanie się on tylko większy. </w:t>
      </w:r>
    </w:p>
    <w:p w14:paraId="078F7B95" w14:textId="77777777" w:rsidR="00E14561" w:rsidRPr="00E14561" w:rsidRDefault="00E14561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A1251CE" w14:textId="77777777" w:rsidR="00B85E83" w:rsidRDefault="00B85E83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38D6FDDC" w14:textId="77777777" w:rsidR="00B85E83" w:rsidRDefault="00B85E83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75381DB" w14:textId="44C5A78E" w:rsidR="00B85E83" w:rsidRPr="00E14561" w:rsidRDefault="00B85E83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48E9B4D8" w14:textId="77777777" w:rsidR="00E14561" w:rsidRPr="00E14561" w:rsidRDefault="00E14561" w:rsidP="00E14561">
      <w:pPr>
        <w:shd w:val="clear" w:color="auto" w:fill="FEFEFE"/>
        <w:spacing w:line="276" w:lineRule="auto"/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E14561">
        <w:rPr>
          <w:rFonts w:ascii="Intrum Sans" w:eastAsia="Times New Roman" w:hAnsi="Intrum Sans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 </w:t>
      </w:r>
    </w:p>
    <w:p w14:paraId="5C3C290C" w14:textId="77777777" w:rsidR="00E14561" w:rsidRPr="00E14561" w:rsidRDefault="00E14561" w:rsidP="00E14561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sectPr w:rsidR="00E14561" w:rsidRPr="00E14561" w:rsidSect="00387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2EBC" w14:textId="77777777" w:rsidR="001A5FD1" w:rsidRDefault="001A5FD1" w:rsidP="004C0916">
      <w:r>
        <w:separator/>
      </w:r>
    </w:p>
  </w:endnote>
  <w:endnote w:type="continuationSeparator" w:id="0">
    <w:p w14:paraId="0CF5A1C4" w14:textId="77777777" w:rsidR="001A5FD1" w:rsidRDefault="001A5FD1" w:rsidP="004C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rum Sans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0E3C" w14:textId="77777777" w:rsidR="001A5FD1" w:rsidRDefault="001A5FD1" w:rsidP="004C0916">
      <w:r>
        <w:separator/>
      </w:r>
    </w:p>
  </w:footnote>
  <w:footnote w:type="continuationSeparator" w:id="0">
    <w:p w14:paraId="7CBF4517" w14:textId="77777777" w:rsidR="001A5FD1" w:rsidRDefault="001A5FD1" w:rsidP="004C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25D44"/>
    <w:multiLevelType w:val="hybridMultilevel"/>
    <w:tmpl w:val="0D865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7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61"/>
    <w:rsid w:val="0002717F"/>
    <w:rsid w:val="0005199B"/>
    <w:rsid w:val="00135CCB"/>
    <w:rsid w:val="001A5FD1"/>
    <w:rsid w:val="00312C1B"/>
    <w:rsid w:val="00360B51"/>
    <w:rsid w:val="00374E1D"/>
    <w:rsid w:val="00387330"/>
    <w:rsid w:val="00396266"/>
    <w:rsid w:val="003E0B9F"/>
    <w:rsid w:val="00427B1C"/>
    <w:rsid w:val="0046567B"/>
    <w:rsid w:val="004C0916"/>
    <w:rsid w:val="00514718"/>
    <w:rsid w:val="00573D6B"/>
    <w:rsid w:val="00593DBC"/>
    <w:rsid w:val="00635FED"/>
    <w:rsid w:val="007C07C2"/>
    <w:rsid w:val="008C67EF"/>
    <w:rsid w:val="00935DB0"/>
    <w:rsid w:val="00A45D30"/>
    <w:rsid w:val="00B85E83"/>
    <w:rsid w:val="00C15FED"/>
    <w:rsid w:val="00D417AE"/>
    <w:rsid w:val="00DC7F39"/>
    <w:rsid w:val="00E14561"/>
    <w:rsid w:val="00E7431E"/>
    <w:rsid w:val="00F6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8569"/>
  <w15:chartTrackingRefBased/>
  <w15:docId w15:val="{91A2D497-E8AD-4C4D-82E7-D88DE339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1456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14561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customStyle="1" w:styleId="column">
    <w:name w:val="column"/>
    <w:basedOn w:val="Normalny"/>
    <w:rsid w:val="00E145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h1">
    <w:name w:val="h1"/>
    <w:basedOn w:val="Domylnaczcionkaakapitu"/>
    <w:rsid w:val="00E14561"/>
  </w:style>
  <w:style w:type="paragraph" w:styleId="NormalnyWeb">
    <w:name w:val="Normal (Web)"/>
    <w:basedOn w:val="Normalny"/>
    <w:uiPriority w:val="99"/>
    <w:semiHidden/>
    <w:unhideWhenUsed/>
    <w:rsid w:val="00E145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14561"/>
    <w:rPr>
      <w:b/>
      <w:bCs/>
    </w:rPr>
  </w:style>
  <w:style w:type="character" w:styleId="Uwydatnienie">
    <w:name w:val="Emphasis"/>
    <w:basedOn w:val="Domylnaczcionkaakapitu"/>
    <w:uiPriority w:val="20"/>
    <w:qFormat/>
    <w:rsid w:val="00E14561"/>
    <w:rPr>
      <w:i/>
      <w:iCs/>
    </w:rPr>
  </w:style>
  <w:style w:type="paragraph" w:customStyle="1" w:styleId="publicationsocial-intro-wrap">
    <w:name w:val="publication__social-intro-wrap"/>
    <w:basedOn w:val="Normalny"/>
    <w:rsid w:val="00E145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publicationsocial-intro">
    <w:name w:val="publication__social-intro"/>
    <w:basedOn w:val="Domylnaczcionkaakapitu"/>
    <w:rsid w:val="00E14561"/>
  </w:style>
  <w:style w:type="paragraph" w:styleId="Akapitzlist">
    <w:name w:val="List Paragraph"/>
    <w:basedOn w:val="Normalny"/>
    <w:uiPriority w:val="34"/>
    <w:qFormat/>
    <w:rsid w:val="00E14561"/>
    <w:pPr>
      <w:ind w:left="720"/>
      <w:contextualSpacing/>
    </w:pPr>
  </w:style>
  <w:style w:type="paragraph" w:styleId="Poprawka">
    <w:name w:val="Revision"/>
    <w:hidden/>
    <w:uiPriority w:val="99"/>
    <w:semiHidden/>
    <w:rsid w:val="00E14561"/>
  </w:style>
  <w:style w:type="table" w:styleId="Tabela-Siatka">
    <w:name w:val="Table Grid"/>
    <w:basedOn w:val="Standardowy"/>
    <w:uiPriority w:val="39"/>
    <w:rsid w:val="00E7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9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9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8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4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616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a.jagusiak</cp:lastModifiedBy>
  <cp:revision>2</cp:revision>
  <cp:lastPrinted>2023-03-28T08:11:00Z</cp:lastPrinted>
  <dcterms:created xsi:type="dcterms:W3CDTF">2023-03-28T23:49:00Z</dcterms:created>
  <dcterms:modified xsi:type="dcterms:W3CDTF">2023-03-28T23:49:00Z</dcterms:modified>
</cp:coreProperties>
</file>