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7332E3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5271F0">
        <w:rPr>
          <w:sz w:val="22"/>
        </w:rPr>
        <w:t>6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E57F49">
        <w:rPr>
          <w:sz w:val="22"/>
        </w:rPr>
        <w:t>4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2680740D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E57F49">
        <w:rPr>
          <w:b/>
          <w:bCs/>
          <w:sz w:val="24"/>
          <w:szCs w:val="24"/>
        </w:rPr>
        <w:t>5</w:t>
      </w:r>
      <w:r w:rsidR="000937E2">
        <w:rPr>
          <w:b/>
          <w:bCs/>
          <w:sz w:val="24"/>
          <w:szCs w:val="24"/>
        </w:rPr>
        <w:t>7</w:t>
      </w:r>
      <w:r w:rsidR="001D3DE7" w:rsidRPr="00C00D06">
        <w:rPr>
          <w:b/>
          <w:bCs/>
          <w:sz w:val="24"/>
          <w:szCs w:val="24"/>
        </w:rPr>
        <w:t>,</w:t>
      </w:r>
      <w:r w:rsidR="000937E2">
        <w:rPr>
          <w:b/>
          <w:bCs/>
          <w:sz w:val="24"/>
          <w:szCs w:val="24"/>
        </w:rPr>
        <w:t>6</w:t>
      </w:r>
      <w:r w:rsidR="001D3DE7" w:rsidRPr="00C00D06">
        <w:rPr>
          <w:b/>
          <w:bCs/>
          <w:sz w:val="24"/>
          <w:szCs w:val="24"/>
        </w:rPr>
        <w:t xml:space="preserve">% </w:t>
      </w:r>
      <w:r w:rsidR="001D3DE7">
        <w:rPr>
          <w:b/>
          <w:bCs/>
          <w:sz w:val="24"/>
          <w:szCs w:val="24"/>
        </w:rPr>
        <w:t>spadła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E57F49">
        <w:rPr>
          <w:b/>
          <w:bCs/>
          <w:sz w:val="24"/>
          <w:szCs w:val="24"/>
        </w:rPr>
        <w:t>marcu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E57F49">
        <w:rPr>
          <w:b/>
          <w:bCs/>
          <w:sz w:val="23"/>
          <w:szCs w:val="23"/>
        </w:rPr>
        <w:t>marcu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1D3DE7">
        <w:rPr>
          <w:b/>
          <w:bCs/>
          <w:sz w:val="23"/>
          <w:szCs w:val="23"/>
        </w:rPr>
        <w:t>niższą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E57F49">
        <w:rPr>
          <w:b/>
          <w:bCs/>
          <w:sz w:val="23"/>
          <w:szCs w:val="23"/>
        </w:rPr>
        <w:t>5</w:t>
      </w:r>
      <w:r w:rsidR="000937E2">
        <w:rPr>
          <w:b/>
          <w:bCs/>
          <w:sz w:val="23"/>
          <w:szCs w:val="23"/>
        </w:rPr>
        <w:t>7</w:t>
      </w:r>
      <w:r w:rsidR="001D3DE7">
        <w:rPr>
          <w:b/>
          <w:bCs/>
          <w:sz w:val="23"/>
          <w:szCs w:val="23"/>
        </w:rPr>
        <w:t>,</w:t>
      </w:r>
      <w:r w:rsidR="003A460F">
        <w:rPr>
          <w:b/>
          <w:bCs/>
          <w:sz w:val="23"/>
          <w:szCs w:val="23"/>
        </w:rPr>
        <w:t>6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E57F49">
        <w:rPr>
          <w:b/>
          <w:bCs/>
          <w:sz w:val="23"/>
          <w:szCs w:val="23"/>
        </w:rPr>
        <w:t>marca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231EF04F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E57F49">
        <w:rPr>
          <w:szCs w:val="20"/>
        </w:rPr>
        <w:t>marcu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5F680C">
        <w:rPr>
          <w:szCs w:val="20"/>
        </w:rPr>
        <w:t>22</w:t>
      </w:r>
      <w:r w:rsidRPr="00C00D06">
        <w:rPr>
          <w:szCs w:val="20"/>
        </w:rPr>
        <w:t>,</w:t>
      </w:r>
      <w:r w:rsidR="005F680C">
        <w:rPr>
          <w:szCs w:val="20"/>
        </w:rPr>
        <w:t>23</w:t>
      </w:r>
      <w:r w:rsidRPr="00C00D06">
        <w:rPr>
          <w:szCs w:val="20"/>
        </w:rPr>
        <w:t xml:space="preserve"> tys. potencjalnych kredytobiorców w porównaniu do </w:t>
      </w:r>
      <w:r w:rsidR="005F680C">
        <w:rPr>
          <w:szCs w:val="20"/>
        </w:rPr>
        <w:t>5</w:t>
      </w:r>
      <w:r w:rsidR="00974CB7">
        <w:rPr>
          <w:szCs w:val="20"/>
        </w:rPr>
        <w:t>3,4</w:t>
      </w:r>
      <w:r w:rsidRPr="00C00D06">
        <w:rPr>
          <w:szCs w:val="20"/>
        </w:rPr>
        <w:t xml:space="preserve"> tys. rok wcześniej – jest to spadek </w:t>
      </w:r>
      <w:r w:rsidR="00194C6A">
        <w:rPr>
          <w:szCs w:val="20"/>
        </w:rPr>
        <w:t xml:space="preserve">o </w:t>
      </w:r>
      <w:r w:rsidR="00974CB7">
        <w:rPr>
          <w:szCs w:val="20"/>
        </w:rPr>
        <w:t>58,4</w:t>
      </w:r>
      <w:r w:rsidRPr="00C00D06">
        <w:rPr>
          <w:szCs w:val="20"/>
        </w:rPr>
        <w:t xml:space="preserve">%. </w:t>
      </w:r>
      <w:r w:rsidR="005F680C">
        <w:rPr>
          <w:szCs w:val="20"/>
        </w:rPr>
        <w:t>Jednak w</w:t>
      </w:r>
      <w:r w:rsidRPr="00C00D06">
        <w:rPr>
          <w:szCs w:val="20"/>
        </w:rPr>
        <w:t xml:space="preserve"> porównaniu do </w:t>
      </w:r>
      <w:r w:rsidR="00E57F49">
        <w:rPr>
          <w:szCs w:val="20"/>
        </w:rPr>
        <w:t>lutego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1D0DED">
        <w:rPr>
          <w:szCs w:val="20"/>
        </w:rPr>
        <w:t>wzrosła</w:t>
      </w:r>
      <w:r w:rsidRPr="00C00D06">
        <w:rPr>
          <w:szCs w:val="20"/>
        </w:rPr>
        <w:t xml:space="preserve"> o </w:t>
      </w:r>
      <w:r w:rsidR="005F680C">
        <w:rPr>
          <w:szCs w:val="20"/>
        </w:rPr>
        <w:t>16</w:t>
      </w:r>
      <w:r>
        <w:rPr>
          <w:szCs w:val="20"/>
        </w:rPr>
        <w:t>,</w:t>
      </w:r>
      <w:r w:rsidR="005F680C">
        <w:rPr>
          <w:szCs w:val="20"/>
        </w:rPr>
        <w:t>8</w:t>
      </w:r>
      <w:r w:rsidRPr="00C00D06">
        <w:rPr>
          <w:szCs w:val="20"/>
        </w:rPr>
        <w:t xml:space="preserve">%. </w:t>
      </w:r>
    </w:p>
    <w:p w14:paraId="34F5606F" w14:textId="4252D583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E57F49">
        <w:rPr>
          <w:szCs w:val="20"/>
        </w:rPr>
        <w:t>marcu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3</w:t>
      </w:r>
      <w:r w:rsidR="005F680C">
        <w:rPr>
          <w:szCs w:val="20"/>
        </w:rPr>
        <w:t>72</w:t>
      </w:r>
      <w:r w:rsidRPr="00C00D06">
        <w:rPr>
          <w:szCs w:val="20"/>
        </w:rPr>
        <w:t>,</w:t>
      </w:r>
      <w:r w:rsidR="005F680C">
        <w:rPr>
          <w:szCs w:val="20"/>
        </w:rPr>
        <w:t>89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974CB7">
        <w:rPr>
          <w:szCs w:val="20"/>
        </w:rPr>
        <w:t>2,0</w:t>
      </w:r>
      <w:r w:rsidRPr="00C00D06">
        <w:rPr>
          <w:szCs w:val="20"/>
        </w:rPr>
        <w:t xml:space="preserve">% w relacji do wartości z </w:t>
      </w:r>
      <w:r w:rsidR="00E57F49">
        <w:rPr>
          <w:szCs w:val="20"/>
        </w:rPr>
        <w:t>marca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E57F49">
        <w:rPr>
          <w:szCs w:val="20"/>
        </w:rPr>
        <w:t>lutego</w:t>
      </w:r>
      <w:r w:rsidRPr="00C00D06">
        <w:rPr>
          <w:szCs w:val="20"/>
        </w:rPr>
        <w:t xml:space="preserve"> 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4767B5">
        <w:rPr>
          <w:szCs w:val="20"/>
        </w:rPr>
        <w:t>wyższa</w:t>
      </w:r>
      <w:r w:rsidR="000D253F">
        <w:rPr>
          <w:szCs w:val="20"/>
        </w:rPr>
        <w:t xml:space="preserve"> o </w:t>
      </w:r>
      <w:r w:rsidR="005F680C">
        <w:rPr>
          <w:szCs w:val="20"/>
        </w:rPr>
        <w:t>3</w:t>
      </w:r>
      <w:r w:rsidR="004767B5">
        <w:rPr>
          <w:szCs w:val="20"/>
        </w:rPr>
        <w:t>,</w:t>
      </w:r>
      <w:r w:rsidR="005F680C">
        <w:rPr>
          <w:szCs w:val="20"/>
        </w:rPr>
        <w:t>7</w:t>
      </w:r>
      <w:r w:rsidR="000D253F">
        <w:rPr>
          <w:szCs w:val="20"/>
        </w:rPr>
        <w:t>%.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0E533E7F" w14:textId="2CD63C52" w:rsidR="00E075DC" w:rsidRDefault="001D3DE7" w:rsidP="001D3DE7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r w:rsidR="00E57F49">
        <w:rPr>
          <w:i/>
          <w:szCs w:val="20"/>
        </w:rPr>
        <w:t>Marcowy</w:t>
      </w:r>
      <w:r w:rsidR="00250E18">
        <w:rPr>
          <w:i/>
          <w:szCs w:val="20"/>
        </w:rPr>
        <w:t xml:space="preserve"> odczyt BIK Indeksu Popytu na Kredyty Mieszkaniowe </w:t>
      </w:r>
      <w:r w:rsidR="00E57F49">
        <w:rPr>
          <w:i/>
          <w:szCs w:val="20"/>
        </w:rPr>
        <w:t xml:space="preserve">jest potwierdzeniem </w:t>
      </w:r>
      <w:r w:rsidR="003A1A09">
        <w:rPr>
          <w:i/>
          <w:szCs w:val="20"/>
        </w:rPr>
        <w:t>obserwowane</w:t>
      </w:r>
      <w:r w:rsidR="00E57F49">
        <w:rPr>
          <w:i/>
          <w:szCs w:val="20"/>
        </w:rPr>
        <w:t>go</w:t>
      </w:r>
      <w:r w:rsidR="003A1A09">
        <w:rPr>
          <w:i/>
          <w:szCs w:val="20"/>
        </w:rPr>
        <w:t xml:space="preserve"> już przez cały ubiegły rok zjawisk</w:t>
      </w:r>
      <w:r w:rsidR="00E57F49">
        <w:rPr>
          <w:i/>
          <w:szCs w:val="20"/>
        </w:rPr>
        <w:t>a</w:t>
      </w:r>
      <w:r w:rsidR="00250E18">
        <w:rPr>
          <w:i/>
          <w:szCs w:val="20"/>
        </w:rPr>
        <w:t xml:space="preserve"> </w:t>
      </w:r>
      <w:r w:rsidR="00E57F49">
        <w:rPr>
          <w:i/>
          <w:szCs w:val="20"/>
        </w:rPr>
        <w:t>bardzo dużego</w:t>
      </w:r>
      <w:r w:rsidR="003A1A09">
        <w:rPr>
          <w:i/>
          <w:szCs w:val="20"/>
        </w:rPr>
        <w:t xml:space="preserve"> </w:t>
      </w:r>
      <w:r w:rsidR="00636328">
        <w:rPr>
          <w:i/>
          <w:szCs w:val="20"/>
        </w:rPr>
        <w:t>ograniczenia</w:t>
      </w:r>
      <w:r w:rsidR="003A1A09">
        <w:rPr>
          <w:i/>
          <w:szCs w:val="20"/>
        </w:rPr>
        <w:t xml:space="preserve"> popytu na kredyty mieszkaniowe.</w:t>
      </w:r>
      <w:r w:rsidR="000D253F">
        <w:rPr>
          <w:i/>
          <w:szCs w:val="20"/>
        </w:rPr>
        <w:t xml:space="preserve"> </w:t>
      </w:r>
      <w:r w:rsidR="001102F7">
        <w:rPr>
          <w:i/>
          <w:szCs w:val="20"/>
        </w:rPr>
        <w:t xml:space="preserve">Jednak w interpretacji wyniku z marca tego roku, należy wziąć </w:t>
      </w:r>
      <w:r w:rsidR="00E075DC">
        <w:rPr>
          <w:i/>
          <w:szCs w:val="20"/>
        </w:rPr>
        <w:t xml:space="preserve">także </w:t>
      </w:r>
      <w:r w:rsidR="001102F7">
        <w:rPr>
          <w:i/>
          <w:szCs w:val="20"/>
        </w:rPr>
        <w:t xml:space="preserve">pod uwagę specyfikę sytuacji, jaka miała miejsce w marcu 2022 r. </w:t>
      </w:r>
      <w:r w:rsidR="00E075DC">
        <w:rPr>
          <w:i/>
          <w:szCs w:val="20"/>
        </w:rPr>
        <w:t xml:space="preserve">Mieliśmy wówczas do czynienia ze skokowym wzrostem popytu na kredyty mieszkaniowe w reakcji na zapowiedź </w:t>
      </w:r>
      <w:r w:rsidR="006852E5">
        <w:rPr>
          <w:i/>
          <w:szCs w:val="20"/>
        </w:rPr>
        <w:t>podwyżk</w:t>
      </w:r>
      <w:r w:rsidR="00E075DC">
        <w:rPr>
          <w:i/>
          <w:szCs w:val="20"/>
        </w:rPr>
        <w:t>i</w:t>
      </w:r>
      <w:r w:rsidR="006852E5">
        <w:rPr>
          <w:i/>
          <w:szCs w:val="20"/>
        </w:rPr>
        <w:t xml:space="preserve"> o 2,5 p.p. buforu na stopę procentową, </w:t>
      </w:r>
      <w:r w:rsidR="0055409A">
        <w:rPr>
          <w:i/>
          <w:szCs w:val="20"/>
        </w:rPr>
        <w:t>w</w:t>
      </w:r>
      <w:r w:rsidR="00E075DC">
        <w:rPr>
          <w:i/>
          <w:szCs w:val="20"/>
        </w:rPr>
        <w:t>prowadzon</w:t>
      </w:r>
      <w:r w:rsidR="0055409A">
        <w:rPr>
          <w:i/>
          <w:szCs w:val="20"/>
        </w:rPr>
        <w:t>ej</w:t>
      </w:r>
      <w:r w:rsidR="00E075DC">
        <w:rPr>
          <w:i/>
          <w:szCs w:val="20"/>
        </w:rPr>
        <w:t xml:space="preserve"> </w:t>
      </w:r>
      <w:r w:rsidR="006852E5">
        <w:rPr>
          <w:i/>
          <w:szCs w:val="20"/>
        </w:rPr>
        <w:t xml:space="preserve">w kwietniu </w:t>
      </w:r>
      <w:r w:rsidR="00052165">
        <w:rPr>
          <w:i/>
          <w:szCs w:val="20"/>
        </w:rPr>
        <w:t>2022 r.</w:t>
      </w:r>
      <w:r w:rsidR="006852E5">
        <w:rPr>
          <w:i/>
          <w:szCs w:val="20"/>
        </w:rPr>
        <w:t xml:space="preserve"> </w:t>
      </w:r>
    </w:p>
    <w:p w14:paraId="0D708251" w14:textId="29799E8D" w:rsidR="00E075DC" w:rsidRDefault="00E075DC" w:rsidP="001D3DE7">
      <w:pPr>
        <w:jc w:val="both"/>
        <w:rPr>
          <w:i/>
          <w:szCs w:val="20"/>
        </w:rPr>
      </w:pPr>
      <w:r>
        <w:rPr>
          <w:i/>
          <w:szCs w:val="20"/>
        </w:rPr>
        <w:t>Dlatego też bieżący</w:t>
      </w:r>
      <w:r w:rsidR="0055409A">
        <w:rPr>
          <w:i/>
          <w:szCs w:val="20"/>
        </w:rPr>
        <w:t xml:space="preserve"> marcowy odczyt BIK Indeksu pokazuje nie tyle faktyczny spadek poziomu popytu, co efekt statystyczny </w:t>
      </w:r>
      <w:r w:rsidR="00DB31DE">
        <w:rPr>
          <w:i/>
          <w:szCs w:val="20"/>
        </w:rPr>
        <w:t xml:space="preserve">– wysokiej bazy </w:t>
      </w:r>
      <w:r w:rsidR="0055409A">
        <w:rPr>
          <w:i/>
          <w:szCs w:val="20"/>
        </w:rPr>
        <w:t>w następstwie ubiegłorocznej reakcji rynkowej</w:t>
      </w:r>
      <w:r w:rsidR="00DB31DE">
        <w:rPr>
          <w:i/>
          <w:szCs w:val="20"/>
        </w:rPr>
        <w:t xml:space="preserve"> na oczekiwany wzrost wysokości bufora</w:t>
      </w:r>
      <w:r w:rsidR="0055409A">
        <w:rPr>
          <w:i/>
          <w:szCs w:val="20"/>
        </w:rPr>
        <w:t xml:space="preserve">. </w:t>
      </w:r>
    </w:p>
    <w:p w14:paraId="70D6A1FC" w14:textId="1719DCE4" w:rsidR="0055409A" w:rsidRDefault="00DB31DE" w:rsidP="001D3DE7">
      <w:pPr>
        <w:jc w:val="both"/>
        <w:rPr>
          <w:i/>
          <w:szCs w:val="20"/>
        </w:rPr>
      </w:pPr>
      <w:r>
        <w:rPr>
          <w:i/>
          <w:szCs w:val="20"/>
        </w:rPr>
        <w:t>W kolejnych miesiącach 2022</w:t>
      </w:r>
      <w:r w:rsidR="001578A9">
        <w:rPr>
          <w:i/>
          <w:szCs w:val="20"/>
        </w:rPr>
        <w:t xml:space="preserve"> r.</w:t>
      </w:r>
      <w:r>
        <w:rPr>
          <w:i/>
          <w:szCs w:val="20"/>
        </w:rPr>
        <w:t xml:space="preserve"> popyt na kredyty mieszkaniowe nadal spadał, tworząc niską bazę dla porównań w 2023 r.</w:t>
      </w:r>
      <w:r w:rsidR="0055409A">
        <w:rPr>
          <w:i/>
          <w:szCs w:val="20"/>
        </w:rPr>
        <w:t xml:space="preserve"> </w:t>
      </w:r>
      <w:r>
        <w:rPr>
          <w:i/>
          <w:szCs w:val="20"/>
        </w:rPr>
        <w:t>W</w:t>
      </w:r>
      <w:r w:rsidR="00832EFB">
        <w:rPr>
          <w:i/>
          <w:szCs w:val="20"/>
        </w:rPr>
        <w:t>łaśnie</w:t>
      </w:r>
      <w:r w:rsidR="00364F0D">
        <w:rPr>
          <w:i/>
          <w:szCs w:val="20"/>
        </w:rPr>
        <w:t xml:space="preserve"> </w:t>
      </w:r>
      <w:r w:rsidR="00D4141B">
        <w:rPr>
          <w:i/>
          <w:szCs w:val="20"/>
        </w:rPr>
        <w:t xml:space="preserve">efekt </w:t>
      </w:r>
      <w:r w:rsidR="00364F0D">
        <w:rPr>
          <w:i/>
          <w:szCs w:val="20"/>
        </w:rPr>
        <w:t>statystyczny</w:t>
      </w:r>
      <w:r w:rsidR="00D4141B">
        <w:rPr>
          <w:i/>
          <w:szCs w:val="20"/>
        </w:rPr>
        <w:t xml:space="preserve"> </w:t>
      </w:r>
      <w:r>
        <w:rPr>
          <w:i/>
          <w:szCs w:val="20"/>
        </w:rPr>
        <w:t xml:space="preserve">niskiej bazy z 2022 r. </w:t>
      </w:r>
      <w:r w:rsidR="00052165">
        <w:rPr>
          <w:i/>
          <w:szCs w:val="20"/>
        </w:rPr>
        <w:t>może powodować</w:t>
      </w:r>
      <w:r w:rsidR="00832EFB">
        <w:rPr>
          <w:i/>
          <w:szCs w:val="20"/>
        </w:rPr>
        <w:t xml:space="preserve">, że </w:t>
      </w:r>
      <w:r w:rsidR="00D4141B">
        <w:rPr>
          <w:i/>
          <w:szCs w:val="20"/>
        </w:rPr>
        <w:t xml:space="preserve">wartość Indeksu </w:t>
      </w:r>
      <w:r w:rsidR="0055409A">
        <w:rPr>
          <w:i/>
          <w:szCs w:val="20"/>
        </w:rPr>
        <w:t xml:space="preserve">w kolejnych miesiącach </w:t>
      </w:r>
      <w:r>
        <w:rPr>
          <w:i/>
          <w:szCs w:val="20"/>
        </w:rPr>
        <w:t xml:space="preserve">br. roku </w:t>
      </w:r>
      <w:r w:rsidR="0055409A">
        <w:rPr>
          <w:i/>
          <w:szCs w:val="20"/>
        </w:rPr>
        <w:t xml:space="preserve">będzie </w:t>
      </w:r>
      <w:r w:rsidR="00052165">
        <w:rPr>
          <w:i/>
          <w:szCs w:val="20"/>
        </w:rPr>
        <w:t>rosnąć</w:t>
      </w:r>
      <w:r w:rsidR="003A1A09">
        <w:rPr>
          <w:i/>
          <w:szCs w:val="20"/>
        </w:rPr>
        <w:t xml:space="preserve">. </w:t>
      </w:r>
      <w:r w:rsidR="0055409A">
        <w:rPr>
          <w:i/>
          <w:szCs w:val="20"/>
        </w:rPr>
        <w:t xml:space="preserve">Warto </w:t>
      </w:r>
      <w:r>
        <w:rPr>
          <w:i/>
          <w:szCs w:val="20"/>
        </w:rPr>
        <w:t>zaznaczyć</w:t>
      </w:r>
      <w:r w:rsidR="0055409A">
        <w:rPr>
          <w:i/>
          <w:szCs w:val="20"/>
        </w:rPr>
        <w:t>, że s</w:t>
      </w:r>
      <w:r w:rsidR="00A90B66">
        <w:rPr>
          <w:i/>
          <w:szCs w:val="20"/>
        </w:rPr>
        <w:t xml:space="preserve">ymptomem </w:t>
      </w:r>
      <w:r w:rsidR="00052165">
        <w:rPr>
          <w:i/>
          <w:szCs w:val="20"/>
        </w:rPr>
        <w:t xml:space="preserve">trwałej </w:t>
      </w:r>
      <w:r w:rsidR="00A90B66">
        <w:rPr>
          <w:i/>
          <w:szCs w:val="20"/>
        </w:rPr>
        <w:t xml:space="preserve">poprawy </w:t>
      </w:r>
      <w:r w:rsidR="00052165">
        <w:rPr>
          <w:i/>
          <w:szCs w:val="20"/>
        </w:rPr>
        <w:t xml:space="preserve">sentymentu do kredytów mieszkaniowych </w:t>
      </w:r>
      <w:r w:rsidR="00A90B66">
        <w:rPr>
          <w:i/>
          <w:szCs w:val="20"/>
        </w:rPr>
        <w:t>będzie dopiero dodatni odczyt indeksu</w:t>
      </w:r>
      <w:r w:rsidR="008039F7">
        <w:rPr>
          <w:i/>
          <w:szCs w:val="20"/>
        </w:rPr>
        <w:t xml:space="preserve">, </w:t>
      </w:r>
      <w:r w:rsidR="0055409A">
        <w:rPr>
          <w:i/>
          <w:szCs w:val="20"/>
        </w:rPr>
        <w:t>potwierdzający</w:t>
      </w:r>
      <w:r>
        <w:rPr>
          <w:i/>
          <w:szCs w:val="20"/>
        </w:rPr>
        <w:t>,</w:t>
      </w:r>
      <w:r w:rsidR="0055409A">
        <w:rPr>
          <w:i/>
          <w:szCs w:val="20"/>
        </w:rPr>
        <w:t xml:space="preserve"> ż</w:t>
      </w:r>
      <w:r w:rsidR="008039F7">
        <w:rPr>
          <w:i/>
          <w:szCs w:val="20"/>
        </w:rPr>
        <w:t xml:space="preserve">e w danym miesiącu złożono zapytania na wyższą kwotę niż w analogicznym miesiącu </w:t>
      </w:r>
      <w:r w:rsidR="003A460F">
        <w:rPr>
          <w:i/>
          <w:szCs w:val="20"/>
        </w:rPr>
        <w:t xml:space="preserve">poprzedniego </w:t>
      </w:r>
      <w:r w:rsidR="008039F7">
        <w:rPr>
          <w:i/>
          <w:szCs w:val="20"/>
        </w:rPr>
        <w:t>roku</w:t>
      </w:r>
      <w:r w:rsidR="00A90B66">
        <w:rPr>
          <w:i/>
          <w:szCs w:val="20"/>
        </w:rPr>
        <w:t xml:space="preserve">. </w:t>
      </w:r>
    </w:p>
    <w:p w14:paraId="7D0963A7" w14:textId="77777777" w:rsidR="0055409A" w:rsidRDefault="0055409A" w:rsidP="001D3DE7">
      <w:pPr>
        <w:jc w:val="both"/>
        <w:rPr>
          <w:i/>
          <w:szCs w:val="20"/>
        </w:rPr>
      </w:pPr>
    </w:p>
    <w:p w14:paraId="51F7CDE0" w14:textId="563BD2D8" w:rsidR="00A931CF" w:rsidRDefault="0055409A" w:rsidP="001D3DE7">
      <w:pPr>
        <w:jc w:val="both"/>
        <w:rPr>
          <w:i/>
          <w:szCs w:val="20"/>
        </w:rPr>
      </w:pPr>
      <w:r>
        <w:rPr>
          <w:i/>
          <w:szCs w:val="20"/>
        </w:rPr>
        <w:t>- W</w:t>
      </w:r>
      <w:r w:rsidR="00A90B66">
        <w:rPr>
          <w:i/>
          <w:szCs w:val="20"/>
        </w:rPr>
        <w:t xml:space="preserve">arto </w:t>
      </w:r>
      <w:r w:rsidR="00DB31DE">
        <w:rPr>
          <w:i/>
          <w:szCs w:val="20"/>
        </w:rPr>
        <w:t xml:space="preserve">przede wszystkim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komponent</w:t>
      </w:r>
      <w:r w:rsidR="008039F7">
        <w:rPr>
          <w:i/>
          <w:szCs w:val="20"/>
        </w:rPr>
        <w:t>ów</w:t>
      </w:r>
      <w:r w:rsidR="00A90B66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składowych </w:t>
      </w:r>
      <w:r w:rsidR="00A90B66">
        <w:rPr>
          <w:i/>
          <w:szCs w:val="20"/>
        </w:rPr>
        <w:t xml:space="preserve">Indeksu, tj. liczbę </w:t>
      </w:r>
      <w:r w:rsidR="00974CB7">
        <w:rPr>
          <w:i/>
          <w:szCs w:val="20"/>
        </w:rPr>
        <w:t xml:space="preserve">osób </w:t>
      </w:r>
      <w:r w:rsidR="00A90B66">
        <w:rPr>
          <w:i/>
          <w:szCs w:val="20"/>
        </w:rPr>
        <w:t>wnioskujących 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kredytu. </w:t>
      </w:r>
      <w:r w:rsidR="00A931CF">
        <w:rPr>
          <w:i/>
          <w:szCs w:val="20"/>
        </w:rPr>
        <w:t xml:space="preserve">Obniżenie wymagań co do wartości bufora na stopę procentową spowodowało wzrost zdolności kredytowej, który widoczny jest we wzroście średniej kwoty wnioskowanego kredytu, </w:t>
      </w:r>
      <w:r w:rsidR="00A931CF" w:rsidRPr="00DB31DE">
        <w:rPr>
          <w:i/>
          <w:szCs w:val="20"/>
        </w:rPr>
        <w:t>która w porównaniu do lutego 2023 r. wzrosła o 3,7%</w:t>
      </w:r>
      <w:r w:rsidR="00DB31DE" w:rsidRPr="00DB31DE">
        <w:rPr>
          <w:i/>
          <w:szCs w:val="20"/>
        </w:rPr>
        <w:t xml:space="preserve"> </w:t>
      </w:r>
      <w:r w:rsidR="00DB31DE">
        <w:rPr>
          <w:i/>
          <w:szCs w:val="20"/>
        </w:rPr>
        <w:t>i jest rekordową kwotą w historii</w:t>
      </w:r>
      <w:r w:rsidR="00DB31DE" w:rsidRPr="00345D3B">
        <w:rPr>
          <w:i/>
          <w:szCs w:val="20"/>
        </w:rPr>
        <w:t>.</w:t>
      </w:r>
      <w:r w:rsidR="00A931CF" w:rsidRPr="00C262DC">
        <w:rPr>
          <w:i/>
          <w:color w:val="FF0000"/>
          <w:szCs w:val="20"/>
        </w:rPr>
        <w:t xml:space="preserve"> </w:t>
      </w:r>
    </w:p>
    <w:p w14:paraId="5D4C866D" w14:textId="2115D8E1" w:rsidR="00052165" w:rsidRDefault="0055409A" w:rsidP="001D3DE7">
      <w:pPr>
        <w:jc w:val="both"/>
        <w:rPr>
          <w:i/>
          <w:szCs w:val="20"/>
        </w:rPr>
      </w:pPr>
      <w:r>
        <w:rPr>
          <w:i/>
          <w:szCs w:val="20"/>
        </w:rPr>
        <w:t>W</w:t>
      </w:r>
      <w:r w:rsidR="00832EFB">
        <w:rPr>
          <w:i/>
          <w:szCs w:val="20"/>
        </w:rPr>
        <w:t xml:space="preserve"> mojej opinii </w:t>
      </w:r>
      <w:r w:rsidR="00DB31DE">
        <w:rPr>
          <w:i/>
          <w:szCs w:val="20"/>
        </w:rPr>
        <w:t xml:space="preserve">w obecnej sytuacji rynkowej </w:t>
      </w:r>
      <w:r w:rsidR="008039F7">
        <w:rPr>
          <w:i/>
          <w:szCs w:val="20"/>
        </w:rPr>
        <w:t xml:space="preserve">wskaźnikiem najlepiej pokazującym bieżącą sytuację popytu na kredyty mieszkaniowe </w:t>
      </w:r>
      <w:r w:rsidR="00832EFB">
        <w:rPr>
          <w:i/>
          <w:szCs w:val="20"/>
        </w:rPr>
        <w:t xml:space="preserve">jest </w:t>
      </w:r>
      <w:r w:rsidR="008039F7">
        <w:rPr>
          <w:i/>
          <w:szCs w:val="20"/>
        </w:rPr>
        <w:t xml:space="preserve">liczba osób wnioskujących o kredyt mieszkaniowy. </w:t>
      </w:r>
      <w:r w:rsidR="00D50C00">
        <w:rPr>
          <w:i/>
          <w:szCs w:val="20"/>
        </w:rPr>
        <w:t xml:space="preserve">W </w:t>
      </w:r>
      <w:r>
        <w:rPr>
          <w:i/>
          <w:szCs w:val="20"/>
        </w:rPr>
        <w:t xml:space="preserve">tym </w:t>
      </w:r>
      <w:r w:rsidR="00D50C00">
        <w:rPr>
          <w:i/>
          <w:szCs w:val="20"/>
        </w:rPr>
        <w:t xml:space="preserve">aspekcie marzec </w:t>
      </w:r>
      <w:r>
        <w:rPr>
          <w:i/>
          <w:szCs w:val="20"/>
        </w:rPr>
        <w:t xml:space="preserve">br. </w:t>
      </w:r>
      <w:r w:rsidR="00D50C00">
        <w:rPr>
          <w:i/>
          <w:szCs w:val="20"/>
        </w:rPr>
        <w:t>przyniósł wzrost liczby wnioskujących zarówno w relacji do lutego</w:t>
      </w:r>
      <w:r>
        <w:rPr>
          <w:i/>
          <w:szCs w:val="20"/>
        </w:rPr>
        <w:t xml:space="preserve"> (</w:t>
      </w:r>
      <w:r w:rsidR="00D50C00">
        <w:rPr>
          <w:i/>
          <w:szCs w:val="20"/>
        </w:rPr>
        <w:t>16,8%</w:t>
      </w:r>
      <w:r>
        <w:rPr>
          <w:i/>
          <w:szCs w:val="20"/>
        </w:rPr>
        <w:t>),</w:t>
      </w:r>
      <w:r w:rsidR="00D50C00">
        <w:rPr>
          <w:i/>
          <w:szCs w:val="20"/>
        </w:rPr>
        <w:t xml:space="preserve"> jak i stycznia </w:t>
      </w:r>
      <w:r>
        <w:rPr>
          <w:i/>
          <w:szCs w:val="20"/>
        </w:rPr>
        <w:t>(</w:t>
      </w:r>
      <w:r w:rsidR="00D50C00">
        <w:rPr>
          <w:i/>
          <w:szCs w:val="20"/>
        </w:rPr>
        <w:t>67,6%</w:t>
      </w:r>
      <w:r>
        <w:rPr>
          <w:i/>
          <w:szCs w:val="20"/>
        </w:rPr>
        <w:t>)</w:t>
      </w:r>
      <w:r w:rsidR="00D50C00">
        <w:rPr>
          <w:i/>
          <w:szCs w:val="20"/>
        </w:rPr>
        <w:t xml:space="preserve">. Tak dużej liczby osób wnioskujących o kredyt mieszkaniowy nie </w:t>
      </w:r>
      <w:r w:rsidR="00040397">
        <w:rPr>
          <w:i/>
          <w:szCs w:val="20"/>
        </w:rPr>
        <w:t>obserwowaliśmy</w:t>
      </w:r>
      <w:r w:rsidR="00D50C00">
        <w:rPr>
          <w:i/>
          <w:szCs w:val="20"/>
        </w:rPr>
        <w:t xml:space="preserve"> od 10 miesięcy. </w:t>
      </w:r>
    </w:p>
    <w:p w14:paraId="44815B1D" w14:textId="71642A22" w:rsidR="001D3DE7" w:rsidRPr="00C00D06" w:rsidRDefault="00CD1C41" w:rsidP="001D3DE7">
      <w:pPr>
        <w:jc w:val="both"/>
        <w:rPr>
          <w:szCs w:val="20"/>
        </w:rPr>
      </w:pPr>
      <w:r>
        <w:rPr>
          <w:i/>
          <w:szCs w:val="20"/>
        </w:rPr>
        <w:t>Reasumując o</w:t>
      </w:r>
      <w:r w:rsidR="007A3AAB">
        <w:rPr>
          <w:i/>
          <w:szCs w:val="20"/>
        </w:rPr>
        <w:t xml:space="preserve">becnie na popyt na kredyty mieszkaniowe </w:t>
      </w:r>
      <w:r w:rsidR="00DA1902">
        <w:rPr>
          <w:i/>
          <w:szCs w:val="20"/>
        </w:rPr>
        <w:t>oddziałują</w:t>
      </w:r>
      <w:r w:rsidR="007A3AAB">
        <w:rPr>
          <w:i/>
          <w:szCs w:val="20"/>
        </w:rPr>
        <w:t xml:space="preserve"> dwa przeciwstawne zjawiska: wzrost zdolności kredytowej (czynnik pozytywny) i </w:t>
      </w:r>
      <w:r w:rsidR="00832EFB">
        <w:rPr>
          <w:i/>
          <w:szCs w:val="20"/>
        </w:rPr>
        <w:t xml:space="preserve">możliwe </w:t>
      </w:r>
      <w:r w:rsidR="007A3AAB">
        <w:rPr>
          <w:i/>
          <w:szCs w:val="20"/>
        </w:rPr>
        <w:t>wstrzymywanie się przed zaciągnięciem kredytu do momentu uruchomienia rządowego programu</w:t>
      </w:r>
      <w:r w:rsidR="001A2655">
        <w:rPr>
          <w:i/>
          <w:szCs w:val="20"/>
        </w:rPr>
        <w:t xml:space="preserve"> </w:t>
      </w:r>
      <w:r w:rsidR="00C828B7">
        <w:rPr>
          <w:i/>
          <w:szCs w:val="20"/>
        </w:rPr>
        <w:t xml:space="preserve">wsparcia nabywania mieszkań na kredyt z oprocentowaniem 2% </w:t>
      </w:r>
      <w:r w:rsidR="007A3AAB">
        <w:rPr>
          <w:i/>
          <w:szCs w:val="20"/>
        </w:rPr>
        <w:t xml:space="preserve">(czynnik </w:t>
      </w:r>
      <w:r w:rsidR="007A3AAB">
        <w:rPr>
          <w:i/>
          <w:szCs w:val="20"/>
        </w:rPr>
        <w:lastRenderedPageBreak/>
        <w:t>negatywny)</w:t>
      </w:r>
      <w:r w:rsidR="00541DBA">
        <w:rPr>
          <w:i/>
          <w:szCs w:val="20"/>
        </w:rPr>
        <w:t>,</w:t>
      </w:r>
      <w:r w:rsidR="007A3AAB">
        <w:rPr>
          <w:i/>
          <w:szCs w:val="20"/>
        </w:rPr>
        <w:t xml:space="preserve"> </w:t>
      </w:r>
      <w:r w:rsidR="00C828B7">
        <w:rPr>
          <w:i/>
          <w:szCs w:val="20"/>
        </w:rPr>
        <w:t>bowiem część osób może wstrzymać się z decyzjami zakupowymi i sięganiem po kredyt do momentu uruchomienia programu. Natomiast po jego uruchomieniu może być to kolejny z czynników pozytywnie oddziałujących na wzrost popytu na kredyty mieszkaniowe. W</w:t>
      </w:r>
      <w:r w:rsidR="007A3AAB">
        <w:rPr>
          <w:i/>
          <w:szCs w:val="20"/>
        </w:rPr>
        <w:t xml:space="preserve"> kolejnych miesiącach sytuacja będzie </w:t>
      </w:r>
      <w:r w:rsidR="00DA1902">
        <w:rPr>
          <w:i/>
          <w:szCs w:val="20"/>
        </w:rPr>
        <w:t xml:space="preserve">więc </w:t>
      </w:r>
      <w:r w:rsidR="007A3AAB">
        <w:rPr>
          <w:i/>
          <w:szCs w:val="20"/>
        </w:rPr>
        <w:t xml:space="preserve">bardzo dynamiczna </w:t>
      </w:r>
      <w:r w:rsidR="001D3DE7" w:rsidRPr="00C00D06">
        <w:rPr>
          <w:i/>
          <w:szCs w:val="20"/>
        </w:rPr>
        <w:t xml:space="preserve">– </w:t>
      </w:r>
      <w:r w:rsidR="001D3DE7" w:rsidRPr="00C00D06">
        <w:rPr>
          <w:szCs w:val="20"/>
        </w:rPr>
        <w:t xml:space="preserve">mówi prof. Waldemar Rogowski, główny analityk </w:t>
      </w:r>
      <w:r w:rsidR="009C4547">
        <w:rPr>
          <w:szCs w:val="20"/>
        </w:rPr>
        <w:t>Grupy BIK.</w:t>
      </w:r>
    </w:p>
    <w:p w14:paraId="31914ABE" w14:textId="77777777" w:rsidR="001D3DE7" w:rsidRPr="00C00D06" w:rsidRDefault="001D3DE7" w:rsidP="001D3DE7">
      <w:pPr>
        <w:jc w:val="both"/>
        <w:rPr>
          <w:szCs w:val="20"/>
        </w:rPr>
      </w:pPr>
    </w:p>
    <w:p w14:paraId="2DED2162" w14:textId="59633836" w:rsidR="001D3DE7" w:rsidRDefault="00E57F49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6ED358FC" wp14:editId="1B448AC7">
            <wp:extent cx="5760720" cy="2363470"/>
            <wp:effectExtent l="0" t="0" r="0" b="0"/>
            <wp:docPr id="2" name="Obraz 2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ykre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1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2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1DE5A8C0" w:rsidR="00FB22EA" w:rsidRDefault="00FB22EA" w:rsidP="00FB22EA">
      <w:pPr>
        <w:spacing w:line="240" w:lineRule="auto"/>
        <w:jc w:val="both"/>
        <w:rPr>
          <w:rFonts w:cstheme="minorHAnsi"/>
          <w:bCs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6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0E877D42" w14:textId="77777777" w:rsidR="001E2467" w:rsidRPr="00D61CB3" w:rsidRDefault="001E2467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</w:p>
    <w:p w14:paraId="7829EEF0" w14:textId="77777777" w:rsidR="001E2467" w:rsidRPr="002F6CB6" w:rsidRDefault="001E2467" w:rsidP="001E2467">
      <w:pPr>
        <w:spacing w:after="60" w:line="240" w:lineRule="auto"/>
        <w:jc w:val="both"/>
        <w:rPr>
          <w:rFonts w:ascii="Calibri" w:hAnsi="Calibri"/>
          <w:b/>
          <w:bCs/>
          <w:color w:val="595959"/>
          <w:sz w:val="18"/>
          <w:szCs w:val="18"/>
        </w:rPr>
      </w:pPr>
      <w:r w:rsidRPr="002F6CB6">
        <w:rPr>
          <w:rFonts w:ascii="Calibri" w:hAnsi="Calibri"/>
          <w:b/>
          <w:bCs/>
          <w:color w:val="595959"/>
          <w:sz w:val="18"/>
          <w:szCs w:val="18"/>
        </w:rPr>
        <w:t>Kontakt dla mediów:</w:t>
      </w:r>
    </w:p>
    <w:p w14:paraId="7BC05BDA" w14:textId="77777777" w:rsidR="001E2467" w:rsidRPr="002F6CB6" w:rsidRDefault="001E2467" w:rsidP="001E2467">
      <w:pPr>
        <w:spacing w:line="240" w:lineRule="auto"/>
        <w:jc w:val="both"/>
        <w:rPr>
          <w:rFonts w:ascii="Calibri" w:hAnsi="Calibri"/>
          <w:b/>
          <w:color w:val="595959"/>
          <w:sz w:val="16"/>
          <w:szCs w:val="16"/>
        </w:rPr>
      </w:pPr>
      <w:r w:rsidRPr="002F6CB6">
        <w:rPr>
          <w:rFonts w:ascii="Calibri" w:hAnsi="Calibri"/>
          <w:b/>
          <w:color w:val="595959"/>
          <w:sz w:val="16"/>
          <w:szCs w:val="16"/>
        </w:rPr>
        <w:t>Aleksandra Stankiewicz-Billewicz</w:t>
      </w:r>
    </w:p>
    <w:p w14:paraId="1D90C557" w14:textId="77777777" w:rsidR="001E2467" w:rsidRPr="002F6CB6" w:rsidRDefault="001E2467" w:rsidP="001E2467">
      <w:pPr>
        <w:spacing w:line="240" w:lineRule="auto"/>
        <w:jc w:val="both"/>
        <w:rPr>
          <w:rFonts w:ascii="Calibri" w:hAnsi="Calibri"/>
          <w:color w:val="595959"/>
          <w:sz w:val="16"/>
          <w:szCs w:val="16"/>
        </w:rPr>
      </w:pPr>
      <w:r w:rsidRPr="002F6CB6">
        <w:rPr>
          <w:rFonts w:ascii="Calibri" w:hAnsi="Calibri"/>
          <w:color w:val="595959"/>
          <w:sz w:val="16"/>
          <w:szCs w:val="16"/>
        </w:rPr>
        <w:t xml:space="preserve">Biuro prasowe BIK </w:t>
      </w:r>
    </w:p>
    <w:p w14:paraId="55EF59EB" w14:textId="77777777" w:rsidR="001E2467" w:rsidRPr="002F6CB6" w:rsidRDefault="001E2467" w:rsidP="001E2467">
      <w:pPr>
        <w:spacing w:line="240" w:lineRule="auto"/>
        <w:jc w:val="both"/>
        <w:rPr>
          <w:rFonts w:ascii="Calibri" w:hAnsi="Calibri"/>
          <w:color w:val="595959"/>
          <w:sz w:val="16"/>
          <w:szCs w:val="16"/>
          <w:lang w:val="sv-SE"/>
        </w:rPr>
      </w:pPr>
      <w:r w:rsidRPr="002F6CB6">
        <w:rPr>
          <w:rFonts w:ascii="Calibri" w:hAnsi="Calibri"/>
          <w:color w:val="595959"/>
          <w:sz w:val="16"/>
          <w:szCs w:val="16"/>
          <w:lang w:val="sv-SE"/>
        </w:rPr>
        <w:t>tel.:     + 48 22 348 4131</w:t>
      </w:r>
    </w:p>
    <w:p w14:paraId="5A5978DE" w14:textId="77777777" w:rsidR="001E2467" w:rsidRPr="002F6CB6" w:rsidRDefault="001E2467" w:rsidP="001E2467">
      <w:pPr>
        <w:spacing w:line="240" w:lineRule="auto"/>
        <w:jc w:val="both"/>
        <w:rPr>
          <w:rFonts w:ascii="Calibri" w:hAnsi="Calibri"/>
          <w:color w:val="595959"/>
          <w:sz w:val="16"/>
          <w:szCs w:val="16"/>
          <w:lang w:val="sv-SE"/>
        </w:rPr>
      </w:pPr>
      <w:r w:rsidRPr="002F6CB6">
        <w:rPr>
          <w:rFonts w:ascii="Calibri" w:hAnsi="Calibri"/>
          <w:color w:val="595959"/>
          <w:sz w:val="16"/>
          <w:szCs w:val="16"/>
          <w:lang w:val="sv-SE"/>
        </w:rPr>
        <w:t>kom.:  + 48 512 164 131</w:t>
      </w:r>
    </w:p>
    <w:p w14:paraId="465CC8C4" w14:textId="5942AA0C" w:rsidR="002B3FE4" w:rsidRDefault="001E2467" w:rsidP="001E2467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  <w:hyperlink r:id="rId18" w:history="1">
        <w:r w:rsidRPr="002F6CB6">
          <w:rPr>
            <w:rFonts w:ascii="Calibri" w:hAnsi="Calibri"/>
            <w:color w:val="0000FF"/>
            <w:sz w:val="16"/>
            <w:szCs w:val="16"/>
            <w:u w:val="single"/>
            <w:lang w:val="sv-SE"/>
          </w:rPr>
          <w:t>aleksandra.stankiewicz-billewicz@bik.pl</w:t>
        </w:r>
      </w:hyperlink>
      <w:r w:rsidRPr="002F6CB6">
        <w:rPr>
          <w:rFonts w:ascii="Calibri" w:hAnsi="Calibri"/>
          <w:color w:val="595959"/>
          <w:sz w:val="16"/>
          <w:szCs w:val="16"/>
          <w:lang w:val="sv-SE"/>
        </w:rPr>
        <w:t xml:space="preserve"> </w:t>
      </w:r>
    </w:p>
    <w:p w14:paraId="7F34435F" w14:textId="682BB48F" w:rsidR="00F85535" w:rsidRDefault="00F85535" w:rsidP="002B3FE4">
      <w:pPr>
        <w:rPr>
          <w:lang w:val="sv-SE"/>
        </w:rPr>
      </w:pPr>
    </w:p>
    <w:p w14:paraId="6FBACFFA" w14:textId="77777777" w:rsidR="001E2467" w:rsidRPr="0048408C" w:rsidRDefault="001E2467" w:rsidP="002B3FE4">
      <w:pPr>
        <w:rPr>
          <w:lang w:val="sv-SE"/>
        </w:rPr>
      </w:pPr>
    </w:p>
    <w:sectPr w:rsidR="001E2467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B580" w14:textId="77777777" w:rsidR="00E303D5" w:rsidRDefault="00E303D5" w:rsidP="00866834">
      <w:r>
        <w:separator/>
      </w:r>
    </w:p>
    <w:p w14:paraId="293EC944" w14:textId="77777777" w:rsidR="00E303D5" w:rsidRDefault="00E303D5"/>
  </w:endnote>
  <w:endnote w:type="continuationSeparator" w:id="0">
    <w:p w14:paraId="0F68734C" w14:textId="77777777" w:rsidR="00E303D5" w:rsidRDefault="00E303D5" w:rsidP="00866834">
      <w:r>
        <w:continuationSeparator/>
      </w:r>
    </w:p>
    <w:p w14:paraId="351BD219" w14:textId="77777777" w:rsidR="00E303D5" w:rsidRDefault="00E30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9638" w14:textId="77777777" w:rsidR="00E303D5" w:rsidRDefault="00E303D5" w:rsidP="00866834">
      <w:r>
        <w:separator/>
      </w:r>
    </w:p>
    <w:p w14:paraId="00CAB046" w14:textId="77777777" w:rsidR="00E303D5" w:rsidRDefault="00E303D5"/>
  </w:footnote>
  <w:footnote w:type="continuationSeparator" w:id="0">
    <w:p w14:paraId="76463C29" w14:textId="77777777" w:rsidR="00E303D5" w:rsidRDefault="00E303D5" w:rsidP="00866834">
      <w:r>
        <w:continuationSeparator/>
      </w:r>
    </w:p>
    <w:p w14:paraId="7F7EDBD0" w14:textId="77777777" w:rsidR="00E303D5" w:rsidRDefault="00E30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9DC"/>
    <w:rsid w:val="00010682"/>
    <w:rsid w:val="0001284E"/>
    <w:rsid w:val="000133E5"/>
    <w:rsid w:val="0001644B"/>
    <w:rsid w:val="00016952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102C68"/>
    <w:rsid w:val="0010407D"/>
    <w:rsid w:val="001102F7"/>
    <w:rsid w:val="001149A6"/>
    <w:rsid w:val="001266A3"/>
    <w:rsid w:val="0013027F"/>
    <w:rsid w:val="001336D3"/>
    <w:rsid w:val="001354FA"/>
    <w:rsid w:val="0014528E"/>
    <w:rsid w:val="001578A9"/>
    <w:rsid w:val="00162D9C"/>
    <w:rsid w:val="001661AF"/>
    <w:rsid w:val="00166EB1"/>
    <w:rsid w:val="001718BB"/>
    <w:rsid w:val="00171AC4"/>
    <w:rsid w:val="0017730C"/>
    <w:rsid w:val="00183759"/>
    <w:rsid w:val="00184906"/>
    <w:rsid w:val="001872A7"/>
    <w:rsid w:val="00192AD1"/>
    <w:rsid w:val="00193AB4"/>
    <w:rsid w:val="00194C6A"/>
    <w:rsid w:val="001A01EF"/>
    <w:rsid w:val="001A1682"/>
    <w:rsid w:val="001A2655"/>
    <w:rsid w:val="001A37E7"/>
    <w:rsid w:val="001B043C"/>
    <w:rsid w:val="001B3E2D"/>
    <w:rsid w:val="001D0DED"/>
    <w:rsid w:val="001D1404"/>
    <w:rsid w:val="001D253F"/>
    <w:rsid w:val="001D3DE7"/>
    <w:rsid w:val="001E2467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3BB5"/>
    <w:rsid w:val="00271B37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A1A09"/>
    <w:rsid w:val="003A460F"/>
    <w:rsid w:val="003A6B00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64740"/>
    <w:rsid w:val="004767B5"/>
    <w:rsid w:val="00481CFA"/>
    <w:rsid w:val="0048408C"/>
    <w:rsid w:val="00490399"/>
    <w:rsid w:val="004A2397"/>
    <w:rsid w:val="004B18C0"/>
    <w:rsid w:val="004B440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271F0"/>
    <w:rsid w:val="00533908"/>
    <w:rsid w:val="005377DC"/>
    <w:rsid w:val="00540014"/>
    <w:rsid w:val="00541CDA"/>
    <w:rsid w:val="00541DBA"/>
    <w:rsid w:val="00543D89"/>
    <w:rsid w:val="005450F2"/>
    <w:rsid w:val="005468AD"/>
    <w:rsid w:val="0055409A"/>
    <w:rsid w:val="00572764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7891"/>
    <w:rsid w:val="005F0A9A"/>
    <w:rsid w:val="005F680C"/>
    <w:rsid w:val="005F74B8"/>
    <w:rsid w:val="006059D5"/>
    <w:rsid w:val="0061285D"/>
    <w:rsid w:val="00620D7B"/>
    <w:rsid w:val="00625B1C"/>
    <w:rsid w:val="00636328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52E5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94B24"/>
    <w:rsid w:val="00795992"/>
    <w:rsid w:val="007A002C"/>
    <w:rsid w:val="007A098A"/>
    <w:rsid w:val="007A1B69"/>
    <w:rsid w:val="007A3AAB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56D4"/>
    <w:rsid w:val="00847E9D"/>
    <w:rsid w:val="00853A9D"/>
    <w:rsid w:val="00854B7B"/>
    <w:rsid w:val="00866834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A1CEE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F58F8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3176"/>
    <w:rsid w:val="00B010F5"/>
    <w:rsid w:val="00B21D57"/>
    <w:rsid w:val="00B26DDD"/>
    <w:rsid w:val="00B35B63"/>
    <w:rsid w:val="00B3797A"/>
    <w:rsid w:val="00B50905"/>
    <w:rsid w:val="00B56575"/>
    <w:rsid w:val="00B60E67"/>
    <w:rsid w:val="00B61F8A"/>
    <w:rsid w:val="00B65DDC"/>
    <w:rsid w:val="00B70D20"/>
    <w:rsid w:val="00B85ED1"/>
    <w:rsid w:val="00B976FD"/>
    <w:rsid w:val="00BA759D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158E2"/>
    <w:rsid w:val="00C15FB1"/>
    <w:rsid w:val="00C16C2C"/>
    <w:rsid w:val="00C22D2A"/>
    <w:rsid w:val="00C25E6E"/>
    <w:rsid w:val="00C262DC"/>
    <w:rsid w:val="00C26640"/>
    <w:rsid w:val="00C277A7"/>
    <w:rsid w:val="00C44C19"/>
    <w:rsid w:val="00C47889"/>
    <w:rsid w:val="00C5064F"/>
    <w:rsid w:val="00C537EB"/>
    <w:rsid w:val="00C57C5D"/>
    <w:rsid w:val="00C63331"/>
    <w:rsid w:val="00C74378"/>
    <w:rsid w:val="00C828B7"/>
    <w:rsid w:val="00CA59D7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03D5"/>
    <w:rsid w:val="00E339B5"/>
    <w:rsid w:val="00E53739"/>
    <w:rsid w:val="00E57F4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F3CDE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63136"/>
    <w:rsid w:val="00F82D3F"/>
    <w:rsid w:val="00F85535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yperlink" Target="mailto:aleksandra.stankiewicz-billewicz@bik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https://media.bik.pl/analizy-rynko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hub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oter" Target="footer3.xml"/><Relationship Id="rId10" Type="http://schemas.openxmlformats.org/officeDocument/2006/relationships/image" Target="cid:image001.png@01D96613.7F6382A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2021-05-26T12:27:00Z</cp:lastPrinted>
  <dcterms:created xsi:type="dcterms:W3CDTF">2023-04-05T07:24:00Z</dcterms:created>
  <dcterms:modified xsi:type="dcterms:W3CDTF">2023-04-05T16:41:00Z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2023-04-05T16:41:05Z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8c0a53fb-029a-4418-bba7-93af9dd85463</vt:lpwstr>
  </property>
  <property fmtid="{D5CDD505-2E9C-101B-9397-08002B2CF9AE}" pid="13" name="MSIP_Label_1391a466-f120-4668-a5e5-7af4d8a99d82_ContentBits">
    <vt:lpwstr>2</vt:lpwstr>
  </property>
</Properties>
</file>