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4553" w14:textId="77777777" w:rsidR="00BF10C9" w:rsidRPr="00D15A7B" w:rsidRDefault="00BF10C9" w:rsidP="007725E5">
      <w:pPr>
        <w:rPr>
          <w:b/>
          <w:bCs/>
          <w:sz w:val="28"/>
          <w:szCs w:val="28"/>
          <w:lang w:val="pl-PL"/>
        </w:rPr>
      </w:pPr>
    </w:p>
    <w:p w14:paraId="75B90F42" w14:textId="77777777" w:rsidR="007F5116" w:rsidRPr="00DE00F1" w:rsidRDefault="007F5116" w:rsidP="007725E5">
      <w:pPr>
        <w:spacing w:after="0" w:line="240" w:lineRule="auto"/>
        <w:rPr>
          <w:rFonts w:ascii="Georgia" w:hAnsi="Georgia"/>
          <w:i/>
          <w:iCs/>
          <w:color w:val="7900E6"/>
          <w:sz w:val="20"/>
          <w:szCs w:val="20"/>
          <w:lang w:val="pl-PL"/>
        </w:rPr>
      </w:pPr>
    </w:p>
    <w:p w14:paraId="1429D917" w14:textId="77777777" w:rsidR="007F5116" w:rsidRPr="007F5116" w:rsidRDefault="007F5116" w:rsidP="007725E5">
      <w:pPr>
        <w:spacing w:after="0" w:line="240" w:lineRule="auto"/>
        <w:rPr>
          <w:rFonts w:ascii="Georgia" w:hAnsi="Georgia"/>
          <w:i/>
          <w:iCs/>
          <w:color w:val="7900E6"/>
          <w:sz w:val="28"/>
          <w:szCs w:val="28"/>
          <w:lang w:val="pl-PL"/>
        </w:rPr>
      </w:pPr>
    </w:p>
    <w:p w14:paraId="363BCFEF" w14:textId="4E4FE724" w:rsidR="00C1438D" w:rsidRPr="00652866" w:rsidRDefault="00304CCD" w:rsidP="007725E5">
      <w:pPr>
        <w:spacing w:after="0" w:line="240" w:lineRule="auto"/>
        <w:rPr>
          <w:b/>
          <w:bCs/>
          <w:sz w:val="14"/>
          <w:szCs w:val="14"/>
          <w:lang w:val="pl-PL"/>
        </w:rPr>
      </w:pPr>
      <w:r w:rsidRPr="00304CCD">
        <w:rPr>
          <w:rFonts w:ascii="Georgia" w:hAnsi="Georgia"/>
          <w:i/>
          <w:iCs/>
          <w:color w:val="7900E6"/>
          <w:sz w:val="36"/>
          <w:szCs w:val="36"/>
          <w:lang w:val="pl-PL"/>
        </w:rPr>
        <w:t xml:space="preserve">Badaj wątrobę i </w:t>
      </w:r>
      <w:r w:rsidR="00784DA2">
        <w:rPr>
          <w:rFonts w:ascii="Georgia" w:hAnsi="Georgia"/>
          <w:i/>
          <w:iCs/>
          <w:color w:val="7900E6"/>
          <w:sz w:val="36"/>
          <w:szCs w:val="36"/>
          <w:lang w:val="pl-PL"/>
        </w:rPr>
        <w:t>„</w:t>
      </w:r>
      <w:r w:rsidRPr="00304CCD">
        <w:rPr>
          <w:rFonts w:ascii="Georgia" w:hAnsi="Georgia"/>
          <w:i/>
          <w:iCs/>
          <w:color w:val="7900E6"/>
          <w:sz w:val="36"/>
          <w:szCs w:val="36"/>
          <w:lang w:val="pl-PL"/>
        </w:rPr>
        <w:t>Prowadź się zdrowo</w:t>
      </w:r>
      <w:r w:rsidR="00784DA2">
        <w:rPr>
          <w:rFonts w:ascii="Georgia" w:hAnsi="Georgia"/>
          <w:i/>
          <w:iCs/>
          <w:color w:val="7900E6"/>
          <w:sz w:val="36"/>
          <w:szCs w:val="36"/>
          <w:lang w:val="pl-PL"/>
        </w:rPr>
        <w:t>”</w:t>
      </w:r>
      <w:r w:rsidRPr="00304CCD">
        <w:rPr>
          <w:rFonts w:ascii="Georgia" w:hAnsi="Georgia"/>
          <w:i/>
          <w:iCs/>
          <w:color w:val="7900E6"/>
          <w:sz w:val="36"/>
          <w:szCs w:val="36"/>
          <w:lang w:val="pl-PL"/>
        </w:rPr>
        <w:t>. Podsumowanie kampanii Sanofi</w:t>
      </w:r>
    </w:p>
    <w:p w14:paraId="45D961E5" w14:textId="3F8D7A8A" w:rsidR="00AB23D7" w:rsidRDefault="00AB23D7" w:rsidP="007725E5">
      <w:pPr>
        <w:spacing w:after="0" w:line="240" w:lineRule="auto"/>
        <w:contextualSpacing/>
        <w:rPr>
          <w:b/>
          <w:bCs/>
          <w:sz w:val="20"/>
          <w:szCs w:val="20"/>
          <w:lang w:val="pl-PL"/>
        </w:rPr>
      </w:pPr>
    </w:p>
    <w:p w14:paraId="01BD7A0E" w14:textId="141C00A5" w:rsidR="00981B72" w:rsidRDefault="00657BCA" w:rsidP="00D141EC">
      <w:pPr>
        <w:spacing w:after="0" w:line="240" w:lineRule="auto"/>
        <w:contextualSpacing/>
        <w:rPr>
          <w:b/>
          <w:bCs/>
          <w:sz w:val="20"/>
          <w:szCs w:val="20"/>
          <w:lang w:val="pl-PL"/>
        </w:rPr>
      </w:pPr>
      <w:r>
        <w:rPr>
          <w:b/>
          <w:bCs/>
          <w:sz w:val="20"/>
          <w:szCs w:val="20"/>
          <w:lang w:val="pl-PL"/>
        </w:rPr>
        <w:t>Warszawa,</w:t>
      </w:r>
      <w:r w:rsidR="00784DA2">
        <w:rPr>
          <w:b/>
          <w:bCs/>
          <w:sz w:val="20"/>
          <w:szCs w:val="20"/>
          <w:lang w:val="pl-PL"/>
        </w:rPr>
        <w:t xml:space="preserve"> 24.</w:t>
      </w:r>
      <w:r>
        <w:rPr>
          <w:b/>
          <w:bCs/>
          <w:sz w:val="20"/>
          <w:szCs w:val="20"/>
          <w:lang w:val="pl-PL"/>
        </w:rPr>
        <w:t xml:space="preserve">04.2023 r. </w:t>
      </w:r>
      <w:r w:rsidR="00981B72">
        <w:rPr>
          <w:b/>
          <w:bCs/>
          <w:sz w:val="20"/>
          <w:szCs w:val="20"/>
          <w:lang w:val="pl-PL"/>
        </w:rPr>
        <w:t xml:space="preserve">Niealkoholowe stłuszczenie wątroby (NAFLD) jest dziś </w:t>
      </w:r>
      <w:r w:rsidR="00981B72" w:rsidRPr="00036765">
        <w:rPr>
          <w:b/>
          <w:bCs/>
          <w:sz w:val="20"/>
          <w:szCs w:val="20"/>
          <w:lang w:val="pl-PL"/>
        </w:rPr>
        <w:t>najczęstszą przewlekłą chorob</w:t>
      </w:r>
      <w:r w:rsidR="00981B72">
        <w:rPr>
          <w:b/>
          <w:bCs/>
          <w:sz w:val="20"/>
          <w:szCs w:val="20"/>
          <w:lang w:val="pl-PL"/>
        </w:rPr>
        <w:t>ą</w:t>
      </w:r>
      <w:r w:rsidR="00981B72" w:rsidRPr="00036765">
        <w:rPr>
          <w:b/>
          <w:bCs/>
          <w:sz w:val="20"/>
          <w:szCs w:val="20"/>
          <w:lang w:val="pl-PL"/>
        </w:rPr>
        <w:t xml:space="preserve"> wątroby i </w:t>
      </w:r>
      <w:r w:rsidR="00981B72">
        <w:rPr>
          <w:b/>
          <w:bCs/>
          <w:sz w:val="20"/>
          <w:szCs w:val="20"/>
          <w:lang w:val="pl-PL"/>
        </w:rPr>
        <w:t>staje się główną</w:t>
      </w:r>
      <w:r w:rsidR="00981B72" w:rsidRPr="00036765">
        <w:rPr>
          <w:b/>
          <w:bCs/>
          <w:sz w:val="20"/>
          <w:szCs w:val="20"/>
          <w:lang w:val="pl-PL"/>
        </w:rPr>
        <w:t xml:space="preserve"> przyczyn</w:t>
      </w:r>
      <w:r w:rsidR="00981B72">
        <w:rPr>
          <w:b/>
          <w:bCs/>
          <w:sz w:val="20"/>
          <w:szCs w:val="20"/>
          <w:lang w:val="pl-PL"/>
        </w:rPr>
        <w:t xml:space="preserve">ą </w:t>
      </w:r>
      <w:r w:rsidR="00981B72" w:rsidRPr="00036765">
        <w:rPr>
          <w:b/>
          <w:bCs/>
          <w:sz w:val="20"/>
          <w:szCs w:val="20"/>
          <w:lang w:val="pl-PL"/>
        </w:rPr>
        <w:t xml:space="preserve">marskości </w:t>
      </w:r>
      <w:r w:rsidR="00981B72">
        <w:rPr>
          <w:b/>
          <w:bCs/>
          <w:sz w:val="20"/>
          <w:szCs w:val="20"/>
          <w:lang w:val="pl-PL"/>
        </w:rPr>
        <w:t>tego narządu</w:t>
      </w:r>
      <w:r w:rsidR="00C064BB">
        <w:rPr>
          <w:rStyle w:val="Odwoanieprzypisudolnego"/>
          <w:b/>
          <w:bCs/>
          <w:sz w:val="20"/>
          <w:szCs w:val="20"/>
          <w:lang w:val="pl-PL"/>
        </w:rPr>
        <w:footnoteReference w:id="2"/>
      </w:r>
      <w:r w:rsidR="00981B72">
        <w:rPr>
          <w:b/>
          <w:bCs/>
          <w:sz w:val="20"/>
          <w:szCs w:val="20"/>
          <w:lang w:val="pl-PL"/>
        </w:rPr>
        <w:t>. Tymczasem</w:t>
      </w:r>
      <w:r w:rsidR="00474311">
        <w:rPr>
          <w:b/>
          <w:bCs/>
          <w:sz w:val="20"/>
          <w:szCs w:val="20"/>
          <w:lang w:val="pl-PL"/>
        </w:rPr>
        <w:t>,</w:t>
      </w:r>
      <w:r w:rsidR="00C93F0C">
        <w:rPr>
          <w:b/>
          <w:bCs/>
          <w:sz w:val="20"/>
          <w:szCs w:val="20"/>
          <w:lang w:val="pl-PL"/>
        </w:rPr>
        <w:t xml:space="preserve"> </w:t>
      </w:r>
      <w:r w:rsidR="00474311">
        <w:rPr>
          <w:b/>
          <w:bCs/>
          <w:sz w:val="20"/>
          <w:szCs w:val="20"/>
          <w:lang w:val="pl-PL"/>
        </w:rPr>
        <w:t>jak pokazuje podsumowanie</w:t>
      </w:r>
      <w:r w:rsidR="00C93F0C">
        <w:rPr>
          <w:b/>
          <w:bCs/>
          <w:sz w:val="20"/>
          <w:szCs w:val="20"/>
          <w:lang w:val="pl-PL"/>
        </w:rPr>
        <w:t xml:space="preserve"> </w:t>
      </w:r>
      <w:r w:rsidR="00EF22C7">
        <w:rPr>
          <w:b/>
          <w:bCs/>
          <w:sz w:val="20"/>
          <w:szCs w:val="20"/>
          <w:lang w:val="pl-PL"/>
        </w:rPr>
        <w:t xml:space="preserve">badań diagnostycznych przeprowadzonych w ramach kampanii „Prowadź się zdrowo”, </w:t>
      </w:r>
      <w:r w:rsidR="00213845">
        <w:rPr>
          <w:b/>
          <w:bCs/>
          <w:sz w:val="20"/>
          <w:szCs w:val="20"/>
          <w:lang w:val="pl-PL"/>
        </w:rPr>
        <w:t xml:space="preserve">u </w:t>
      </w:r>
      <w:r w:rsidR="005D505A">
        <w:rPr>
          <w:b/>
          <w:bCs/>
          <w:sz w:val="20"/>
          <w:szCs w:val="20"/>
          <w:lang w:val="pl-PL"/>
        </w:rPr>
        <w:t xml:space="preserve">ponad </w:t>
      </w:r>
      <w:r w:rsidR="00213845">
        <w:rPr>
          <w:b/>
          <w:bCs/>
          <w:sz w:val="20"/>
          <w:szCs w:val="20"/>
          <w:lang w:val="pl-PL"/>
        </w:rPr>
        <w:t>4</w:t>
      </w:r>
      <w:r w:rsidR="005D505A">
        <w:rPr>
          <w:b/>
          <w:bCs/>
          <w:sz w:val="20"/>
          <w:szCs w:val="20"/>
          <w:lang w:val="pl-PL"/>
        </w:rPr>
        <w:t>0</w:t>
      </w:r>
      <w:r w:rsidRPr="005D505A">
        <w:rPr>
          <w:b/>
          <w:bCs/>
          <w:sz w:val="20"/>
          <w:szCs w:val="20"/>
          <w:lang w:val="pl-PL"/>
        </w:rPr>
        <w:t xml:space="preserve">% </w:t>
      </w:r>
      <w:r w:rsidR="001F604B">
        <w:rPr>
          <w:b/>
          <w:bCs/>
          <w:sz w:val="20"/>
          <w:szCs w:val="20"/>
          <w:lang w:val="pl-PL"/>
        </w:rPr>
        <w:t xml:space="preserve">badanych </w:t>
      </w:r>
      <w:r w:rsidRPr="005D505A">
        <w:rPr>
          <w:b/>
          <w:bCs/>
          <w:sz w:val="20"/>
          <w:szCs w:val="20"/>
          <w:lang w:val="pl-PL"/>
        </w:rPr>
        <w:t xml:space="preserve">mężczyzn oraz </w:t>
      </w:r>
      <w:r w:rsidR="00213845">
        <w:rPr>
          <w:b/>
          <w:bCs/>
          <w:sz w:val="20"/>
          <w:szCs w:val="20"/>
          <w:lang w:val="pl-PL"/>
        </w:rPr>
        <w:t>ponad</w:t>
      </w:r>
      <w:r w:rsidR="005D505A">
        <w:rPr>
          <w:b/>
          <w:bCs/>
          <w:sz w:val="20"/>
          <w:szCs w:val="20"/>
          <w:lang w:val="pl-PL"/>
        </w:rPr>
        <w:t xml:space="preserve"> </w:t>
      </w:r>
      <w:r w:rsidR="00213845">
        <w:rPr>
          <w:b/>
          <w:bCs/>
          <w:sz w:val="20"/>
          <w:szCs w:val="20"/>
          <w:lang w:val="pl-PL"/>
        </w:rPr>
        <w:t>31</w:t>
      </w:r>
      <w:r w:rsidRPr="005D505A">
        <w:rPr>
          <w:b/>
          <w:bCs/>
          <w:sz w:val="20"/>
          <w:szCs w:val="20"/>
          <w:lang w:val="pl-PL"/>
        </w:rPr>
        <w:t>% kobie</w:t>
      </w:r>
      <w:r w:rsidR="00564D30">
        <w:rPr>
          <w:b/>
          <w:bCs/>
          <w:sz w:val="20"/>
          <w:szCs w:val="20"/>
          <w:lang w:val="pl-PL"/>
        </w:rPr>
        <w:t>t</w:t>
      </w:r>
      <w:r w:rsidR="00C93F0C">
        <w:rPr>
          <w:b/>
          <w:bCs/>
          <w:sz w:val="20"/>
          <w:szCs w:val="20"/>
          <w:lang w:val="pl-PL"/>
        </w:rPr>
        <w:t>,</w:t>
      </w:r>
      <w:r>
        <w:rPr>
          <w:b/>
          <w:bCs/>
          <w:sz w:val="20"/>
          <w:szCs w:val="20"/>
          <w:lang w:val="pl-PL"/>
        </w:rPr>
        <w:t xml:space="preserve"> </w:t>
      </w:r>
      <w:r w:rsidR="00213845">
        <w:rPr>
          <w:b/>
          <w:bCs/>
          <w:sz w:val="20"/>
          <w:szCs w:val="20"/>
          <w:lang w:val="pl-PL"/>
        </w:rPr>
        <w:t>stwierdzono wyniki wskazujące na</w:t>
      </w:r>
      <w:r w:rsidR="005D505A">
        <w:rPr>
          <w:b/>
          <w:bCs/>
          <w:sz w:val="20"/>
          <w:szCs w:val="20"/>
          <w:lang w:val="pl-PL"/>
        </w:rPr>
        <w:t> </w:t>
      </w:r>
      <w:r>
        <w:rPr>
          <w:b/>
          <w:bCs/>
          <w:sz w:val="20"/>
          <w:szCs w:val="20"/>
          <w:lang w:val="pl-PL"/>
        </w:rPr>
        <w:t>stłuszczenie wątroby</w:t>
      </w:r>
      <w:r w:rsidR="00EF22C7">
        <w:rPr>
          <w:rStyle w:val="Odwoanieprzypisudolnego"/>
          <w:b/>
          <w:bCs/>
          <w:sz w:val="20"/>
          <w:szCs w:val="20"/>
          <w:lang w:val="pl-PL"/>
        </w:rPr>
        <w:footnoteReference w:id="3"/>
      </w:r>
      <w:r w:rsidR="00EF22C7">
        <w:rPr>
          <w:b/>
          <w:bCs/>
          <w:sz w:val="20"/>
          <w:szCs w:val="20"/>
          <w:lang w:val="pl-PL"/>
        </w:rPr>
        <w:t>.</w:t>
      </w:r>
      <w:r>
        <w:rPr>
          <w:b/>
          <w:bCs/>
          <w:sz w:val="20"/>
          <w:szCs w:val="20"/>
          <w:lang w:val="pl-PL"/>
        </w:rPr>
        <w:t xml:space="preserve"> </w:t>
      </w:r>
      <w:bookmarkStart w:id="0" w:name="_Hlk132275731"/>
      <w:r w:rsidR="00F32E53">
        <w:rPr>
          <w:b/>
          <w:bCs/>
          <w:sz w:val="20"/>
          <w:szCs w:val="20"/>
          <w:lang w:val="pl-PL"/>
        </w:rPr>
        <w:t>Warto zauważyć, że c</w:t>
      </w:r>
      <w:r w:rsidR="00D141EC">
        <w:rPr>
          <w:b/>
          <w:bCs/>
          <w:sz w:val="20"/>
          <w:szCs w:val="20"/>
          <w:lang w:val="pl-PL"/>
        </w:rPr>
        <w:t>zęściej dotyka</w:t>
      </w:r>
      <w:r w:rsidR="00AF1A44">
        <w:rPr>
          <w:b/>
          <w:bCs/>
          <w:sz w:val="20"/>
          <w:szCs w:val="20"/>
          <w:lang w:val="pl-PL"/>
        </w:rPr>
        <w:t>ło</w:t>
      </w:r>
      <w:r w:rsidR="00D141EC">
        <w:rPr>
          <w:b/>
          <w:bCs/>
          <w:sz w:val="20"/>
          <w:szCs w:val="20"/>
          <w:lang w:val="pl-PL"/>
        </w:rPr>
        <w:t xml:space="preserve"> ono mężczyzn</w:t>
      </w:r>
      <w:r w:rsidR="001551D8">
        <w:rPr>
          <w:b/>
          <w:bCs/>
          <w:sz w:val="20"/>
          <w:szCs w:val="20"/>
          <w:lang w:val="pl-PL"/>
        </w:rPr>
        <w:t>, co może</w:t>
      </w:r>
      <w:r w:rsidR="00007757">
        <w:rPr>
          <w:b/>
          <w:bCs/>
          <w:sz w:val="20"/>
          <w:szCs w:val="20"/>
          <w:lang w:val="pl-PL"/>
        </w:rPr>
        <w:t xml:space="preserve"> </w:t>
      </w:r>
      <w:r w:rsidR="00B35049">
        <w:rPr>
          <w:b/>
          <w:bCs/>
          <w:sz w:val="20"/>
          <w:szCs w:val="20"/>
          <w:lang w:val="pl-PL"/>
        </w:rPr>
        <w:t>być spowodowane m.i</w:t>
      </w:r>
      <w:r w:rsidR="00784DA2">
        <w:rPr>
          <w:b/>
          <w:bCs/>
          <w:sz w:val="20"/>
          <w:szCs w:val="20"/>
          <w:lang w:val="pl-PL"/>
        </w:rPr>
        <w:t>n</w:t>
      </w:r>
      <w:r w:rsidR="00B35049">
        <w:rPr>
          <w:b/>
          <w:bCs/>
          <w:sz w:val="20"/>
          <w:szCs w:val="20"/>
          <w:lang w:val="pl-PL"/>
        </w:rPr>
        <w:t>.</w:t>
      </w:r>
      <w:r w:rsidR="00D141EC">
        <w:rPr>
          <w:b/>
          <w:bCs/>
          <w:sz w:val="20"/>
          <w:szCs w:val="20"/>
          <w:lang w:val="pl-PL"/>
        </w:rPr>
        <w:t xml:space="preserve">  charakterystyczn</w:t>
      </w:r>
      <w:r w:rsidR="00B35049">
        <w:rPr>
          <w:b/>
          <w:bCs/>
          <w:sz w:val="20"/>
          <w:szCs w:val="20"/>
          <w:lang w:val="pl-PL"/>
        </w:rPr>
        <w:t>ą</w:t>
      </w:r>
      <w:r w:rsidR="00D141EC">
        <w:rPr>
          <w:b/>
          <w:bCs/>
          <w:sz w:val="20"/>
          <w:szCs w:val="20"/>
          <w:lang w:val="pl-PL"/>
        </w:rPr>
        <w:t xml:space="preserve"> dla nich otyłoś</w:t>
      </w:r>
      <w:r w:rsidR="001551D8">
        <w:rPr>
          <w:b/>
          <w:bCs/>
          <w:sz w:val="20"/>
          <w:szCs w:val="20"/>
          <w:lang w:val="pl-PL"/>
        </w:rPr>
        <w:t>ci</w:t>
      </w:r>
      <w:r w:rsidR="00784DA2">
        <w:rPr>
          <w:b/>
          <w:bCs/>
          <w:sz w:val="20"/>
          <w:szCs w:val="20"/>
          <w:lang w:val="pl-PL"/>
        </w:rPr>
        <w:t>ą</w:t>
      </w:r>
      <w:r w:rsidR="00D141EC">
        <w:rPr>
          <w:b/>
          <w:bCs/>
          <w:sz w:val="20"/>
          <w:szCs w:val="20"/>
          <w:lang w:val="pl-PL"/>
        </w:rPr>
        <w:t xml:space="preserve"> brzuszn</w:t>
      </w:r>
      <w:r w:rsidR="00B35049">
        <w:rPr>
          <w:b/>
          <w:bCs/>
          <w:sz w:val="20"/>
          <w:szCs w:val="20"/>
          <w:lang w:val="pl-PL"/>
        </w:rPr>
        <w:t>ą</w:t>
      </w:r>
      <w:r w:rsidR="00981B72">
        <w:rPr>
          <w:b/>
          <w:bCs/>
          <w:sz w:val="20"/>
          <w:szCs w:val="20"/>
          <w:lang w:val="pl-PL"/>
        </w:rPr>
        <w:t xml:space="preserve"> </w:t>
      </w:r>
      <w:bookmarkEnd w:id="0"/>
      <w:r w:rsidR="00D141EC">
        <w:rPr>
          <w:b/>
          <w:bCs/>
          <w:sz w:val="20"/>
          <w:szCs w:val="20"/>
          <w:lang w:val="pl-PL"/>
        </w:rPr>
        <w:t xml:space="preserve">– </w:t>
      </w:r>
      <w:r w:rsidR="00B854B6">
        <w:rPr>
          <w:b/>
          <w:bCs/>
          <w:sz w:val="20"/>
          <w:szCs w:val="20"/>
          <w:lang w:val="pl-PL"/>
        </w:rPr>
        <w:t>wyjaśnia</w:t>
      </w:r>
      <w:r w:rsidR="00D141EC">
        <w:rPr>
          <w:b/>
          <w:bCs/>
          <w:sz w:val="20"/>
          <w:szCs w:val="20"/>
          <w:lang w:val="pl-PL"/>
        </w:rPr>
        <w:t xml:space="preserve"> lekarz hepatolog.</w:t>
      </w:r>
      <w:r w:rsidR="003123BB">
        <w:rPr>
          <w:b/>
          <w:bCs/>
          <w:sz w:val="20"/>
          <w:szCs w:val="20"/>
          <w:lang w:val="pl-PL"/>
        </w:rPr>
        <w:t xml:space="preserve"> To</w:t>
      </w:r>
      <w:r w:rsidR="00F32E53">
        <w:rPr>
          <w:b/>
          <w:bCs/>
          <w:sz w:val="20"/>
          <w:szCs w:val="20"/>
          <w:lang w:val="pl-PL"/>
        </w:rPr>
        <w:t>,</w:t>
      </w:r>
      <w:r w:rsidR="003123BB">
        <w:rPr>
          <w:b/>
          <w:bCs/>
          <w:sz w:val="20"/>
          <w:szCs w:val="20"/>
          <w:lang w:val="pl-PL"/>
        </w:rPr>
        <w:t xml:space="preserve"> że są </w:t>
      </w:r>
      <w:r w:rsidR="00A31670">
        <w:rPr>
          <w:b/>
          <w:bCs/>
          <w:sz w:val="20"/>
          <w:szCs w:val="20"/>
          <w:lang w:val="pl-PL"/>
        </w:rPr>
        <w:t xml:space="preserve">oni </w:t>
      </w:r>
      <w:r w:rsidR="003123BB">
        <w:rPr>
          <w:b/>
          <w:bCs/>
          <w:sz w:val="20"/>
          <w:szCs w:val="20"/>
          <w:lang w:val="pl-PL"/>
        </w:rPr>
        <w:t>w grupie ryzyka zachorowania na</w:t>
      </w:r>
      <w:r w:rsidR="001B2C81">
        <w:rPr>
          <w:b/>
          <w:bCs/>
          <w:sz w:val="20"/>
          <w:szCs w:val="20"/>
          <w:lang w:val="pl-PL"/>
        </w:rPr>
        <w:t xml:space="preserve"> NAFLD</w:t>
      </w:r>
      <w:r w:rsidR="003123BB">
        <w:rPr>
          <w:b/>
          <w:bCs/>
          <w:sz w:val="20"/>
          <w:szCs w:val="20"/>
          <w:lang w:val="pl-PL"/>
        </w:rPr>
        <w:t>, nie idzie jednak w</w:t>
      </w:r>
      <w:r w:rsidR="00784DA2">
        <w:rPr>
          <w:b/>
          <w:bCs/>
          <w:sz w:val="20"/>
          <w:szCs w:val="20"/>
          <w:lang w:val="pl-PL"/>
        </w:rPr>
        <w:t> </w:t>
      </w:r>
      <w:r w:rsidR="003123BB">
        <w:rPr>
          <w:b/>
          <w:bCs/>
          <w:sz w:val="20"/>
          <w:szCs w:val="20"/>
          <w:lang w:val="pl-PL"/>
        </w:rPr>
        <w:t>parze z</w:t>
      </w:r>
      <w:r w:rsidR="00936712">
        <w:rPr>
          <w:b/>
          <w:bCs/>
          <w:sz w:val="20"/>
          <w:szCs w:val="20"/>
          <w:lang w:val="pl-PL"/>
        </w:rPr>
        <w:t> </w:t>
      </w:r>
      <w:r w:rsidR="003123BB">
        <w:rPr>
          <w:b/>
          <w:bCs/>
          <w:sz w:val="20"/>
          <w:szCs w:val="20"/>
          <w:lang w:val="pl-PL"/>
        </w:rPr>
        <w:t xml:space="preserve"> przywiązywaniem wagi do profilaktyki</w:t>
      </w:r>
      <w:r w:rsidR="00371ABB">
        <w:rPr>
          <w:rStyle w:val="Odwoanieprzypisudolnego"/>
          <w:b/>
          <w:bCs/>
          <w:sz w:val="20"/>
          <w:szCs w:val="20"/>
          <w:lang w:val="pl-PL"/>
        </w:rPr>
        <w:footnoteReference w:id="4"/>
      </w:r>
      <w:r w:rsidR="00784DA2">
        <w:rPr>
          <w:b/>
          <w:bCs/>
          <w:sz w:val="20"/>
          <w:szCs w:val="20"/>
          <w:lang w:val="pl-PL"/>
        </w:rPr>
        <w:t>.</w:t>
      </w:r>
      <w:r w:rsidR="00D141EC">
        <w:rPr>
          <w:b/>
          <w:bCs/>
          <w:sz w:val="20"/>
          <w:szCs w:val="20"/>
          <w:lang w:val="pl-PL"/>
        </w:rPr>
        <w:t xml:space="preserve"> </w:t>
      </w:r>
    </w:p>
    <w:p w14:paraId="28BE3A53" w14:textId="77777777" w:rsidR="00281F3C" w:rsidRDefault="00281F3C" w:rsidP="00281F3C">
      <w:pPr>
        <w:spacing w:after="0" w:line="240" w:lineRule="auto"/>
        <w:contextualSpacing/>
        <w:rPr>
          <w:b/>
          <w:bCs/>
          <w:sz w:val="20"/>
          <w:szCs w:val="20"/>
          <w:lang w:val="pl-PL"/>
        </w:rPr>
      </w:pPr>
    </w:p>
    <w:p w14:paraId="3CCF35B0" w14:textId="775852E4" w:rsidR="00717057" w:rsidRDefault="004A2E8B" w:rsidP="004A2E8B">
      <w:pPr>
        <w:spacing w:after="0" w:line="240" w:lineRule="auto"/>
        <w:contextualSpacing/>
        <w:rPr>
          <w:sz w:val="20"/>
          <w:szCs w:val="20"/>
          <w:lang w:val="pl-PL"/>
        </w:rPr>
      </w:pPr>
      <w:r w:rsidRPr="00657BCA">
        <w:rPr>
          <w:sz w:val="20"/>
          <w:szCs w:val="20"/>
          <w:lang w:val="pl-PL"/>
        </w:rPr>
        <w:t xml:space="preserve">Od </w:t>
      </w:r>
      <w:r>
        <w:rPr>
          <w:sz w:val="20"/>
          <w:szCs w:val="20"/>
          <w:lang w:val="pl-PL"/>
        </w:rPr>
        <w:t xml:space="preserve">1 marca do 1 kwietnia w 16 miastach w Polsce </w:t>
      </w:r>
      <w:r w:rsidR="001B2C81">
        <w:rPr>
          <w:sz w:val="20"/>
          <w:szCs w:val="20"/>
          <w:lang w:val="pl-PL"/>
        </w:rPr>
        <w:t xml:space="preserve">została przeprowadzona </w:t>
      </w:r>
      <w:r>
        <w:rPr>
          <w:sz w:val="20"/>
          <w:szCs w:val="20"/>
          <w:lang w:val="pl-PL"/>
        </w:rPr>
        <w:t>akcja bezpłatnych badań stłuszczenia wątroby</w:t>
      </w:r>
      <w:r w:rsidR="00DA556C">
        <w:rPr>
          <w:sz w:val="20"/>
          <w:szCs w:val="20"/>
          <w:lang w:val="pl-PL"/>
        </w:rPr>
        <w:t xml:space="preserve"> </w:t>
      </w:r>
      <w:r w:rsidR="002C368D">
        <w:rPr>
          <w:sz w:val="20"/>
          <w:szCs w:val="20"/>
          <w:lang w:val="pl-PL"/>
        </w:rPr>
        <w:t xml:space="preserve">w mobilnych gabinetach, </w:t>
      </w:r>
      <w:r>
        <w:rPr>
          <w:sz w:val="20"/>
          <w:szCs w:val="20"/>
          <w:lang w:val="pl-PL"/>
        </w:rPr>
        <w:t>w ramach kampanii „Prowadź się zdrowo”</w:t>
      </w:r>
      <w:r w:rsidR="00F141D4">
        <w:rPr>
          <w:rStyle w:val="Odwoanieprzypisudolnego"/>
          <w:sz w:val="20"/>
          <w:szCs w:val="20"/>
          <w:lang w:val="pl-PL"/>
        </w:rPr>
        <w:footnoteReference w:id="5"/>
      </w:r>
      <w:r>
        <w:rPr>
          <w:sz w:val="20"/>
          <w:szCs w:val="20"/>
          <w:lang w:val="pl-PL"/>
        </w:rPr>
        <w:t xml:space="preserve">. </w:t>
      </w:r>
      <w:r w:rsidR="000B7131" w:rsidRPr="000B7131">
        <w:rPr>
          <w:sz w:val="20"/>
          <w:szCs w:val="20"/>
          <w:lang w:val="pl-PL"/>
        </w:rPr>
        <w:t xml:space="preserve">Nieinwazyjne badanie </w:t>
      </w:r>
      <w:r w:rsidR="000B7131">
        <w:rPr>
          <w:sz w:val="20"/>
          <w:szCs w:val="20"/>
          <w:lang w:val="pl-PL"/>
        </w:rPr>
        <w:t xml:space="preserve">było </w:t>
      </w:r>
      <w:r w:rsidR="001B2C81">
        <w:rPr>
          <w:sz w:val="20"/>
          <w:szCs w:val="20"/>
          <w:lang w:val="pl-PL"/>
        </w:rPr>
        <w:t xml:space="preserve">wykonywane </w:t>
      </w:r>
      <w:r w:rsidR="000B7131" w:rsidRPr="000B7131">
        <w:rPr>
          <w:sz w:val="20"/>
          <w:szCs w:val="20"/>
          <w:lang w:val="pl-PL"/>
        </w:rPr>
        <w:t xml:space="preserve">za pomocą </w:t>
      </w:r>
      <w:r w:rsidR="00E2075D">
        <w:rPr>
          <w:sz w:val="20"/>
          <w:szCs w:val="20"/>
          <w:lang w:val="pl-PL"/>
        </w:rPr>
        <w:t xml:space="preserve">specjalistycznego </w:t>
      </w:r>
      <w:r w:rsidR="000B7131" w:rsidRPr="000B7131">
        <w:rPr>
          <w:sz w:val="20"/>
          <w:szCs w:val="20"/>
          <w:lang w:val="pl-PL"/>
        </w:rPr>
        <w:t>urządzenia FibroScan</w:t>
      </w:r>
      <w:r w:rsidR="000B7131">
        <w:rPr>
          <w:sz w:val="20"/>
          <w:szCs w:val="20"/>
          <w:lang w:val="pl-PL"/>
        </w:rPr>
        <w:t>.</w:t>
      </w:r>
      <w:r w:rsidR="000B7131" w:rsidRPr="000B7131">
        <w:rPr>
          <w:sz w:val="20"/>
          <w:szCs w:val="20"/>
          <w:lang w:val="pl-PL"/>
        </w:rPr>
        <w:t xml:space="preserve"> </w:t>
      </w:r>
      <w:r w:rsidR="00474311">
        <w:rPr>
          <w:sz w:val="20"/>
          <w:szCs w:val="20"/>
          <w:lang w:val="pl-PL"/>
        </w:rPr>
        <w:t>Jak</w:t>
      </w:r>
      <w:r w:rsidR="00784DA2">
        <w:rPr>
          <w:sz w:val="20"/>
          <w:szCs w:val="20"/>
          <w:lang w:val="pl-PL"/>
        </w:rPr>
        <w:t> </w:t>
      </w:r>
      <w:r w:rsidR="00474311">
        <w:rPr>
          <w:sz w:val="20"/>
          <w:szCs w:val="20"/>
          <w:lang w:val="pl-PL"/>
        </w:rPr>
        <w:t>pokazuje analiza</w:t>
      </w:r>
      <w:r w:rsidR="0043118E">
        <w:rPr>
          <w:sz w:val="20"/>
          <w:szCs w:val="20"/>
          <w:lang w:val="pl-PL"/>
        </w:rPr>
        <w:t xml:space="preserve"> danych</w:t>
      </w:r>
      <w:r w:rsidR="00474311">
        <w:rPr>
          <w:sz w:val="20"/>
          <w:szCs w:val="20"/>
          <w:lang w:val="pl-PL"/>
        </w:rPr>
        <w:t xml:space="preserve">, </w:t>
      </w:r>
      <w:r w:rsidR="00474311">
        <w:rPr>
          <w:b/>
          <w:bCs/>
          <w:sz w:val="20"/>
          <w:szCs w:val="20"/>
          <w:lang w:val="pl-PL"/>
        </w:rPr>
        <w:t>w</w:t>
      </w:r>
      <w:r w:rsidR="00235579" w:rsidRPr="00235579">
        <w:rPr>
          <w:b/>
          <w:bCs/>
          <w:sz w:val="20"/>
          <w:szCs w:val="20"/>
          <w:lang w:val="pl-PL"/>
        </w:rPr>
        <w:t xml:space="preserve">yniki sugerujące stłuszczenie stwierdzono łącznie u 36% </w:t>
      </w:r>
      <w:r w:rsidR="001B2C81">
        <w:rPr>
          <w:b/>
          <w:bCs/>
          <w:sz w:val="20"/>
          <w:szCs w:val="20"/>
          <w:lang w:val="pl-PL"/>
        </w:rPr>
        <w:t xml:space="preserve">badanych </w:t>
      </w:r>
      <w:r w:rsidR="00235579" w:rsidRPr="00235579">
        <w:rPr>
          <w:b/>
          <w:bCs/>
          <w:sz w:val="20"/>
          <w:szCs w:val="20"/>
          <w:lang w:val="pl-PL"/>
        </w:rPr>
        <w:t>osób.</w:t>
      </w:r>
      <w:r w:rsidR="00235579" w:rsidRPr="00235579">
        <w:rPr>
          <w:sz w:val="20"/>
          <w:szCs w:val="20"/>
          <w:lang w:val="pl-PL"/>
        </w:rPr>
        <w:t xml:space="preserve"> </w:t>
      </w:r>
    </w:p>
    <w:p w14:paraId="440F6E72" w14:textId="1F0CD1D9" w:rsidR="004A2E8B" w:rsidRDefault="004A2E8B" w:rsidP="004A2E8B">
      <w:pPr>
        <w:spacing w:after="0" w:line="240" w:lineRule="auto"/>
        <w:contextualSpacing/>
        <w:rPr>
          <w:sz w:val="20"/>
          <w:szCs w:val="20"/>
          <w:lang w:val="pl-PL"/>
        </w:rPr>
      </w:pPr>
    </w:p>
    <w:p w14:paraId="71EA520B" w14:textId="14C966A3" w:rsidR="003C4F7A" w:rsidRPr="000B2997" w:rsidRDefault="00DA556C" w:rsidP="2F527C28">
      <w:pPr>
        <w:tabs>
          <w:tab w:val="num" w:pos="720"/>
        </w:tabs>
        <w:rPr>
          <w:rFonts w:ascii="Georgia" w:hAnsi="Georgia"/>
          <w:i/>
          <w:iCs/>
          <w:sz w:val="20"/>
          <w:szCs w:val="20"/>
          <w:lang w:val="pl-PL"/>
        </w:rPr>
      </w:pPr>
      <w:r w:rsidRPr="2F527C28">
        <w:rPr>
          <w:rFonts w:ascii="Georgia" w:hAnsi="Georgia"/>
          <w:i/>
          <w:iCs/>
          <w:sz w:val="20"/>
          <w:szCs w:val="20"/>
          <w:lang w:val="pl-PL"/>
        </w:rPr>
        <w:t xml:space="preserve">Ostatnio </w:t>
      </w:r>
      <w:r w:rsidR="0045080F" w:rsidRPr="2F527C28">
        <w:rPr>
          <w:rFonts w:ascii="Georgia" w:hAnsi="Georgia"/>
          <w:i/>
          <w:iCs/>
          <w:sz w:val="20"/>
          <w:szCs w:val="20"/>
          <w:lang w:val="pl-PL"/>
        </w:rPr>
        <w:t>prze</w:t>
      </w:r>
      <w:r w:rsidRPr="2F527C28">
        <w:rPr>
          <w:rFonts w:ascii="Georgia" w:hAnsi="Georgia"/>
          <w:i/>
          <w:iCs/>
          <w:sz w:val="20"/>
          <w:szCs w:val="20"/>
          <w:lang w:val="pl-PL"/>
        </w:rPr>
        <w:t>prowadzona akcja badań</w:t>
      </w:r>
      <w:r w:rsidR="00E73177" w:rsidRPr="2F527C28">
        <w:rPr>
          <w:rFonts w:ascii="Georgia" w:hAnsi="Georgia"/>
          <w:i/>
          <w:iCs/>
          <w:sz w:val="20"/>
          <w:szCs w:val="20"/>
          <w:lang w:val="pl-PL"/>
        </w:rPr>
        <w:t xml:space="preserve"> diagnostycznych</w:t>
      </w:r>
      <w:r w:rsidRPr="2F527C28">
        <w:rPr>
          <w:rFonts w:ascii="Georgia" w:hAnsi="Georgia"/>
          <w:i/>
          <w:iCs/>
          <w:sz w:val="20"/>
          <w:szCs w:val="20"/>
          <w:lang w:val="pl-PL"/>
        </w:rPr>
        <w:t xml:space="preserve"> stłuszczenia wątroby pokazała, że</w:t>
      </w:r>
      <w:r w:rsidR="00E73177" w:rsidRPr="2F527C28">
        <w:rPr>
          <w:rFonts w:ascii="Georgia" w:hAnsi="Georgia"/>
          <w:i/>
          <w:iCs/>
          <w:sz w:val="20"/>
          <w:szCs w:val="20"/>
          <w:lang w:val="pl-PL"/>
        </w:rPr>
        <w:t> </w:t>
      </w:r>
      <w:r w:rsidR="00E2075D" w:rsidRPr="2F527C28">
        <w:rPr>
          <w:rFonts w:ascii="Georgia" w:hAnsi="Georgia"/>
          <w:b/>
          <w:bCs/>
          <w:i/>
          <w:iCs/>
          <w:sz w:val="20"/>
          <w:szCs w:val="20"/>
          <w:lang w:val="pl-PL"/>
        </w:rPr>
        <w:t>te</w:t>
      </w:r>
      <w:r w:rsidR="00E2075D" w:rsidRPr="2F527C28">
        <w:rPr>
          <w:rFonts w:ascii="Georgia" w:hAnsi="Georgia"/>
          <w:i/>
          <w:iCs/>
          <w:sz w:val="20"/>
          <w:szCs w:val="20"/>
          <w:lang w:val="pl-PL"/>
        </w:rPr>
        <w:t> </w:t>
      </w:r>
      <w:r w:rsidR="00843834" w:rsidRPr="2F527C28">
        <w:rPr>
          <w:rFonts w:ascii="Georgia" w:hAnsi="Georgia"/>
          <w:b/>
          <w:bCs/>
          <w:i/>
          <w:iCs/>
          <w:sz w:val="20"/>
          <w:szCs w:val="20"/>
          <w:lang w:val="pl-PL"/>
        </w:rPr>
        <w:t xml:space="preserve">choroby </w:t>
      </w:r>
      <w:r w:rsidRPr="2F527C28">
        <w:rPr>
          <w:rFonts w:ascii="Georgia" w:hAnsi="Georgia"/>
          <w:b/>
          <w:bCs/>
          <w:i/>
          <w:iCs/>
          <w:sz w:val="20"/>
          <w:szCs w:val="20"/>
          <w:lang w:val="pl-PL"/>
        </w:rPr>
        <w:t>częściej dotykają mężczyzn</w:t>
      </w:r>
      <w:r w:rsidR="00E73177" w:rsidRPr="2F527C28">
        <w:rPr>
          <w:rFonts w:ascii="Georgia" w:hAnsi="Georgia"/>
          <w:b/>
          <w:bCs/>
          <w:i/>
          <w:iCs/>
          <w:sz w:val="20"/>
          <w:szCs w:val="20"/>
          <w:lang w:val="pl-PL"/>
        </w:rPr>
        <w:t xml:space="preserve"> niż kobiety</w:t>
      </w:r>
      <w:r w:rsidR="00346B1F" w:rsidRPr="2F527C28">
        <w:rPr>
          <w:rFonts w:ascii="Georgia" w:hAnsi="Georgia"/>
          <w:b/>
          <w:bCs/>
          <w:i/>
          <w:iCs/>
          <w:sz w:val="20"/>
          <w:szCs w:val="20"/>
          <w:lang w:val="pl-PL"/>
        </w:rPr>
        <w:t xml:space="preserve">. </w:t>
      </w:r>
      <w:r w:rsidR="000B2B5A">
        <w:rPr>
          <w:rFonts w:ascii="Georgia" w:hAnsi="Georgia"/>
          <w:b/>
          <w:bCs/>
          <w:i/>
          <w:iCs/>
          <w:sz w:val="20"/>
          <w:szCs w:val="20"/>
          <w:lang w:val="pl-PL"/>
        </w:rPr>
        <w:t>Wyniki akcji pokazały, że s</w:t>
      </w:r>
      <w:r w:rsidR="00342447">
        <w:rPr>
          <w:rFonts w:ascii="Georgia" w:hAnsi="Georgia"/>
          <w:b/>
          <w:bCs/>
          <w:i/>
          <w:iCs/>
          <w:sz w:val="20"/>
          <w:szCs w:val="20"/>
          <w:lang w:val="pl-PL"/>
        </w:rPr>
        <w:t xml:space="preserve">tłuszczenie </w:t>
      </w:r>
      <w:r w:rsidR="00E73177" w:rsidRPr="2F527C28">
        <w:rPr>
          <w:rFonts w:ascii="Georgia" w:hAnsi="Georgia"/>
          <w:b/>
          <w:bCs/>
          <w:i/>
          <w:iCs/>
          <w:sz w:val="20"/>
          <w:szCs w:val="20"/>
          <w:lang w:val="pl-PL"/>
        </w:rPr>
        <w:t>dotycz</w:t>
      </w:r>
      <w:r w:rsidR="00346B1F" w:rsidRPr="2F527C28">
        <w:rPr>
          <w:rFonts w:ascii="Georgia" w:hAnsi="Georgia"/>
          <w:b/>
          <w:bCs/>
          <w:i/>
          <w:iCs/>
          <w:sz w:val="20"/>
          <w:szCs w:val="20"/>
          <w:lang w:val="pl-PL"/>
        </w:rPr>
        <w:t>y</w:t>
      </w:r>
      <w:r w:rsidR="000B2B5A">
        <w:rPr>
          <w:rFonts w:ascii="Georgia" w:hAnsi="Georgia"/>
          <w:b/>
          <w:bCs/>
          <w:i/>
          <w:iCs/>
          <w:sz w:val="20"/>
          <w:szCs w:val="20"/>
          <w:lang w:val="pl-PL"/>
        </w:rPr>
        <w:t>ło</w:t>
      </w:r>
      <w:r w:rsidR="00E73177" w:rsidRPr="2F527C28">
        <w:rPr>
          <w:rFonts w:ascii="Georgia" w:hAnsi="Georgia"/>
          <w:b/>
          <w:bCs/>
          <w:i/>
          <w:iCs/>
          <w:sz w:val="20"/>
          <w:szCs w:val="20"/>
          <w:lang w:val="pl-PL"/>
        </w:rPr>
        <w:t xml:space="preserve"> </w:t>
      </w:r>
      <w:r w:rsidR="003972B1" w:rsidRPr="2F527C28">
        <w:rPr>
          <w:rFonts w:ascii="Georgia" w:hAnsi="Georgia"/>
          <w:b/>
          <w:bCs/>
          <w:i/>
          <w:iCs/>
          <w:sz w:val="20"/>
          <w:szCs w:val="20"/>
          <w:lang w:val="pl-PL"/>
        </w:rPr>
        <w:t xml:space="preserve">ponad </w:t>
      </w:r>
      <w:r w:rsidR="00213845">
        <w:rPr>
          <w:rFonts w:ascii="Georgia" w:hAnsi="Georgia"/>
          <w:b/>
          <w:bCs/>
          <w:i/>
          <w:iCs/>
          <w:sz w:val="20"/>
          <w:szCs w:val="20"/>
          <w:lang w:val="pl-PL"/>
        </w:rPr>
        <w:t>4</w:t>
      </w:r>
      <w:r w:rsidR="00CA159F">
        <w:rPr>
          <w:rFonts w:ascii="Georgia" w:hAnsi="Georgia"/>
          <w:b/>
          <w:bCs/>
          <w:i/>
          <w:iCs/>
          <w:sz w:val="20"/>
          <w:szCs w:val="20"/>
          <w:lang w:val="pl-PL"/>
        </w:rPr>
        <w:t>0</w:t>
      </w:r>
      <w:r w:rsidR="00E73177" w:rsidRPr="2F527C28">
        <w:rPr>
          <w:rFonts w:ascii="Georgia" w:hAnsi="Georgia"/>
          <w:b/>
          <w:bCs/>
          <w:i/>
          <w:iCs/>
          <w:sz w:val="20"/>
          <w:szCs w:val="20"/>
          <w:lang w:val="pl-PL"/>
        </w:rPr>
        <w:t xml:space="preserve">% </w:t>
      </w:r>
      <w:r w:rsidR="00346B1F" w:rsidRPr="2F527C28">
        <w:rPr>
          <w:rFonts w:ascii="Georgia" w:hAnsi="Georgia"/>
          <w:b/>
          <w:bCs/>
          <w:i/>
          <w:iCs/>
          <w:sz w:val="20"/>
          <w:szCs w:val="20"/>
          <w:lang w:val="pl-PL"/>
        </w:rPr>
        <w:t>Polaków</w:t>
      </w:r>
      <w:r w:rsidR="0060710C" w:rsidRPr="2F527C28">
        <w:rPr>
          <w:rFonts w:ascii="Georgia" w:hAnsi="Georgia"/>
          <w:b/>
          <w:bCs/>
          <w:i/>
          <w:iCs/>
          <w:sz w:val="20"/>
          <w:szCs w:val="20"/>
          <w:lang w:val="pl-PL"/>
        </w:rPr>
        <w:t xml:space="preserve"> oraz </w:t>
      </w:r>
      <w:r w:rsidR="00213845">
        <w:rPr>
          <w:rFonts w:ascii="Georgia" w:hAnsi="Georgia"/>
          <w:b/>
          <w:bCs/>
          <w:i/>
          <w:iCs/>
          <w:sz w:val="20"/>
          <w:szCs w:val="20"/>
          <w:lang w:val="pl-PL"/>
        </w:rPr>
        <w:t>ponad 31</w:t>
      </w:r>
      <w:r w:rsidR="0060710C" w:rsidRPr="2F527C28">
        <w:rPr>
          <w:rFonts w:ascii="Georgia" w:hAnsi="Georgia"/>
          <w:b/>
          <w:bCs/>
          <w:i/>
          <w:iCs/>
          <w:sz w:val="20"/>
          <w:szCs w:val="20"/>
          <w:lang w:val="pl-PL"/>
        </w:rPr>
        <w:t>% Polek</w:t>
      </w:r>
      <w:r w:rsidR="00213845">
        <w:rPr>
          <w:rFonts w:ascii="Georgia" w:hAnsi="Georgia"/>
          <w:b/>
          <w:bCs/>
          <w:i/>
          <w:iCs/>
          <w:sz w:val="20"/>
          <w:szCs w:val="20"/>
          <w:lang w:val="pl-PL"/>
        </w:rPr>
        <w:t xml:space="preserve">. </w:t>
      </w:r>
      <w:r w:rsidR="00346B1F" w:rsidRPr="2F527C28">
        <w:rPr>
          <w:rFonts w:ascii="Georgia" w:hAnsi="Georgia"/>
          <w:i/>
          <w:iCs/>
          <w:sz w:val="20"/>
          <w:szCs w:val="20"/>
          <w:lang w:val="pl-PL"/>
        </w:rPr>
        <w:t>Ró</w:t>
      </w:r>
      <w:r w:rsidR="00AD64AC" w:rsidRPr="2F527C28">
        <w:rPr>
          <w:rFonts w:ascii="Georgia" w:hAnsi="Georgia"/>
          <w:i/>
          <w:iCs/>
          <w:sz w:val="20"/>
          <w:szCs w:val="20"/>
          <w:lang w:val="pl-PL"/>
        </w:rPr>
        <w:t>ż</w:t>
      </w:r>
      <w:r w:rsidR="00346B1F" w:rsidRPr="2F527C28">
        <w:rPr>
          <w:rFonts w:ascii="Georgia" w:hAnsi="Georgia"/>
          <w:i/>
          <w:iCs/>
          <w:sz w:val="20"/>
          <w:szCs w:val="20"/>
          <w:lang w:val="pl-PL"/>
        </w:rPr>
        <w:t>nice wynikają m.in. z</w:t>
      </w:r>
      <w:r w:rsidR="00E2075D" w:rsidRPr="2F527C28">
        <w:rPr>
          <w:rFonts w:ascii="Georgia" w:hAnsi="Georgia"/>
          <w:i/>
          <w:iCs/>
          <w:sz w:val="20"/>
          <w:szCs w:val="20"/>
          <w:lang w:val="pl-PL"/>
        </w:rPr>
        <w:t> </w:t>
      </w:r>
      <w:r w:rsidR="00346B1F" w:rsidRPr="2F527C28">
        <w:rPr>
          <w:rFonts w:ascii="Georgia" w:hAnsi="Georgia"/>
          <w:i/>
          <w:iCs/>
          <w:sz w:val="20"/>
          <w:szCs w:val="20"/>
          <w:lang w:val="pl-PL"/>
        </w:rPr>
        <w:t xml:space="preserve">tego, że </w:t>
      </w:r>
      <w:r w:rsidR="00346B1F" w:rsidRPr="2F527C28">
        <w:rPr>
          <w:rFonts w:ascii="Georgia" w:hAnsi="Georgia"/>
          <w:b/>
          <w:bCs/>
          <w:i/>
          <w:iCs/>
          <w:sz w:val="20"/>
          <w:szCs w:val="20"/>
          <w:lang w:val="pl-PL"/>
        </w:rPr>
        <w:t xml:space="preserve">mężczyźni mają statystycznie wyższe BMI, </w:t>
      </w:r>
      <w:r w:rsidR="00342447">
        <w:rPr>
          <w:rFonts w:ascii="Georgia" w:hAnsi="Georgia"/>
          <w:b/>
          <w:bCs/>
          <w:i/>
          <w:iCs/>
          <w:sz w:val="20"/>
          <w:szCs w:val="20"/>
          <w:lang w:val="pl-PL"/>
        </w:rPr>
        <w:t>częściej spotyka się u nich</w:t>
      </w:r>
      <w:r w:rsidR="00346B1F" w:rsidRPr="2F527C28">
        <w:rPr>
          <w:rFonts w:ascii="Georgia" w:hAnsi="Georgia"/>
          <w:b/>
          <w:bCs/>
          <w:i/>
          <w:iCs/>
          <w:sz w:val="20"/>
          <w:szCs w:val="20"/>
          <w:lang w:val="pl-PL"/>
        </w:rPr>
        <w:t xml:space="preserve"> otyłoś</w:t>
      </w:r>
      <w:r w:rsidR="00342447">
        <w:rPr>
          <w:rFonts w:ascii="Georgia" w:hAnsi="Georgia"/>
          <w:b/>
          <w:bCs/>
          <w:i/>
          <w:iCs/>
          <w:sz w:val="20"/>
          <w:szCs w:val="20"/>
          <w:lang w:val="pl-PL"/>
        </w:rPr>
        <w:t>ć</w:t>
      </w:r>
      <w:r w:rsidR="003C4F7A" w:rsidRPr="2F527C28">
        <w:rPr>
          <w:rFonts w:ascii="Georgia" w:hAnsi="Georgia"/>
          <w:b/>
          <w:bCs/>
          <w:i/>
          <w:iCs/>
          <w:sz w:val="20"/>
          <w:szCs w:val="20"/>
          <w:lang w:val="pl-PL"/>
        </w:rPr>
        <w:t xml:space="preserve"> </w:t>
      </w:r>
      <w:r w:rsidR="00346B1F" w:rsidRPr="2F527C28">
        <w:rPr>
          <w:rFonts w:ascii="Georgia" w:hAnsi="Georgia"/>
          <w:b/>
          <w:bCs/>
          <w:i/>
          <w:iCs/>
          <w:sz w:val="20"/>
          <w:szCs w:val="20"/>
          <w:lang w:val="pl-PL"/>
        </w:rPr>
        <w:t>brzuszn</w:t>
      </w:r>
      <w:r w:rsidR="00342447">
        <w:rPr>
          <w:rFonts w:ascii="Georgia" w:hAnsi="Georgia"/>
          <w:b/>
          <w:bCs/>
          <w:i/>
          <w:iCs/>
          <w:sz w:val="20"/>
          <w:szCs w:val="20"/>
          <w:lang w:val="pl-PL"/>
        </w:rPr>
        <w:t>ą</w:t>
      </w:r>
      <w:r w:rsidR="00346B1F" w:rsidRPr="2F527C28">
        <w:rPr>
          <w:rFonts w:ascii="Georgia" w:hAnsi="Georgia"/>
          <w:b/>
          <w:bCs/>
          <w:i/>
          <w:iCs/>
          <w:sz w:val="20"/>
          <w:szCs w:val="20"/>
          <w:lang w:val="pl-PL"/>
        </w:rPr>
        <w:t xml:space="preserve"> i więcej chorób </w:t>
      </w:r>
      <w:r w:rsidR="00342447">
        <w:rPr>
          <w:rFonts w:ascii="Georgia" w:hAnsi="Georgia"/>
          <w:b/>
          <w:bCs/>
          <w:i/>
          <w:iCs/>
          <w:sz w:val="20"/>
          <w:szCs w:val="20"/>
          <w:lang w:val="pl-PL"/>
        </w:rPr>
        <w:t>współistniejących</w:t>
      </w:r>
      <w:r w:rsidR="00346B1F" w:rsidRPr="2F527C28">
        <w:rPr>
          <w:rFonts w:ascii="Georgia" w:hAnsi="Georgia"/>
          <w:i/>
          <w:iCs/>
          <w:sz w:val="20"/>
          <w:szCs w:val="20"/>
          <w:lang w:val="pl-PL"/>
        </w:rPr>
        <w:t>.</w:t>
      </w:r>
      <w:r w:rsidR="0060710C" w:rsidRPr="2F527C28">
        <w:rPr>
          <w:rFonts w:ascii="Georgia" w:hAnsi="Georgia"/>
          <w:i/>
          <w:iCs/>
          <w:sz w:val="20"/>
          <w:szCs w:val="20"/>
          <w:lang w:val="pl-PL"/>
        </w:rPr>
        <w:t xml:space="preserve"> </w:t>
      </w:r>
      <w:r w:rsidR="00E2075D" w:rsidRPr="2F527C28">
        <w:rPr>
          <w:rFonts w:ascii="Georgia" w:hAnsi="Georgia"/>
          <w:i/>
          <w:iCs/>
          <w:sz w:val="20"/>
          <w:szCs w:val="20"/>
          <w:lang w:val="pl-PL"/>
        </w:rPr>
        <w:t xml:space="preserve">A trzeba pamiętać, że jednymi z kluczowych czynników zwiększających ryzyko wystąpienia niealkoholowej </w:t>
      </w:r>
      <w:proofErr w:type="spellStart"/>
      <w:r w:rsidR="00E2075D" w:rsidRPr="2F527C28">
        <w:rPr>
          <w:rFonts w:ascii="Georgia" w:hAnsi="Georgia"/>
          <w:i/>
          <w:iCs/>
          <w:sz w:val="20"/>
          <w:szCs w:val="20"/>
          <w:lang w:val="pl-PL"/>
        </w:rPr>
        <w:t>stłuszczeniowej</w:t>
      </w:r>
      <w:proofErr w:type="spellEnd"/>
      <w:r w:rsidR="00E2075D" w:rsidRPr="2F527C28">
        <w:rPr>
          <w:rFonts w:ascii="Georgia" w:hAnsi="Georgia"/>
          <w:i/>
          <w:iCs/>
          <w:sz w:val="20"/>
          <w:szCs w:val="20"/>
          <w:lang w:val="pl-PL"/>
        </w:rPr>
        <w:t xml:space="preserve"> choroby wątroby są właśnie otyłość i</w:t>
      </w:r>
      <w:r w:rsidR="003972B1" w:rsidRPr="2F527C28">
        <w:rPr>
          <w:rFonts w:ascii="Georgia" w:hAnsi="Georgia"/>
          <w:i/>
          <w:iCs/>
          <w:sz w:val="20"/>
          <w:szCs w:val="20"/>
          <w:lang w:val="pl-PL"/>
        </w:rPr>
        <w:t> </w:t>
      </w:r>
      <w:r w:rsidR="00E2075D" w:rsidRPr="2F527C28">
        <w:rPr>
          <w:rFonts w:ascii="Georgia" w:hAnsi="Georgia"/>
          <w:i/>
          <w:iCs/>
          <w:sz w:val="20"/>
          <w:szCs w:val="20"/>
          <w:lang w:val="pl-PL"/>
        </w:rPr>
        <w:t>cukrzyca</w:t>
      </w:r>
      <w:r w:rsidR="003123BB">
        <w:rPr>
          <w:rFonts w:ascii="Georgia" w:hAnsi="Georgia"/>
          <w:i/>
          <w:iCs/>
          <w:sz w:val="20"/>
          <w:szCs w:val="20"/>
          <w:lang w:val="pl-PL"/>
        </w:rPr>
        <w:t xml:space="preserve"> typu 2</w:t>
      </w:r>
      <w:r w:rsidR="00E2075D" w:rsidRPr="2F527C28">
        <w:rPr>
          <w:i/>
          <w:iCs/>
          <w:sz w:val="20"/>
          <w:szCs w:val="20"/>
          <w:vertAlign w:val="superscript"/>
        </w:rPr>
        <w:footnoteReference w:id="6"/>
      </w:r>
      <w:r w:rsidR="00EF506A" w:rsidRPr="2F527C28">
        <w:rPr>
          <w:rFonts w:ascii="Georgia" w:hAnsi="Georgia"/>
          <w:i/>
          <w:iCs/>
          <w:sz w:val="20"/>
          <w:szCs w:val="20"/>
          <w:lang w:val="pl-PL"/>
        </w:rPr>
        <w:t>.</w:t>
      </w:r>
      <w:r w:rsidR="000B2997" w:rsidRPr="2F527C28">
        <w:rPr>
          <w:rFonts w:ascii="Georgia" w:hAnsi="Georgia"/>
          <w:i/>
          <w:iCs/>
          <w:sz w:val="20"/>
          <w:szCs w:val="20"/>
          <w:lang w:val="pl-PL"/>
        </w:rPr>
        <w:t xml:space="preserve"> </w:t>
      </w:r>
      <w:r w:rsidR="000B2997" w:rsidRPr="2F527C28">
        <w:rPr>
          <w:rFonts w:ascii="Georgia" w:hAnsi="Georgia"/>
          <w:b/>
          <w:bCs/>
          <w:i/>
          <w:iCs/>
          <w:sz w:val="20"/>
          <w:szCs w:val="20"/>
          <w:lang w:val="pl-PL"/>
        </w:rPr>
        <w:t xml:space="preserve">Przy tym </w:t>
      </w:r>
      <w:r w:rsidR="001724AE" w:rsidRPr="2F527C28">
        <w:rPr>
          <w:rFonts w:ascii="Georgia" w:hAnsi="Georgia"/>
          <w:b/>
          <w:bCs/>
          <w:i/>
          <w:iCs/>
          <w:sz w:val="20"/>
          <w:szCs w:val="20"/>
          <w:lang w:val="pl-PL"/>
        </w:rPr>
        <w:t xml:space="preserve">mężczyźni </w:t>
      </w:r>
      <w:r w:rsidR="000B2997" w:rsidRPr="2F527C28">
        <w:rPr>
          <w:rFonts w:ascii="Georgia" w:hAnsi="Georgia"/>
          <w:b/>
          <w:bCs/>
          <w:i/>
          <w:iCs/>
          <w:sz w:val="20"/>
          <w:szCs w:val="20"/>
          <w:lang w:val="pl-PL"/>
        </w:rPr>
        <w:t xml:space="preserve">rzadziej niż kobiety odwiedzają gabinety lekarskie </w:t>
      </w:r>
      <w:r w:rsidR="00E2075D" w:rsidRPr="2F527C28">
        <w:rPr>
          <w:rFonts w:ascii="Georgia" w:hAnsi="Georgia"/>
          <w:i/>
          <w:iCs/>
          <w:sz w:val="20"/>
          <w:szCs w:val="20"/>
          <w:lang w:val="pl-PL"/>
        </w:rPr>
        <w:t xml:space="preserve">– </w:t>
      </w:r>
      <w:r w:rsidR="003972B1" w:rsidRPr="00843834">
        <w:rPr>
          <w:sz w:val="20"/>
          <w:szCs w:val="20"/>
          <w:lang w:val="pl-PL"/>
        </w:rPr>
        <w:t>mówi</w:t>
      </w:r>
      <w:r w:rsidR="003972B1" w:rsidRPr="00843834">
        <w:rPr>
          <w:rFonts w:ascii="Georgia" w:hAnsi="Georgia"/>
          <w:sz w:val="24"/>
          <w:szCs w:val="24"/>
          <w:lang w:val="pl-PL"/>
        </w:rPr>
        <w:t xml:space="preserve"> </w:t>
      </w:r>
      <w:r w:rsidR="003972B1" w:rsidRPr="2F527C28">
        <w:rPr>
          <w:rFonts w:ascii="Georgia" w:hAnsi="Georgia"/>
          <w:b/>
          <w:bCs/>
          <w:i/>
          <w:iCs/>
          <w:color w:val="7030A0"/>
          <w:sz w:val="20"/>
          <w:szCs w:val="20"/>
          <w:lang w:val="pl-PL"/>
        </w:rPr>
        <w:t>dr n. med. Jan Gietka</w:t>
      </w:r>
      <w:r w:rsidR="003972B1" w:rsidRPr="00843834">
        <w:rPr>
          <w:rFonts w:ascii="Georgia" w:hAnsi="Georgia"/>
          <w:sz w:val="24"/>
          <w:szCs w:val="24"/>
          <w:lang w:val="pl-PL"/>
        </w:rPr>
        <w:t xml:space="preserve">, </w:t>
      </w:r>
      <w:r w:rsidR="003972B1" w:rsidRPr="00843834">
        <w:rPr>
          <w:sz w:val="20"/>
          <w:szCs w:val="20"/>
          <w:lang w:val="pl-PL"/>
        </w:rPr>
        <w:t>lekarz hepatolog</w:t>
      </w:r>
      <w:r w:rsidR="003972B1">
        <w:rPr>
          <w:sz w:val="20"/>
          <w:szCs w:val="20"/>
          <w:lang w:val="pl-PL"/>
        </w:rPr>
        <w:t>.</w:t>
      </w:r>
    </w:p>
    <w:p w14:paraId="2A3D7164" w14:textId="0F810798" w:rsidR="00210BF0" w:rsidRPr="00E2075D" w:rsidRDefault="00210BF0" w:rsidP="00E2075D">
      <w:pPr>
        <w:tabs>
          <w:tab w:val="num" w:pos="720"/>
        </w:tabs>
        <w:rPr>
          <w:sz w:val="20"/>
          <w:szCs w:val="20"/>
          <w:lang w:val="pl-PL"/>
        </w:rPr>
      </w:pPr>
      <w:r w:rsidRPr="00210BF0">
        <w:rPr>
          <w:sz w:val="20"/>
          <w:szCs w:val="20"/>
          <w:lang w:val="pl-PL"/>
        </w:rPr>
        <w:t>Również wśród osób, które zgłosiły się na wspomniane badania, zbyt wysoka waga dotyczyła w</w:t>
      </w:r>
      <w:r>
        <w:rPr>
          <w:sz w:val="20"/>
          <w:szCs w:val="20"/>
          <w:lang w:val="pl-PL"/>
        </w:rPr>
        <w:t> </w:t>
      </w:r>
      <w:r w:rsidRPr="00210BF0">
        <w:rPr>
          <w:sz w:val="20"/>
          <w:szCs w:val="20"/>
          <w:lang w:val="pl-PL"/>
        </w:rPr>
        <w:t xml:space="preserve">większym stopniu mężczyzn niż kobiet – </w:t>
      </w:r>
      <w:r w:rsidR="00E83E8C">
        <w:rPr>
          <w:sz w:val="20"/>
          <w:szCs w:val="20"/>
          <w:lang w:val="pl-PL"/>
        </w:rPr>
        <w:t xml:space="preserve">w </w:t>
      </w:r>
      <w:r w:rsidR="005C60A1" w:rsidRPr="005C60A1">
        <w:rPr>
          <w:sz w:val="20"/>
          <w:szCs w:val="20"/>
          <w:lang w:val="pl-PL"/>
        </w:rPr>
        <w:t xml:space="preserve">populacji uczestniczącej w badaniu nadwagę lub otyłość miało 70% osób. Z czego za wysoką masę ciała stwierdzono u </w:t>
      </w:r>
      <w:r w:rsidR="008F7153">
        <w:rPr>
          <w:sz w:val="20"/>
          <w:szCs w:val="20"/>
          <w:lang w:val="pl-PL"/>
        </w:rPr>
        <w:t xml:space="preserve">ponad </w:t>
      </w:r>
      <w:r w:rsidR="005C60A1" w:rsidRPr="005C60A1">
        <w:rPr>
          <w:sz w:val="20"/>
          <w:szCs w:val="20"/>
          <w:lang w:val="pl-PL"/>
        </w:rPr>
        <w:t>7</w:t>
      </w:r>
      <w:r w:rsidR="005A19DE">
        <w:rPr>
          <w:sz w:val="20"/>
          <w:szCs w:val="20"/>
          <w:lang w:val="pl-PL"/>
        </w:rPr>
        <w:t>8</w:t>
      </w:r>
      <w:r w:rsidR="005C60A1" w:rsidRPr="005C60A1">
        <w:rPr>
          <w:sz w:val="20"/>
          <w:szCs w:val="20"/>
          <w:lang w:val="pl-PL"/>
        </w:rPr>
        <w:t>% mężczyzn i</w:t>
      </w:r>
      <w:r w:rsidR="00784DA2">
        <w:rPr>
          <w:sz w:val="20"/>
          <w:szCs w:val="20"/>
          <w:lang w:val="pl-PL"/>
        </w:rPr>
        <w:t> </w:t>
      </w:r>
      <w:r w:rsidR="005C60A1" w:rsidRPr="005C60A1">
        <w:rPr>
          <w:sz w:val="20"/>
          <w:szCs w:val="20"/>
          <w:lang w:val="pl-PL"/>
        </w:rPr>
        <w:t xml:space="preserve">ponad </w:t>
      </w:r>
      <w:r w:rsidR="00D16DC6">
        <w:rPr>
          <w:sz w:val="20"/>
          <w:szCs w:val="20"/>
          <w:lang w:val="pl-PL"/>
        </w:rPr>
        <w:t>61</w:t>
      </w:r>
      <w:r w:rsidR="005C60A1" w:rsidRPr="005C60A1">
        <w:rPr>
          <w:sz w:val="20"/>
          <w:szCs w:val="20"/>
          <w:lang w:val="pl-PL"/>
        </w:rPr>
        <w:t>% kobiet.</w:t>
      </w:r>
    </w:p>
    <w:p w14:paraId="3A893B19" w14:textId="626195EF" w:rsidR="003C4F7A" w:rsidRDefault="003C4F7A" w:rsidP="004A2E8B">
      <w:pPr>
        <w:spacing w:after="0" w:line="240" w:lineRule="auto"/>
        <w:contextualSpacing/>
        <w:rPr>
          <w:sz w:val="20"/>
          <w:szCs w:val="20"/>
          <w:lang w:val="pl-PL"/>
        </w:rPr>
      </w:pPr>
    </w:p>
    <w:p w14:paraId="17E70AC5" w14:textId="77777777" w:rsidR="0060710C" w:rsidRPr="00EC4112" w:rsidRDefault="0060710C" w:rsidP="0060710C">
      <w:pPr>
        <w:spacing w:after="0" w:line="240" w:lineRule="auto"/>
        <w:contextualSpacing/>
        <w:rPr>
          <w:sz w:val="20"/>
          <w:szCs w:val="20"/>
          <w:lang w:val="pl-PL"/>
        </w:rPr>
      </w:pPr>
      <w:r w:rsidRPr="00195FB4">
        <w:rPr>
          <w:rFonts w:ascii="Georgia" w:hAnsi="Georgia"/>
          <w:i/>
          <w:iCs/>
          <w:color w:val="7A00E6" w:themeColor="accent2"/>
          <w:sz w:val="24"/>
          <w:szCs w:val="24"/>
          <w:lang w:val="pl-PL"/>
        </w:rPr>
        <w:t>Cichy wróg mężczyzn</w:t>
      </w:r>
    </w:p>
    <w:p w14:paraId="4806B87C" w14:textId="0E97F027" w:rsidR="003C4F7A" w:rsidRDefault="003C4F7A" w:rsidP="004A2E8B">
      <w:pPr>
        <w:spacing w:after="0" w:line="240" w:lineRule="auto"/>
        <w:contextualSpacing/>
        <w:rPr>
          <w:sz w:val="20"/>
          <w:szCs w:val="20"/>
          <w:lang w:val="pl-PL"/>
        </w:rPr>
      </w:pPr>
    </w:p>
    <w:p w14:paraId="75E4B951" w14:textId="2C6B5371" w:rsidR="0060710C" w:rsidRDefault="00210BF0" w:rsidP="004A2E8B">
      <w:pPr>
        <w:spacing w:after="0" w:line="240" w:lineRule="auto"/>
        <w:contextualSpacing/>
        <w:rPr>
          <w:sz w:val="20"/>
          <w:szCs w:val="20"/>
          <w:lang w:val="pl-PL"/>
        </w:rPr>
      </w:pPr>
      <w:r>
        <w:rPr>
          <w:sz w:val="20"/>
          <w:szCs w:val="20"/>
          <w:lang w:val="pl-PL"/>
        </w:rPr>
        <w:t>Niealkoholowa choroba stłuszczeniow</w:t>
      </w:r>
      <w:r w:rsidR="00553DCF">
        <w:rPr>
          <w:sz w:val="20"/>
          <w:szCs w:val="20"/>
          <w:lang w:val="pl-PL"/>
        </w:rPr>
        <w:t>a</w:t>
      </w:r>
      <w:r>
        <w:rPr>
          <w:sz w:val="20"/>
          <w:szCs w:val="20"/>
          <w:lang w:val="pl-PL"/>
        </w:rPr>
        <w:t xml:space="preserve"> wątroby nie boli i </w:t>
      </w:r>
      <w:r w:rsidRPr="009D097D">
        <w:rPr>
          <w:b/>
          <w:bCs/>
          <w:sz w:val="20"/>
          <w:szCs w:val="20"/>
          <w:lang w:val="pl-PL"/>
        </w:rPr>
        <w:t>jeśli już daje objawy, to s</w:t>
      </w:r>
      <w:r w:rsidR="0060710C" w:rsidRPr="009D097D">
        <w:rPr>
          <w:b/>
          <w:bCs/>
          <w:sz w:val="20"/>
          <w:szCs w:val="20"/>
          <w:lang w:val="pl-PL"/>
        </w:rPr>
        <w:t>ą one niespecyficzne</w:t>
      </w:r>
      <w:r w:rsidR="000B2997">
        <w:rPr>
          <w:sz w:val="20"/>
          <w:szCs w:val="20"/>
          <w:lang w:val="pl-PL"/>
        </w:rPr>
        <w:t>, m.in. o</w:t>
      </w:r>
      <w:r w:rsidRPr="003407E3">
        <w:rPr>
          <w:sz w:val="20"/>
          <w:szCs w:val="20"/>
          <w:lang w:val="pl-PL"/>
        </w:rPr>
        <w:t>słabienie</w:t>
      </w:r>
      <w:r>
        <w:rPr>
          <w:sz w:val="20"/>
          <w:szCs w:val="20"/>
          <w:lang w:val="pl-PL"/>
        </w:rPr>
        <w:t>, zmęczenie</w:t>
      </w:r>
      <w:r w:rsidRPr="003407E3">
        <w:rPr>
          <w:sz w:val="20"/>
          <w:szCs w:val="20"/>
          <w:lang w:val="pl-PL"/>
        </w:rPr>
        <w:t xml:space="preserve"> czy uczucie dyskomfortu w prawej górnej części brzucha</w:t>
      </w:r>
      <w:r>
        <w:rPr>
          <w:sz w:val="20"/>
          <w:szCs w:val="20"/>
          <w:lang w:val="pl-PL"/>
        </w:rPr>
        <w:t xml:space="preserve">. </w:t>
      </w:r>
      <w:r w:rsidR="0060710C">
        <w:rPr>
          <w:sz w:val="20"/>
          <w:szCs w:val="20"/>
          <w:lang w:val="pl-PL"/>
        </w:rPr>
        <w:t>Z tych powodów trudno wykryć NAFLD – szczególnie na wstępnym etapie</w:t>
      </w:r>
      <w:r w:rsidR="00D3166A">
        <w:rPr>
          <w:sz w:val="20"/>
          <w:szCs w:val="20"/>
          <w:lang w:val="pl-PL"/>
        </w:rPr>
        <w:t xml:space="preserve"> – </w:t>
      </w:r>
      <w:r w:rsidR="00817D56">
        <w:rPr>
          <w:sz w:val="20"/>
          <w:szCs w:val="20"/>
          <w:lang w:val="pl-PL"/>
        </w:rPr>
        <w:t>bez</w:t>
      </w:r>
      <w:r w:rsidR="00D3166A">
        <w:rPr>
          <w:sz w:val="20"/>
          <w:szCs w:val="20"/>
          <w:lang w:val="pl-PL"/>
        </w:rPr>
        <w:t xml:space="preserve"> specjalistycznej diagnostyki</w:t>
      </w:r>
      <w:r w:rsidR="0060710C">
        <w:rPr>
          <w:sz w:val="20"/>
          <w:szCs w:val="20"/>
          <w:lang w:val="pl-PL"/>
        </w:rPr>
        <w:t xml:space="preserve">. </w:t>
      </w:r>
    </w:p>
    <w:p w14:paraId="6FBF23D5" w14:textId="6E3F8FE1" w:rsidR="00EF506A" w:rsidRDefault="00EF506A" w:rsidP="004A2E8B">
      <w:pPr>
        <w:spacing w:after="0" w:line="240" w:lineRule="auto"/>
        <w:contextualSpacing/>
        <w:rPr>
          <w:rFonts w:ascii="Georgia" w:hAnsi="Georgia"/>
          <w:i/>
          <w:iCs/>
          <w:sz w:val="20"/>
          <w:szCs w:val="20"/>
          <w:lang w:val="pl-PL"/>
        </w:rPr>
      </w:pPr>
    </w:p>
    <w:p w14:paraId="43161A23" w14:textId="334DF867" w:rsidR="0086441C" w:rsidRPr="00EF506A" w:rsidRDefault="000B2997" w:rsidP="2F527C28">
      <w:pPr>
        <w:spacing w:after="0" w:line="240" w:lineRule="auto"/>
        <w:contextualSpacing/>
        <w:rPr>
          <w:rFonts w:ascii="Georgia" w:hAnsi="Georgia"/>
          <w:i/>
          <w:iCs/>
          <w:sz w:val="20"/>
          <w:szCs w:val="20"/>
          <w:lang w:val="pl-PL"/>
        </w:rPr>
      </w:pPr>
      <w:r w:rsidRPr="2F527C28">
        <w:rPr>
          <w:rFonts w:ascii="Georgia" w:hAnsi="Georgia"/>
          <w:i/>
          <w:iCs/>
          <w:sz w:val="20"/>
          <w:szCs w:val="20"/>
          <w:lang w:val="pl-PL"/>
        </w:rPr>
        <w:t>Chociaż wątroba to bardzo ważny narząd wpływający na funkcjonowanie całego organizmu, to jest on</w:t>
      </w:r>
      <w:r w:rsidR="00D3166A" w:rsidRPr="2F527C28">
        <w:rPr>
          <w:rFonts w:ascii="Georgia" w:hAnsi="Georgia"/>
          <w:i/>
          <w:iCs/>
          <w:sz w:val="20"/>
          <w:szCs w:val="20"/>
          <w:lang w:val="pl-PL"/>
        </w:rPr>
        <w:t>a</w:t>
      </w:r>
      <w:r w:rsidR="00553DCF" w:rsidRPr="2F527C28">
        <w:rPr>
          <w:rFonts w:ascii="Georgia" w:hAnsi="Georgia"/>
          <w:i/>
          <w:iCs/>
          <w:sz w:val="20"/>
          <w:szCs w:val="20"/>
          <w:lang w:val="pl-PL"/>
        </w:rPr>
        <w:t> </w:t>
      </w:r>
      <w:r w:rsidRPr="2F527C28">
        <w:rPr>
          <w:rFonts w:ascii="Georgia" w:hAnsi="Georgia"/>
          <w:i/>
          <w:iCs/>
          <w:sz w:val="20"/>
          <w:szCs w:val="20"/>
          <w:lang w:val="pl-PL"/>
        </w:rPr>
        <w:t xml:space="preserve">niezwykle </w:t>
      </w:r>
      <w:r w:rsidR="00685B1C">
        <w:rPr>
          <w:rFonts w:ascii="Georgia" w:hAnsi="Georgia"/>
          <w:i/>
          <w:iCs/>
          <w:sz w:val="20"/>
          <w:szCs w:val="20"/>
          <w:lang w:val="pl-PL"/>
        </w:rPr>
        <w:t>dyskretna</w:t>
      </w:r>
      <w:r w:rsidRPr="2F527C28">
        <w:rPr>
          <w:rFonts w:ascii="Georgia" w:hAnsi="Georgia"/>
          <w:i/>
          <w:iCs/>
          <w:sz w:val="20"/>
          <w:szCs w:val="20"/>
          <w:lang w:val="pl-PL"/>
        </w:rPr>
        <w:t xml:space="preserve">. </w:t>
      </w:r>
      <w:r w:rsidR="00EF506A" w:rsidRPr="2F527C28">
        <w:rPr>
          <w:rFonts w:ascii="Georgia" w:hAnsi="Georgia"/>
          <w:i/>
          <w:iCs/>
          <w:sz w:val="20"/>
          <w:szCs w:val="20"/>
          <w:lang w:val="pl-PL"/>
        </w:rPr>
        <w:t>Chora wątroba bardzo długo nie daje objawów</w:t>
      </w:r>
      <w:r w:rsidR="00286392" w:rsidRPr="2F527C28">
        <w:rPr>
          <w:rFonts w:ascii="Georgia" w:hAnsi="Georgia"/>
          <w:i/>
          <w:iCs/>
          <w:sz w:val="20"/>
          <w:szCs w:val="20"/>
          <w:lang w:val="pl-PL"/>
        </w:rPr>
        <w:t xml:space="preserve">. Najczęściej pojawiają się one </w:t>
      </w:r>
      <w:r w:rsidR="00286392" w:rsidRPr="2F527C28">
        <w:rPr>
          <w:rFonts w:ascii="Georgia" w:hAnsi="Georgia"/>
          <w:i/>
          <w:iCs/>
          <w:sz w:val="20"/>
          <w:szCs w:val="20"/>
          <w:lang w:val="pl-PL"/>
        </w:rPr>
        <w:lastRenderedPageBreak/>
        <w:t>dopiero wtedy, kiedy dochodzi do</w:t>
      </w:r>
      <w:r w:rsidR="00EF506A" w:rsidRPr="2F527C28">
        <w:rPr>
          <w:rFonts w:ascii="Georgia" w:hAnsi="Georgia"/>
          <w:i/>
          <w:iCs/>
          <w:sz w:val="20"/>
          <w:szCs w:val="20"/>
          <w:lang w:val="pl-PL"/>
        </w:rPr>
        <w:t xml:space="preserve"> marskości</w:t>
      </w:r>
      <w:r w:rsidR="00286392" w:rsidRPr="2F527C28">
        <w:rPr>
          <w:rFonts w:ascii="Georgia" w:hAnsi="Georgia"/>
          <w:i/>
          <w:iCs/>
          <w:sz w:val="20"/>
          <w:szCs w:val="20"/>
          <w:lang w:val="pl-PL"/>
        </w:rPr>
        <w:t>.</w:t>
      </w:r>
      <w:r w:rsidR="00EF506A" w:rsidRPr="2F527C28">
        <w:rPr>
          <w:rFonts w:ascii="Georgia" w:hAnsi="Georgia"/>
          <w:i/>
          <w:iCs/>
          <w:sz w:val="20"/>
          <w:szCs w:val="20"/>
          <w:lang w:val="pl-PL"/>
        </w:rPr>
        <w:t xml:space="preserve"> </w:t>
      </w:r>
      <w:r w:rsidR="00286392" w:rsidRPr="2F527C28">
        <w:rPr>
          <w:rFonts w:ascii="Georgia" w:hAnsi="Georgia"/>
          <w:i/>
          <w:iCs/>
          <w:sz w:val="20"/>
          <w:szCs w:val="20"/>
          <w:lang w:val="pl-PL"/>
        </w:rPr>
        <w:t xml:space="preserve">Przykładowo </w:t>
      </w:r>
      <w:r w:rsidR="00286392" w:rsidRPr="2F527C28">
        <w:rPr>
          <w:rFonts w:ascii="Georgia" w:hAnsi="Georgia"/>
          <w:b/>
          <w:bCs/>
          <w:i/>
          <w:iCs/>
          <w:sz w:val="20"/>
          <w:szCs w:val="20"/>
          <w:lang w:val="pl-PL"/>
        </w:rPr>
        <w:t xml:space="preserve">w typowym przebiegu </w:t>
      </w:r>
      <w:proofErr w:type="spellStart"/>
      <w:r w:rsidR="00286392" w:rsidRPr="2F527C28">
        <w:rPr>
          <w:rFonts w:ascii="Georgia" w:hAnsi="Georgia"/>
          <w:b/>
          <w:bCs/>
          <w:i/>
          <w:iCs/>
          <w:sz w:val="20"/>
          <w:szCs w:val="20"/>
          <w:lang w:val="pl-PL"/>
        </w:rPr>
        <w:t>stłuszczeniowej</w:t>
      </w:r>
      <w:proofErr w:type="spellEnd"/>
      <w:r w:rsidR="00286392" w:rsidRPr="2F527C28">
        <w:rPr>
          <w:rFonts w:ascii="Georgia" w:hAnsi="Georgia"/>
          <w:b/>
          <w:bCs/>
          <w:i/>
          <w:iCs/>
          <w:sz w:val="20"/>
          <w:szCs w:val="20"/>
          <w:lang w:val="pl-PL"/>
        </w:rPr>
        <w:t xml:space="preserve"> choroby wątroby te objawy pojawiają się po 30</w:t>
      </w:r>
      <w:r w:rsidR="00553DCF" w:rsidRPr="2F527C28">
        <w:rPr>
          <w:rFonts w:ascii="Georgia" w:hAnsi="Georgia"/>
          <w:b/>
          <w:bCs/>
          <w:i/>
          <w:iCs/>
          <w:sz w:val="20"/>
          <w:szCs w:val="20"/>
          <w:lang w:val="pl-PL"/>
        </w:rPr>
        <w:t xml:space="preserve">, a niekiedy nawet </w:t>
      </w:r>
      <w:r w:rsidR="00286392" w:rsidRPr="2F527C28">
        <w:rPr>
          <w:rFonts w:ascii="Georgia" w:hAnsi="Georgia"/>
          <w:b/>
          <w:bCs/>
          <w:i/>
          <w:iCs/>
          <w:sz w:val="20"/>
          <w:szCs w:val="20"/>
          <w:lang w:val="pl-PL"/>
        </w:rPr>
        <w:t xml:space="preserve">40 latach trwania choroby. W tym kontekście </w:t>
      </w:r>
      <w:r w:rsidR="0086441C" w:rsidRPr="2F527C28">
        <w:rPr>
          <w:rFonts w:ascii="Georgia" w:hAnsi="Georgia"/>
          <w:b/>
          <w:bCs/>
          <w:i/>
          <w:iCs/>
          <w:sz w:val="20"/>
          <w:szCs w:val="20"/>
          <w:lang w:val="pl-PL"/>
        </w:rPr>
        <w:t xml:space="preserve">niezwykle </w:t>
      </w:r>
      <w:r w:rsidR="00286392" w:rsidRPr="2F527C28">
        <w:rPr>
          <w:rFonts w:ascii="Georgia" w:hAnsi="Georgia"/>
          <w:b/>
          <w:bCs/>
          <w:i/>
          <w:iCs/>
          <w:sz w:val="20"/>
          <w:szCs w:val="20"/>
          <w:lang w:val="pl-PL"/>
        </w:rPr>
        <w:t>istotną rolę odgrywają badania profilaktyczne</w:t>
      </w:r>
      <w:r w:rsidR="00286392" w:rsidRPr="2F527C28">
        <w:rPr>
          <w:rFonts w:ascii="Georgia" w:hAnsi="Georgia"/>
          <w:i/>
          <w:iCs/>
          <w:sz w:val="20"/>
          <w:szCs w:val="20"/>
          <w:lang w:val="pl-PL"/>
        </w:rPr>
        <w:t>, pozwalające ocenić stan narządu i postawić diagnozę we</w:t>
      </w:r>
      <w:r w:rsidR="00553DCF" w:rsidRPr="2F527C28">
        <w:rPr>
          <w:rFonts w:ascii="Georgia" w:hAnsi="Georgia"/>
          <w:i/>
          <w:iCs/>
          <w:sz w:val="20"/>
          <w:szCs w:val="20"/>
          <w:lang w:val="pl-PL"/>
        </w:rPr>
        <w:t> </w:t>
      </w:r>
      <w:r w:rsidR="00286392" w:rsidRPr="2F527C28">
        <w:rPr>
          <w:rFonts w:ascii="Georgia" w:hAnsi="Georgia"/>
          <w:i/>
          <w:iCs/>
          <w:sz w:val="20"/>
          <w:szCs w:val="20"/>
          <w:lang w:val="pl-PL"/>
        </w:rPr>
        <w:t>wstępnym stadium</w:t>
      </w:r>
      <w:r w:rsidR="0086441C" w:rsidRPr="2F527C28">
        <w:rPr>
          <w:rFonts w:ascii="Georgia" w:hAnsi="Georgia"/>
          <w:i/>
          <w:iCs/>
          <w:sz w:val="20"/>
          <w:szCs w:val="20"/>
          <w:lang w:val="pl-PL"/>
        </w:rPr>
        <w:t xml:space="preserve"> choroby, kiedy jeszcze można zatrzymać </w:t>
      </w:r>
      <w:r w:rsidR="00553DCF" w:rsidRPr="2F527C28">
        <w:rPr>
          <w:rFonts w:ascii="Georgia" w:hAnsi="Georgia"/>
          <w:i/>
          <w:iCs/>
          <w:sz w:val="20"/>
          <w:szCs w:val="20"/>
          <w:lang w:val="pl-PL"/>
        </w:rPr>
        <w:t xml:space="preserve">jej </w:t>
      </w:r>
      <w:r w:rsidR="0086441C" w:rsidRPr="2F527C28">
        <w:rPr>
          <w:rFonts w:ascii="Georgia" w:hAnsi="Georgia"/>
          <w:i/>
          <w:iCs/>
          <w:sz w:val="20"/>
          <w:szCs w:val="20"/>
          <w:lang w:val="pl-PL"/>
        </w:rPr>
        <w:t xml:space="preserve">negatywne skutki, a nawet je odwrócić – </w:t>
      </w:r>
      <w:r w:rsidR="0086441C" w:rsidRPr="2F527C28">
        <w:rPr>
          <w:sz w:val="20"/>
          <w:szCs w:val="20"/>
          <w:lang w:val="pl-PL"/>
        </w:rPr>
        <w:t xml:space="preserve">wyjaśnia </w:t>
      </w:r>
      <w:r w:rsidR="0086441C" w:rsidRPr="2F527C28">
        <w:rPr>
          <w:rFonts w:ascii="Georgia" w:hAnsi="Georgia"/>
          <w:b/>
          <w:bCs/>
          <w:i/>
          <w:iCs/>
          <w:color w:val="7030A0"/>
          <w:sz w:val="20"/>
          <w:szCs w:val="20"/>
          <w:lang w:val="pl-PL"/>
        </w:rPr>
        <w:t>dr n. med. Jan Gietka.</w:t>
      </w:r>
    </w:p>
    <w:p w14:paraId="56D052EE" w14:textId="77777777" w:rsidR="00657BCA" w:rsidRPr="00657BCA" w:rsidRDefault="00657BCA" w:rsidP="007725E5">
      <w:pPr>
        <w:spacing w:after="0" w:line="240" w:lineRule="auto"/>
        <w:contextualSpacing/>
        <w:rPr>
          <w:sz w:val="20"/>
          <w:szCs w:val="20"/>
          <w:lang w:val="pl-PL"/>
        </w:rPr>
      </w:pPr>
    </w:p>
    <w:p w14:paraId="4318075E" w14:textId="4358FBB4" w:rsidR="003407E3" w:rsidRDefault="003407E3" w:rsidP="007725E5">
      <w:pPr>
        <w:spacing w:after="0" w:line="240" w:lineRule="auto"/>
        <w:contextualSpacing/>
        <w:rPr>
          <w:b/>
          <w:bCs/>
          <w:sz w:val="20"/>
          <w:szCs w:val="20"/>
          <w:lang w:val="pl-PL"/>
        </w:rPr>
      </w:pPr>
      <w:r>
        <w:rPr>
          <w:rFonts w:ascii="Georgia" w:hAnsi="Georgia"/>
          <w:i/>
          <w:iCs/>
          <w:color w:val="7A00E6" w:themeColor="accent2"/>
          <w:sz w:val="24"/>
          <w:szCs w:val="24"/>
          <w:lang w:val="pl-PL"/>
        </w:rPr>
        <w:t>Epidemia</w:t>
      </w:r>
      <w:r w:rsidR="001257FD">
        <w:rPr>
          <w:rFonts w:ascii="Georgia" w:hAnsi="Georgia"/>
          <w:i/>
          <w:iCs/>
          <w:color w:val="7A00E6" w:themeColor="accent2"/>
          <w:sz w:val="24"/>
          <w:szCs w:val="24"/>
          <w:lang w:val="pl-PL"/>
        </w:rPr>
        <w:t xml:space="preserve"> naszych czasów</w:t>
      </w:r>
    </w:p>
    <w:p w14:paraId="39E40920" w14:textId="77777777" w:rsidR="001411C0" w:rsidRDefault="001411C0" w:rsidP="007725E5">
      <w:pPr>
        <w:spacing w:after="0" w:line="240" w:lineRule="auto"/>
        <w:contextualSpacing/>
        <w:rPr>
          <w:b/>
          <w:bCs/>
          <w:sz w:val="20"/>
          <w:szCs w:val="20"/>
          <w:lang w:val="pl-PL"/>
        </w:rPr>
      </w:pPr>
    </w:p>
    <w:p w14:paraId="2F86778A" w14:textId="1B02A343" w:rsidR="00EC4112" w:rsidRDefault="002F0298" w:rsidP="007725E5">
      <w:pPr>
        <w:spacing w:after="0" w:line="240" w:lineRule="auto"/>
        <w:contextualSpacing/>
        <w:rPr>
          <w:sz w:val="20"/>
          <w:szCs w:val="20"/>
          <w:lang w:val="pl-PL"/>
        </w:rPr>
      </w:pPr>
      <w:r>
        <w:rPr>
          <w:sz w:val="20"/>
          <w:szCs w:val="20"/>
          <w:lang w:val="pl-PL"/>
        </w:rPr>
        <w:t>Na całym świecie</w:t>
      </w:r>
      <w:r w:rsidRPr="00BF10C9">
        <w:rPr>
          <w:sz w:val="20"/>
          <w:szCs w:val="20"/>
          <w:lang w:val="pl-PL"/>
        </w:rPr>
        <w:t xml:space="preserve"> na choroby wątroby, w tym m.in. NAFLD</w:t>
      </w:r>
      <w:r>
        <w:rPr>
          <w:sz w:val="20"/>
          <w:szCs w:val="20"/>
          <w:lang w:val="pl-PL"/>
        </w:rPr>
        <w:t>, cierpi</w:t>
      </w:r>
      <w:r w:rsidRPr="00BF10C9">
        <w:rPr>
          <w:sz w:val="20"/>
          <w:szCs w:val="20"/>
          <w:lang w:val="pl-PL"/>
        </w:rPr>
        <w:t xml:space="preserve"> </w:t>
      </w:r>
      <w:r w:rsidR="00DA50DF" w:rsidRPr="00BF10C9">
        <w:rPr>
          <w:sz w:val="20"/>
          <w:szCs w:val="20"/>
          <w:lang w:val="pl-PL"/>
        </w:rPr>
        <w:t>1,5 miliarda ludzi</w:t>
      </w:r>
      <w:r w:rsidR="00B1121F">
        <w:rPr>
          <w:rStyle w:val="Odwoanieprzypisudolnego"/>
          <w:sz w:val="20"/>
          <w:szCs w:val="20"/>
          <w:lang w:val="pl-PL"/>
        </w:rPr>
        <w:footnoteReference w:id="7"/>
      </w:r>
      <w:r w:rsidR="00DA50DF" w:rsidRPr="00BF10C9">
        <w:rPr>
          <w:sz w:val="20"/>
          <w:szCs w:val="20"/>
          <w:lang w:val="pl-PL"/>
        </w:rPr>
        <w:t xml:space="preserve">. </w:t>
      </w:r>
      <w:r w:rsidR="00EB5D9B">
        <w:rPr>
          <w:sz w:val="20"/>
          <w:szCs w:val="20"/>
          <w:lang w:val="pl-PL"/>
        </w:rPr>
        <w:t xml:space="preserve">Wpływają na </w:t>
      </w:r>
      <w:r w:rsidR="005E139A">
        <w:rPr>
          <w:sz w:val="20"/>
          <w:szCs w:val="20"/>
          <w:lang w:val="pl-PL"/>
        </w:rPr>
        <w:t xml:space="preserve">codzienne funkcjonowanie </w:t>
      </w:r>
      <w:r w:rsidR="00EB5D9B">
        <w:rPr>
          <w:sz w:val="20"/>
          <w:szCs w:val="20"/>
          <w:lang w:val="pl-PL"/>
        </w:rPr>
        <w:t xml:space="preserve">w wielu aspektach – m.in. obok niedokrwiennej choroby serca </w:t>
      </w:r>
      <w:r w:rsidR="00B1121F">
        <w:rPr>
          <w:sz w:val="20"/>
          <w:szCs w:val="20"/>
          <w:lang w:val="pl-PL"/>
        </w:rPr>
        <w:t>są</w:t>
      </w:r>
      <w:r w:rsidR="00EC4112">
        <w:rPr>
          <w:sz w:val="20"/>
          <w:szCs w:val="20"/>
          <w:lang w:val="pl-PL"/>
        </w:rPr>
        <w:t> </w:t>
      </w:r>
      <w:r w:rsidR="00EB5D9B">
        <w:rPr>
          <w:sz w:val="20"/>
          <w:szCs w:val="20"/>
          <w:lang w:val="pl-PL"/>
        </w:rPr>
        <w:t>jedną z wiodących przyczyn utraconych lat życia zawodowego</w:t>
      </w:r>
      <w:r w:rsidR="00690C89">
        <w:rPr>
          <w:sz w:val="20"/>
          <w:szCs w:val="20"/>
          <w:lang w:val="pl-PL"/>
        </w:rPr>
        <w:t xml:space="preserve"> Europejczyków</w:t>
      </w:r>
      <w:r w:rsidR="00EB5D9B">
        <w:rPr>
          <w:rStyle w:val="Odwoanieprzypisudolnego"/>
          <w:sz w:val="20"/>
          <w:szCs w:val="20"/>
          <w:lang w:val="pl-PL"/>
        </w:rPr>
        <w:footnoteReference w:id="8"/>
      </w:r>
      <w:r w:rsidR="00B1121F">
        <w:rPr>
          <w:sz w:val="20"/>
          <w:szCs w:val="20"/>
          <w:lang w:val="pl-PL"/>
        </w:rPr>
        <w:t xml:space="preserve">. </w:t>
      </w:r>
      <w:r w:rsidR="00EC4112">
        <w:rPr>
          <w:sz w:val="20"/>
          <w:szCs w:val="20"/>
          <w:lang w:val="pl-PL"/>
        </w:rPr>
        <w:t xml:space="preserve">Prowadzą również do śmierci – </w:t>
      </w:r>
      <w:r w:rsidR="00195FB4">
        <w:rPr>
          <w:sz w:val="20"/>
          <w:szCs w:val="20"/>
          <w:lang w:val="pl-PL"/>
        </w:rPr>
        <w:t>w</w:t>
      </w:r>
      <w:r w:rsidR="00690C89">
        <w:rPr>
          <w:sz w:val="20"/>
          <w:szCs w:val="20"/>
          <w:lang w:val="pl-PL"/>
        </w:rPr>
        <w:t> </w:t>
      </w:r>
      <w:r w:rsidR="00EC4112">
        <w:rPr>
          <w:sz w:val="20"/>
          <w:szCs w:val="20"/>
          <w:lang w:val="pl-PL"/>
        </w:rPr>
        <w:t>skali globalnej p</w:t>
      </w:r>
      <w:r w:rsidR="00EC4112" w:rsidRPr="00D15A7B">
        <w:rPr>
          <w:sz w:val="20"/>
          <w:szCs w:val="20"/>
          <w:lang w:val="pl-PL"/>
        </w:rPr>
        <w:t>owodują 2 miliony zgonów rocznie,</w:t>
      </w:r>
      <w:r w:rsidR="00EC4112">
        <w:rPr>
          <w:sz w:val="20"/>
          <w:szCs w:val="20"/>
          <w:lang w:val="pl-PL"/>
        </w:rPr>
        <w:t xml:space="preserve"> </w:t>
      </w:r>
      <w:r w:rsidR="00195FB4">
        <w:rPr>
          <w:sz w:val="20"/>
          <w:szCs w:val="20"/>
          <w:lang w:val="pl-PL"/>
        </w:rPr>
        <w:t xml:space="preserve">przy czym </w:t>
      </w:r>
      <w:r w:rsidR="00EC4112" w:rsidRPr="00D15A7B">
        <w:rPr>
          <w:sz w:val="20"/>
          <w:szCs w:val="20"/>
          <w:lang w:val="pl-PL"/>
        </w:rPr>
        <w:t>liczba ta</w:t>
      </w:r>
      <w:r w:rsidR="00EC4112">
        <w:rPr>
          <w:sz w:val="20"/>
          <w:szCs w:val="20"/>
          <w:lang w:val="pl-PL"/>
        </w:rPr>
        <w:t> </w:t>
      </w:r>
      <w:r w:rsidR="00195FB4">
        <w:rPr>
          <w:sz w:val="20"/>
          <w:szCs w:val="20"/>
          <w:lang w:val="pl-PL"/>
        </w:rPr>
        <w:t>wciąż</w:t>
      </w:r>
      <w:r w:rsidR="00EC4112" w:rsidRPr="00D15A7B">
        <w:rPr>
          <w:sz w:val="20"/>
          <w:szCs w:val="20"/>
          <w:lang w:val="pl-PL"/>
        </w:rPr>
        <w:t xml:space="preserve"> rośnie</w:t>
      </w:r>
      <w:r w:rsidR="00EC4112">
        <w:rPr>
          <w:sz w:val="20"/>
          <w:szCs w:val="20"/>
          <w:lang w:val="pl-PL"/>
        </w:rPr>
        <w:t>, a samo niealkoholowe stłuszczenie wątroby staje się jedną z wiodących</w:t>
      </w:r>
      <w:r w:rsidR="00195FB4">
        <w:rPr>
          <w:sz w:val="20"/>
          <w:szCs w:val="20"/>
          <w:lang w:val="pl-PL"/>
        </w:rPr>
        <w:t xml:space="preserve"> przyczyn umieralności na</w:t>
      </w:r>
      <w:r w:rsidR="003407E3">
        <w:rPr>
          <w:sz w:val="20"/>
          <w:szCs w:val="20"/>
          <w:lang w:val="pl-PL"/>
        </w:rPr>
        <w:t> </w:t>
      </w:r>
      <w:r w:rsidR="00195FB4">
        <w:rPr>
          <w:sz w:val="20"/>
          <w:szCs w:val="20"/>
          <w:lang w:val="pl-PL"/>
        </w:rPr>
        <w:t>choroby wątroby</w:t>
      </w:r>
      <w:r w:rsidR="00EC4112" w:rsidRPr="00BF10C9">
        <w:rPr>
          <w:sz w:val="20"/>
          <w:szCs w:val="20"/>
          <w:vertAlign w:val="superscript"/>
        </w:rPr>
        <w:footnoteReference w:id="9"/>
      </w:r>
      <w:r w:rsidR="00EC4112" w:rsidRPr="00EC4112">
        <w:rPr>
          <w:sz w:val="20"/>
          <w:szCs w:val="20"/>
          <w:lang w:val="pl-PL"/>
        </w:rPr>
        <w:t>.</w:t>
      </w:r>
      <w:r w:rsidR="00EC4112">
        <w:rPr>
          <w:sz w:val="20"/>
          <w:szCs w:val="20"/>
          <w:lang w:val="pl-PL"/>
        </w:rPr>
        <w:t xml:space="preserve"> </w:t>
      </w:r>
      <w:r w:rsidR="0035139B">
        <w:rPr>
          <w:sz w:val="20"/>
          <w:szCs w:val="20"/>
          <w:lang w:val="pl-PL"/>
        </w:rPr>
        <w:t xml:space="preserve">Podobne tendencje </w:t>
      </w:r>
      <w:r w:rsidR="005E139A">
        <w:rPr>
          <w:sz w:val="20"/>
          <w:szCs w:val="20"/>
          <w:lang w:val="pl-PL"/>
        </w:rPr>
        <w:t xml:space="preserve">są </w:t>
      </w:r>
      <w:r w:rsidR="0035139B">
        <w:rPr>
          <w:sz w:val="20"/>
          <w:szCs w:val="20"/>
          <w:lang w:val="pl-PL"/>
        </w:rPr>
        <w:t xml:space="preserve">widoczne nie tylko w skali świata, ale również biorąc pod uwagę </w:t>
      </w:r>
      <w:r w:rsidR="005E139A">
        <w:rPr>
          <w:sz w:val="20"/>
          <w:szCs w:val="20"/>
          <w:lang w:val="pl-PL"/>
        </w:rPr>
        <w:t xml:space="preserve">jedynie </w:t>
      </w:r>
      <w:r w:rsidR="0035139B">
        <w:rPr>
          <w:sz w:val="20"/>
          <w:szCs w:val="20"/>
          <w:lang w:val="pl-PL"/>
        </w:rPr>
        <w:t>kontynent europejski. Na przestrzeni ostatnich 30 lat współczynnik zgonów spowodowanych przewlekłymi chorobami wątroby, w tym NAFLD, wzrósł tu o 25% (1990 r. – 204 000 zgonów; 2019 r. – 287 000 zgonów)</w:t>
      </w:r>
      <w:r w:rsidR="0035139B">
        <w:rPr>
          <w:rStyle w:val="Odwoanieprzypisudolnego"/>
          <w:sz w:val="20"/>
          <w:szCs w:val="20"/>
          <w:lang w:val="pl-PL"/>
        </w:rPr>
        <w:footnoteReference w:id="10"/>
      </w:r>
      <w:r w:rsidR="0035139B">
        <w:rPr>
          <w:sz w:val="20"/>
          <w:szCs w:val="20"/>
          <w:lang w:val="pl-PL"/>
        </w:rPr>
        <w:t xml:space="preserve">. </w:t>
      </w:r>
      <w:r w:rsidR="00DA70D0">
        <w:rPr>
          <w:sz w:val="20"/>
          <w:szCs w:val="20"/>
          <w:lang w:val="pl-PL"/>
        </w:rPr>
        <w:t>Dziś te choroby można śmiało nazwać epidemią XXI wieku, o której jednak nie mówi się dostatecznie często.</w:t>
      </w:r>
    </w:p>
    <w:p w14:paraId="32E20156" w14:textId="235A15D0" w:rsidR="00A51C7A" w:rsidRDefault="00A51C7A" w:rsidP="007725E5">
      <w:pPr>
        <w:spacing w:after="0" w:line="240" w:lineRule="auto"/>
        <w:contextualSpacing/>
        <w:rPr>
          <w:b/>
          <w:bCs/>
          <w:sz w:val="20"/>
          <w:szCs w:val="20"/>
          <w:lang w:val="pl-PL"/>
        </w:rPr>
      </w:pPr>
    </w:p>
    <w:p w14:paraId="520390AC" w14:textId="00F181A7" w:rsidR="00A51C7A" w:rsidRPr="00516E40" w:rsidRDefault="00516E40" w:rsidP="007725E5">
      <w:pPr>
        <w:spacing w:after="0" w:line="240" w:lineRule="auto"/>
        <w:contextualSpacing/>
        <w:rPr>
          <w:rFonts w:ascii="Georgia" w:hAnsi="Georgia"/>
          <w:i/>
          <w:iCs/>
          <w:color w:val="7A00E6" w:themeColor="accent2"/>
          <w:sz w:val="24"/>
          <w:szCs w:val="24"/>
          <w:lang w:val="pl-PL"/>
        </w:rPr>
      </w:pPr>
      <w:r>
        <w:rPr>
          <w:rFonts w:ascii="Georgia" w:hAnsi="Georgia"/>
          <w:i/>
          <w:iCs/>
          <w:color w:val="7A00E6" w:themeColor="accent2"/>
          <w:sz w:val="24"/>
          <w:szCs w:val="24"/>
          <w:lang w:val="pl-PL"/>
        </w:rPr>
        <w:t xml:space="preserve">Prowadź się zdrowo! – dosłownie </w:t>
      </w:r>
    </w:p>
    <w:p w14:paraId="2AA14A74" w14:textId="08B218E3" w:rsidR="00A51C7A" w:rsidRDefault="00A51C7A" w:rsidP="007725E5">
      <w:pPr>
        <w:spacing w:after="0" w:line="240" w:lineRule="auto"/>
        <w:contextualSpacing/>
        <w:rPr>
          <w:b/>
          <w:bCs/>
          <w:sz w:val="20"/>
          <w:szCs w:val="20"/>
          <w:lang w:val="pl-PL"/>
        </w:rPr>
      </w:pPr>
    </w:p>
    <w:p w14:paraId="5A3565E5" w14:textId="33FCA645" w:rsidR="00516E40" w:rsidRDefault="00516E40" w:rsidP="007725E5">
      <w:pPr>
        <w:spacing w:after="0" w:line="240" w:lineRule="auto"/>
        <w:contextualSpacing/>
        <w:rPr>
          <w:sz w:val="20"/>
          <w:szCs w:val="20"/>
          <w:lang w:val="pl-PL"/>
        </w:rPr>
      </w:pPr>
      <w:r>
        <w:rPr>
          <w:sz w:val="20"/>
          <w:szCs w:val="20"/>
          <w:lang w:val="pl-PL"/>
        </w:rPr>
        <w:t>Większość mężczyzn chętnie i bez przypominania o tym</w:t>
      </w:r>
      <w:r w:rsidR="00622E81">
        <w:rPr>
          <w:sz w:val="20"/>
          <w:szCs w:val="20"/>
          <w:lang w:val="pl-PL"/>
        </w:rPr>
        <w:t>,</w:t>
      </w:r>
      <w:r>
        <w:rPr>
          <w:sz w:val="20"/>
          <w:szCs w:val="20"/>
          <w:lang w:val="pl-PL"/>
        </w:rPr>
        <w:t xml:space="preserve"> dba o swoje samochody</w:t>
      </w:r>
      <w:r w:rsidR="00137890">
        <w:rPr>
          <w:sz w:val="20"/>
          <w:szCs w:val="20"/>
          <w:lang w:val="pl-PL"/>
        </w:rPr>
        <w:t>. Z</w:t>
      </w:r>
      <w:r>
        <w:rPr>
          <w:sz w:val="20"/>
          <w:szCs w:val="20"/>
          <w:lang w:val="pl-PL"/>
        </w:rPr>
        <w:t>adbaj o swoje zdrowie tak, jak dbasz o swój samochód</w:t>
      </w:r>
      <w:r w:rsidR="0072392C">
        <w:rPr>
          <w:sz w:val="20"/>
          <w:szCs w:val="20"/>
          <w:lang w:val="pl-PL"/>
        </w:rPr>
        <w:t xml:space="preserve"> –</w:t>
      </w:r>
      <w:r>
        <w:rPr>
          <w:sz w:val="20"/>
          <w:szCs w:val="20"/>
          <w:lang w:val="pl-PL"/>
        </w:rPr>
        <w:t xml:space="preserve"> </w:t>
      </w:r>
      <w:r w:rsidR="0072392C">
        <w:rPr>
          <w:sz w:val="20"/>
          <w:szCs w:val="20"/>
          <w:lang w:val="pl-PL"/>
        </w:rPr>
        <w:t>tą</w:t>
      </w:r>
      <w:r>
        <w:rPr>
          <w:sz w:val="20"/>
          <w:szCs w:val="20"/>
          <w:lang w:val="pl-PL"/>
        </w:rPr>
        <w:t xml:space="preserve"> motoryzacyjną analogią</w:t>
      </w:r>
      <w:r w:rsidR="00B35049">
        <w:rPr>
          <w:sz w:val="20"/>
          <w:szCs w:val="20"/>
          <w:lang w:val="pl-PL"/>
        </w:rPr>
        <w:t xml:space="preserve"> posłużono się</w:t>
      </w:r>
      <w:r>
        <w:rPr>
          <w:sz w:val="20"/>
          <w:szCs w:val="20"/>
          <w:lang w:val="pl-PL"/>
        </w:rPr>
        <w:t xml:space="preserve"> </w:t>
      </w:r>
      <w:r w:rsidR="00B35049">
        <w:rPr>
          <w:sz w:val="20"/>
          <w:szCs w:val="20"/>
          <w:lang w:val="pl-PL"/>
        </w:rPr>
        <w:t xml:space="preserve">w </w:t>
      </w:r>
      <w:r>
        <w:rPr>
          <w:sz w:val="20"/>
          <w:szCs w:val="20"/>
          <w:lang w:val="pl-PL"/>
        </w:rPr>
        <w:t xml:space="preserve">kampanii „Prowadź się zdrowo”, </w:t>
      </w:r>
      <w:r w:rsidR="009C2D2D">
        <w:rPr>
          <w:sz w:val="20"/>
          <w:szCs w:val="20"/>
          <w:lang w:val="pl-PL"/>
        </w:rPr>
        <w:t xml:space="preserve">prowadzonej od </w:t>
      </w:r>
      <w:r>
        <w:rPr>
          <w:sz w:val="20"/>
          <w:szCs w:val="20"/>
          <w:lang w:val="pl-PL"/>
        </w:rPr>
        <w:t xml:space="preserve">listopada </w:t>
      </w:r>
      <w:r w:rsidR="009C2D2D">
        <w:rPr>
          <w:sz w:val="20"/>
          <w:szCs w:val="20"/>
          <w:lang w:val="pl-PL"/>
        </w:rPr>
        <w:t>ubiegłego roku</w:t>
      </w:r>
      <w:r>
        <w:rPr>
          <w:sz w:val="20"/>
          <w:szCs w:val="20"/>
          <w:lang w:val="pl-PL"/>
        </w:rPr>
        <w:t>. Bezpośrednim impulsem d</w:t>
      </w:r>
      <w:r w:rsidR="00B35049">
        <w:rPr>
          <w:sz w:val="20"/>
          <w:szCs w:val="20"/>
          <w:lang w:val="pl-PL"/>
        </w:rPr>
        <w:t>la</w:t>
      </w:r>
      <w:r w:rsidR="0072392C">
        <w:rPr>
          <w:sz w:val="20"/>
          <w:szCs w:val="20"/>
          <w:lang w:val="pl-PL"/>
        </w:rPr>
        <w:t> </w:t>
      </w:r>
      <w:r w:rsidR="00B35049">
        <w:rPr>
          <w:sz w:val="20"/>
          <w:szCs w:val="20"/>
          <w:lang w:val="pl-PL"/>
        </w:rPr>
        <w:t xml:space="preserve">stworzenia akcji </w:t>
      </w:r>
      <w:r>
        <w:rPr>
          <w:sz w:val="20"/>
          <w:szCs w:val="20"/>
          <w:lang w:val="pl-PL"/>
        </w:rPr>
        <w:t xml:space="preserve">stały się badania ankietowe, które uwidoczniły </w:t>
      </w:r>
      <w:r w:rsidRPr="009165EB">
        <w:rPr>
          <w:b/>
          <w:bCs/>
          <w:sz w:val="20"/>
          <w:szCs w:val="20"/>
          <w:lang w:val="pl-PL"/>
        </w:rPr>
        <w:t>postaw</w:t>
      </w:r>
      <w:r w:rsidR="00EC6E9B" w:rsidRPr="009165EB">
        <w:rPr>
          <w:b/>
          <w:bCs/>
          <w:sz w:val="20"/>
          <w:szCs w:val="20"/>
          <w:lang w:val="pl-PL"/>
        </w:rPr>
        <w:t>y</w:t>
      </w:r>
      <w:r w:rsidRPr="009165EB">
        <w:rPr>
          <w:b/>
          <w:bCs/>
          <w:sz w:val="20"/>
          <w:szCs w:val="20"/>
          <w:lang w:val="pl-PL"/>
        </w:rPr>
        <w:t xml:space="preserve"> </w:t>
      </w:r>
      <w:r w:rsidR="0072392C" w:rsidRPr="009165EB">
        <w:rPr>
          <w:b/>
          <w:bCs/>
          <w:color w:val="auto"/>
          <w:sz w:val="20"/>
          <w:szCs w:val="20"/>
          <w:lang w:val="pl-PL"/>
        </w:rPr>
        <w:t>Polaków</w:t>
      </w:r>
      <w:r w:rsidRPr="009165EB">
        <w:rPr>
          <w:b/>
          <w:bCs/>
          <w:color w:val="auto"/>
          <w:sz w:val="20"/>
          <w:szCs w:val="20"/>
          <w:lang w:val="pl-PL"/>
        </w:rPr>
        <w:t xml:space="preserve"> w</w:t>
      </w:r>
      <w:r w:rsidR="0086441C" w:rsidRPr="009165EB">
        <w:rPr>
          <w:b/>
          <w:bCs/>
          <w:color w:val="auto"/>
          <w:sz w:val="20"/>
          <w:szCs w:val="20"/>
          <w:lang w:val="pl-PL"/>
        </w:rPr>
        <w:t> </w:t>
      </w:r>
      <w:r w:rsidRPr="009165EB">
        <w:rPr>
          <w:b/>
          <w:bCs/>
          <w:color w:val="auto"/>
          <w:sz w:val="20"/>
          <w:szCs w:val="20"/>
          <w:lang w:val="pl-PL"/>
        </w:rPr>
        <w:t xml:space="preserve">wieku 40-60 lat </w:t>
      </w:r>
      <w:r w:rsidRPr="009165EB">
        <w:rPr>
          <w:b/>
          <w:bCs/>
          <w:sz w:val="20"/>
          <w:szCs w:val="20"/>
          <w:lang w:val="pl-PL"/>
        </w:rPr>
        <w:t xml:space="preserve">wobec profilaktyki chorób wątroby. Okazało się, że </w:t>
      </w:r>
      <w:r w:rsidRPr="009165EB">
        <w:rPr>
          <w:b/>
          <w:bCs/>
          <w:color w:val="auto"/>
          <w:sz w:val="20"/>
          <w:szCs w:val="20"/>
          <w:lang w:val="pl-PL"/>
        </w:rPr>
        <w:t xml:space="preserve">44% respondentów nigdy nie wykonało żadnego badania pod kątem chorób wątroby! </w:t>
      </w:r>
      <w:r w:rsidRPr="00D15A7B">
        <w:rPr>
          <w:sz w:val="20"/>
          <w:szCs w:val="20"/>
          <w:lang w:val="pl-PL"/>
        </w:rPr>
        <w:t>Na</w:t>
      </w:r>
      <w:r w:rsidR="009165EB">
        <w:rPr>
          <w:sz w:val="20"/>
          <w:szCs w:val="20"/>
          <w:lang w:val="pl-PL"/>
        </w:rPr>
        <w:t> </w:t>
      </w:r>
      <w:r w:rsidRPr="00D15A7B">
        <w:rPr>
          <w:sz w:val="20"/>
          <w:szCs w:val="20"/>
          <w:lang w:val="pl-PL"/>
        </w:rPr>
        <w:t>badania krwi w tym kierunku zdecydowało się</w:t>
      </w:r>
      <w:r>
        <w:rPr>
          <w:sz w:val="20"/>
          <w:szCs w:val="20"/>
          <w:lang w:val="pl-PL"/>
        </w:rPr>
        <w:t xml:space="preserve"> 47</w:t>
      </w:r>
      <w:r w:rsidRPr="00D15A7B">
        <w:rPr>
          <w:sz w:val="20"/>
          <w:szCs w:val="20"/>
          <w:lang w:val="pl-PL"/>
        </w:rPr>
        <w:t xml:space="preserve">% </w:t>
      </w:r>
      <w:r>
        <w:rPr>
          <w:sz w:val="20"/>
          <w:szCs w:val="20"/>
          <w:lang w:val="pl-PL"/>
        </w:rPr>
        <w:t>ankietowanych</w:t>
      </w:r>
      <w:r w:rsidRPr="00D15A7B">
        <w:rPr>
          <w:sz w:val="20"/>
          <w:szCs w:val="20"/>
          <w:lang w:val="pl-PL"/>
        </w:rPr>
        <w:t xml:space="preserve">, natomiast na badanie USG </w:t>
      </w:r>
      <w:r>
        <w:rPr>
          <w:sz w:val="20"/>
          <w:szCs w:val="20"/>
          <w:lang w:val="pl-PL"/>
        </w:rPr>
        <w:t>jedynie</w:t>
      </w:r>
      <w:r w:rsidRPr="00D15A7B">
        <w:rPr>
          <w:sz w:val="20"/>
          <w:szCs w:val="20"/>
          <w:lang w:val="pl-PL"/>
        </w:rPr>
        <w:t xml:space="preserve"> </w:t>
      </w:r>
      <w:r>
        <w:rPr>
          <w:sz w:val="20"/>
          <w:szCs w:val="20"/>
          <w:lang w:val="pl-PL"/>
        </w:rPr>
        <w:t>22</w:t>
      </w:r>
      <w:r w:rsidRPr="00D15A7B">
        <w:rPr>
          <w:sz w:val="20"/>
          <w:szCs w:val="20"/>
          <w:lang w:val="pl-PL"/>
        </w:rPr>
        <w:t>%</w:t>
      </w:r>
      <w:r w:rsidRPr="00FB3178">
        <w:rPr>
          <w:rStyle w:val="Odwoanieprzypisudolnego"/>
          <w:color w:val="auto"/>
          <w:sz w:val="20"/>
          <w:szCs w:val="20"/>
          <w:lang w:val="pl-PL"/>
        </w:rPr>
        <w:footnoteReference w:id="11"/>
      </w:r>
      <w:r>
        <w:rPr>
          <w:sz w:val="20"/>
          <w:szCs w:val="20"/>
          <w:lang w:val="pl-PL"/>
        </w:rPr>
        <w:t>.</w:t>
      </w:r>
    </w:p>
    <w:p w14:paraId="00694B1B" w14:textId="6272EF99" w:rsidR="0072392C" w:rsidRDefault="0072392C" w:rsidP="007725E5">
      <w:pPr>
        <w:spacing w:after="0" w:line="240" w:lineRule="auto"/>
        <w:contextualSpacing/>
        <w:rPr>
          <w:sz w:val="20"/>
          <w:szCs w:val="20"/>
          <w:lang w:val="pl-PL"/>
        </w:rPr>
      </w:pPr>
    </w:p>
    <w:p w14:paraId="10345C91" w14:textId="293BA543" w:rsidR="001B2C81" w:rsidRDefault="0072392C" w:rsidP="001B2C81">
      <w:pPr>
        <w:pStyle w:val="NormalnyWeb"/>
        <w:spacing w:before="0" w:beforeAutospacing="0" w:after="0" w:afterAutospacing="0"/>
        <w:jc w:val="both"/>
        <w:rPr>
          <w:rFonts w:asciiTheme="majorHAnsi" w:hAnsiTheme="majorHAnsi"/>
          <w:color w:val="000000"/>
          <w:sz w:val="20"/>
          <w:szCs w:val="20"/>
          <w:lang w:val="pl-PL"/>
        </w:rPr>
      </w:pPr>
      <w:r w:rsidRPr="002A54E2">
        <w:rPr>
          <w:rFonts w:asciiTheme="majorHAnsi" w:hAnsiTheme="majorHAnsi"/>
          <w:sz w:val="20"/>
          <w:szCs w:val="20"/>
          <w:lang w:val="pl-PL"/>
        </w:rPr>
        <w:t xml:space="preserve">Osią kampanii </w:t>
      </w:r>
      <w:r w:rsidR="00EC6E9B" w:rsidRPr="002A54E2">
        <w:rPr>
          <w:rFonts w:asciiTheme="majorHAnsi" w:hAnsiTheme="majorHAnsi"/>
          <w:sz w:val="20"/>
          <w:szCs w:val="20"/>
          <w:lang w:val="pl-PL"/>
        </w:rPr>
        <w:t>stała się</w:t>
      </w:r>
      <w:r w:rsidRPr="002A54E2">
        <w:rPr>
          <w:rFonts w:asciiTheme="majorHAnsi" w:hAnsiTheme="majorHAnsi"/>
          <w:sz w:val="20"/>
          <w:szCs w:val="20"/>
          <w:lang w:val="pl-PL"/>
        </w:rPr>
        <w:t xml:space="preserve"> </w:t>
      </w:r>
      <w:hyperlink r:id="rId11" w:history="1">
        <w:r w:rsidRPr="002A54E2">
          <w:rPr>
            <w:rStyle w:val="Hipercze"/>
            <w:rFonts w:asciiTheme="majorHAnsi" w:hAnsiTheme="majorHAnsi"/>
            <w:sz w:val="20"/>
            <w:szCs w:val="20"/>
            <w:lang w:val="pl-PL"/>
          </w:rPr>
          <w:t>platforma edukacyjna „Prowadź się zdrowo”</w:t>
        </w:r>
      </w:hyperlink>
      <w:r w:rsidRPr="002A54E2">
        <w:rPr>
          <w:rFonts w:asciiTheme="majorHAnsi" w:hAnsiTheme="majorHAnsi"/>
          <w:sz w:val="20"/>
          <w:szCs w:val="20"/>
          <w:lang w:val="pl-PL"/>
        </w:rPr>
        <w:t>, z kluczowym elementem – krótkim, intuicyjnym testem ryzyka stłuszczenia wątroby</w:t>
      </w:r>
      <w:r w:rsidRPr="002A54E2">
        <w:rPr>
          <w:rStyle w:val="Odwoanieprzypisudolnego"/>
          <w:rFonts w:asciiTheme="majorHAnsi" w:hAnsiTheme="majorHAnsi"/>
          <w:sz w:val="20"/>
          <w:szCs w:val="20"/>
          <w:lang w:val="pl-PL"/>
        </w:rPr>
        <w:footnoteReference w:id="12"/>
      </w:r>
      <w:r w:rsidRPr="002A54E2">
        <w:rPr>
          <w:rFonts w:asciiTheme="majorHAnsi" w:hAnsiTheme="majorHAnsi"/>
          <w:sz w:val="20"/>
          <w:szCs w:val="20"/>
          <w:lang w:val="pl-PL"/>
        </w:rPr>
        <w:t>. Na platformie znajdują się porady</w:t>
      </w:r>
      <w:r w:rsidR="009165EB" w:rsidRPr="002A54E2">
        <w:rPr>
          <w:rFonts w:asciiTheme="majorHAnsi" w:hAnsiTheme="majorHAnsi"/>
          <w:sz w:val="20"/>
          <w:szCs w:val="20"/>
          <w:lang w:val="pl-PL"/>
        </w:rPr>
        <w:t>,</w:t>
      </w:r>
      <w:r w:rsidRPr="002A54E2">
        <w:rPr>
          <w:rFonts w:asciiTheme="majorHAnsi" w:hAnsiTheme="majorHAnsi"/>
          <w:sz w:val="20"/>
          <w:szCs w:val="20"/>
          <w:lang w:val="pl-PL"/>
        </w:rPr>
        <w:t xml:space="preserve"> pokazujące jak w prosty sposób </w:t>
      </w:r>
      <w:r w:rsidR="001B2C81" w:rsidRPr="002A54E2">
        <w:rPr>
          <w:rFonts w:asciiTheme="majorHAnsi" w:hAnsiTheme="majorHAnsi"/>
          <w:sz w:val="20"/>
          <w:szCs w:val="20"/>
          <w:lang w:val="pl-PL"/>
        </w:rPr>
        <w:t xml:space="preserve">wziąć zdrowie </w:t>
      </w:r>
      <w:r w:rsidRPr="002A54E2">
        <w:rPr>
          <w:rFonts w:asciiTheme="majorHAnsi" w:hAnsiTheme="majorHAnsi"/>
          <w:sz w:val="20"/>
          <w:szCs w:val="20"/>
          <w:lang w:val="pl-PL"/>
        </w:rPr>
        <w:t>wątrob</w:t>
      </w:r>
      <w:r w:rsidR="001B2C81" w:rsidRPr="002A54E2">
        <w:rPr>
          <w:rFonts w:asciiTheme="majorHAnsi" w:hAnsiTheme="majorHAnsi"/>
          <w:sz w:val="20"/>
          <w:szCs w:val="20"/>
          <w:lang w:val="pl-PL"/>
        </w:rPr>
        <w:t xml:space="preserve">y w swoje ręce </w:t>
      </w:r>
      <w:r w:rsidR="004B4CC6" w:rsidRPr="002A54E2">
        <w:rPr>
          <w:rFonts w:asciiTheme="majorHAnsi" w:hAnsiTheme="majorHAnsi"/>
          <w:color w:val="000000"/>
          <w:sz w:val="20"/>
          <w:szCs w:val="20"/>
          <w:lang w:val="pl-PL"/>
        </w:rPr>
        <w:t>poprzez</w:t>
      </w:r>
      <w:r w:rsidR="001B2C81" w:rsidRPr="002A54E2">
        <w:rPr>
          <w:rFonts w:asciiTheme="majorHAnsi" w:hAnsiTheme="majorHAnsi"/>
          <w:color w:val="000000"/>
          <w:sz w:val="20"/>
          <w:szCs w:val="20"/>
          <w:lang w:val="pl-PL"/>
        </w:rPr>
        <w:t xml:space="preserve"> świadome stosowanie praktyk z zakresu </w:t>
      </w:r>
      <w:proofErr w:type="spellStart"/>
      <w:r w:rsidR="001B2C81" w:rsidRPr="002A54E2">
        <w:rPr>
          <w:rFonts w:asciiTheme="majorHAnsi" w:hAnsiTheme="majorHAnsi"/>
          <w:color w:val="000000"/>
          <w:sz w:val="20"/>
          <w:szCs w:val="20"/>
          <w:lang w:val="pl-PL"/>
        </w:rPr>
        <w:t>selfcare</w:t>
      </w:r>
      <w:proofErr w:type="spellEnd"/>
      <w:r w:rsidR="004B4CC6">
        <w:rPr>
          <w:rFonts w:asciiTheme="majorHAnsi" w:hAnsiTheme="majorHAnsi"/>
          <w:color w:val="000000"/>
          <w:sz w:val="20"/>
          <w:szCs w:val="20"/>
          <w:lang w:val="pl-PL"/>
        </w:rPr>
        <w:t>,</w:t>
      </w:r>
      <w:r w:rsidR="001B2C81" w:rsidRPr="002A54E2">
        <w:rPr>
          <w:rFonts w:asciiTheme="majorHAnsi" w:hAnsiTheme="majorHAnsi"/>
          <w:color w:val="000000"/>
          <w:sz w:val="20"/>
          <w:szCs w:val="20"/>
          <w:lang w:val="pl-PL"/>
        </w:rPr>
        <w:t xml:space="preserve"> </w:t>
      </w:r>
      <w:r w:rsidR="004B4CC6">
        <w:rPr>
          <w:rFonts w:asciiTheme="majorHAnsi" w:hAnsiTheme="majorHAnsi"/>
          <w:color w:val="000000"/>
          <w:sz w:val="20"/>
          <w:szCs w:val="20"/>
          <w:lang w:val="pl-PL"/>
        </w:rPr>
        <w:t>takich jak dieta czy aktywność fizyczna</w:t>
      </w:r>
      <w:r w:rsidR="001B2C81" w:rsidRPr="002A54E2">
        <w:rPr>
          <w:rFonts w:asciiTheme="majorHAnsi" w:hAnsiTheme="majorHAnsi"/>
          <w:color w:val="000000"/>
          <w:sz w:val="20"/>
          <w:szCs w:val="20"/>
          <w:lang w:val="pl-PL"/>
        </w:rPr>
        <w:t>.</w:t>
      </w:r>
    </w:p>
    <w:p w14:paraId="43D82A38" w14:textId="38CB401A" w:rsidR="004B4CC6" w:rsidRDefault="004B4CC6" w:rsidP="001B2C81">
      <w:pPr>
        <w:pStyle w:val="NormalnyWeb"/>
        <w:spacing w:before="0" w:beforeAutospacing="0" w:after="0" w:afterAutospacing="0"/>
        <w:jc w:val="both"/>
        <w:rPr>
          <w:rFonts w:asciiTheme="majorHAnsi" w:hAnsiTheme="majorHAnsi"/>
          <w:color w:val="000000"/>
          <w:sz w:val="20"/>
          <w:szCs w:val="20"/>
          <w:lang w:val="pl-PL"/>
        </w:rPr>
      </w:pPr>
    </w:p>
    <w:p w14:paraId="455B7B0F" w14:textId="43CFE29E" w:rsidR="00B35049" w:rsidRDefault="00B35049" w:rsidP="007725E5">
      <w:pPr>
        <w:spacing w:after="0" w:line="240" w:lineRule="auto"/>
        <w:contextualSpacing/>
        <w:rPr>
          <w:sz w:val="20"/>
          <w:szCs w:val="20"/>
          <w:lang w:val="pl-PL"/>
        </w:rPr>
      </w:pPr>
    </w:p>
    <w:p w14:paraId="3AF93B9C" w14:textId="71E90401" w:rsidR="0072392C" w:rsidRDefault="0072392C" w:rsidP="007725E5">
      <w:pPr>
        <w:spacing w:after="0" w:line="240" w:lineRule="auto"/>
        <w:contextualSpacing/>
        <w:rPr>
          <w:sz w:val="20"/>
          <w:szCs w:val="20"/>
          <w:lang w:val="pl-PL"/>
        </w:rPr>
      </w:pPr>
    </w:p>
    <w:p w14:paraId="12B04825" w14:textId="0FCC7B73" w:rsidR="00A2623E" w:rsidRDefault="00A2623E" w:rsidP="007725E5">
      <w:pPr>
        <w:spacing w:after="0" w:line="240" w:lineRule="auto"/>
        <w:contextualSpacing/>
        <w:rPr>
          <w:sz w:val="20"/>
          <w:szCs w:val="20"/>
          <w:lang w:val="pl-PL"/>
        </w:rPr>
      </w:pPr>
    </w:p>
    <w:p w14:paraId="40F42258" w14:textId="77777777" w:rsidR="00022DFA" w:rsidRPr="00AC4F57" w:rsidRDefault="00022DFA" w:rsidP="007725E5">
      <w:pPr>
        <w:spacing w:after="0"/>
        <w:rPr>
          <w:sz w:val="10"/>
          <w:szCs w:val="10"/>
          <w:lang w:val="pl-PL"/>
        </w:rPr>
      </w:pPr>
    </w:p>
    <w:p w14:paraId="64890564" w14:textId="77777777" w:rsidR="00897AB0" w:rsidRPr="003D35CE" w:rsidRDefault="00897AB0" w:rsidP="007725E5">
      <w:pPr>
        <w:pBdr>
          <w:bottom w:val="single" w:sz="4" w:space="1" w:color="B7B7B7" w:themeColor="background2" w:themeShade="BF"/>
        </w:pBdr>
        <w:spacing w:after="0"/>
        <w:rPr>
          <w:sz w:val="10"/>
          <w:szCs w:val="10"/>
          <w:lang w:val="pl-PL"/>
        </w:rPr>
      </w:pPr>
    </w:p>
    <w:p w14:paraId="067FD920" w14:textId="77777777" w:rsidR="00976855" w:rsidRDefault="00976855" w:rsidP="00171213">
      <w:pPr>
        <w:spacing w:after="0"/>
        <w:rPr>
          <w:rFonts w:ascii="Georgia" w:hAnsi="Georgia"/>
          <w:i/>
          <w:iCs/>
          <w:color w:val="7A00E6" w:themeColor="accent2"/>
          <w:sz w:val="20"/>
          <w:szCs w:val="20"/>
          <w:lang w:val="pl-PL"/>
        </w:rPr>
      </w:pPr>
    </w:p>
    <w:p w14:paraId="07F73B10" w14:textId="77777777" w:rsidR="00022DFA" w:rsidRPr="00022DFA" w:rsidRDefault="00022DFA" w:rsidP="00022DFA">
      <w:pPr>
        <w:spacing w:after="0"/>
        <w:rPr>
          <w:color w:val="7030A0"/>
          <w:sz w:val="20"/>
          <w:szCs w:val="20"/>
          <w:lang w:val="pl-PL"/>
        </w:rPr>
      </w:pPr>
      <w:r w:rsidRPr="00022DFA">
        <w:rPr>
          <w:rFonts w:ascii="Georgia" w:hAnsi="Georgia"/>
          <w:i/>
          <w:iCs/>
          <w:color w:val="7030A0"/>
          <w:sz w:val="20"/>
          <w:szCs w:val="20"/>
          <w:lang w:val="pl-PL"/>
        </w:rPr>
        <w:t>O kampanii</w:t>
      </w:r>
    </w:p>
    <w:p w14:paraId="32A17961" w14:textId="77777777" w:rsidR="00022DFA" w:rsidRPr="00022DFA" w:rsidRDefault="00022DFA" w:rsidP="00022DFA">
      <w:pPr>
        <w:spacing w:after="0"/>
        <w:rPr>
          <w:sz w:val="16"/>
          <w:szCs w:val="16"/>
          <w:lang w:val="pl-PL"/>
        </w:rPr>
      </w:pPr>
      <w:r w:rsidRPr="00022DFA">
        <w:rPr>
          <w:sz w:val="16"/>
          <w:szCs w:val="16"/>
          <w:lang w:val="pl-PL"/>
        </w:rPr>
        <w:t>Celem kampanii „Prowadź się zdrowo” jest podnoszenie świadomości na temat znaczenia konieczności dbania o własne zdrowie, szczególnie wśród mężczyzn po 40. roku życia. To właśnie ta grupa jest jedną z grup, narażonych na niealkoholową stłuszczeniową chorobę wątroby (NAFLD), która nie daje żadnych wyraźnych objawów lub daje objawy charakterystyczne dla wielu innych chorób</w:t>
      </w:r>
      <w:r>
        <w:rPr>
          <w:rStyle w:val="Odwoanieprzypisudolnego"/>
          <w:sz w:val="16"/>
          <w:szCs w:val="16"/>
        </w:rPr>
        <w:footnoteReference w:id="13"/>
      </w:r>
      <w:r w:rsidRPr="00022DFA">
        <w:rPr>
          <w:sz w:val="16"/>
          <w:szCs w:val="16"/>
          <w:lang w:val="pl-PL"/>
        </w:rPr>
        <w:t xml:space="preserve">. </w:t>
      </w:r>
    </w:p>
    <w:p w14:paraId="77BA4A4A" w14:textId="77777777" w:rsidR="00022DFA" w:rsidRPr="00022DFA" w:rsidRDefault="00022DFA" w:rsidP="00022DFA">
      <w:pPr>
        <w:spacing w:after="0"/>
        <w:rPr>
          <w:b/>
          <w:bCs/>
          <w:sz w:val="10"/>
          <w:szCs w:val="10"/>
          <w:lang w:val="pl-PL"/>
        </w:rPr>
      </w:pPr>
    </w:p>
    <w:p w14:paraId="40C0E0BC" w14:textId="77777777" w:rsidR="00022DFA" w:rsidRPr="00022DFA" w:rsidRDefault="00022DFA" w:rsidP="00022DFA">
      <w:pPr>
        <w:spacing w:after="0"/>
        <w:rPr>
          <w:sz w:val="16"/>
          <w:szCs w:val="16"/>
          <w:lang w:val="pl-PL"/>
        </w:rPr>
      </w:pPr>
      <w:r w:rsidRPr="00022DFA">
        <w:rPr>
          <w:b/>
          <w:bCs/>
          <w:sz w:val="16"/>
          <w:szCs w:val="16"/>
          <w:lang w:val="pl-PL"/>
        </w:rPr>
        <w:t>Ambasadorami</w:t>
      </w:r>
      <w:r w:rsidRPr="00022DFA">
        <w:rPr>
          <w:sz w:val="16"/>
          <w:szCs w:val="16"/>
          <w:lang w:val="pl-PL"/>
        </w:rPr>
        <w:t xml:space="preserve"> akcji zostali utytułowani kierowcy rajdowi – Kuba Przygoński, zdobywca Pucharu Świata w Rajdach Cross Country 2018 oraz Mikołaj Marczyk, Mistrz Polski i Europy Juniorów 2021. </w:t>
      </w:r>
    </w:p>
    <w:p w14:paraId="427A5CD8" w14:textId="77777777" w:rsidR="00022DFA" w:rsidRPr="00022DFA" w:rsidRDefault="00022DFA" w:rsidP="00022DFA">
      <w:pPr>
        <w:spacing w:after="0"/>
        <w:rPr>
          <w:sz w:val="16"/>
          <w:szCs w:val="16"/>
          <w:lang w:val="pl-PL"/>
        </w:rPr>
      </w:pPr>
      <w:r w:rsidRPr="00022DFA">
        <w:rPr>
          <w:b/>
          <w:bCs/>
          <w:sz w:val="16"/>
          <w:szCs w:val="16"/>
          <w:lang w:val="pl-PL"/>
        </w:rPr>
        <w:lastRenderedPageBreak/>
        <w:t>Partnerami</w:t>
      </w:r>
      <w:r w:rsidRPr="00022DFA">
        <w:rPr>
          <w:sz w:val="16"/>
          <w:szCs w:val="16"/>
          <w:lang w:val="pl-PL"/>
        </w:rPr>
        <w:t xml:space="preserve"> akcji są: Speed Car – ogólnopolska sieć stacji kontroli pojazdów, Truckers Life – największa polska organizacja pozarządowa działająca na rzecz poprawy zdrowia i bezpieczeństwa kierowców zawodowych oraz Youngtimers Warsaw – podmiot zrzeszający fanów klasycznej motoryzacji.</w:t>
      </w:r>
    </w:p>
    <w:p w14:paraId="6B48AE6C" w14:textId="77777777" w:rsidR="00022DFA" w:rsidRPr="00022DFA" w:rsidRDefault="00022DFA" w:rsidP="00022DFA">
      <w:pPr>
        <w:spacing w:after="0"/>
        <w:rPr>
          <w:rFonts w:ascii="Georgia" w:hAnsi="Georgia"/>
          <w:i/>
          <w:iCs/>
          <w:color w:val="7A00E6" w:themeColor="accent2"/>
          <w:sz w:val="20"/>
          <w:szCs w:val="20"/>
          <w:lang w:val="pl-PL"/>
        </w:rPr>
      </w:pPr>
    </w:p>
    <w:p w14:paraId="5E584AE9" w14:textId="77777777" w:rsidR="00022DFA" w:rsidRPr="00022DFA" w:rsidRDefault="00022DFA" w:rsidP="00022DFA">
      <w:pPr>
        <w:spacing w:after="0"/>
        <w:rPr>
          <w:color w:val="7030A0"/>
          <w:sz w:val="20"/>
          <w:szCs w:val="20"/>
          <w:lang w:val="pl-PL"/>
        </w:rPr>
      </w:pPr>
      <w:r w:rsidRPr="00022DFA">
        <w:rPr>
          <w:rFonts w:ascii="Georgia" w:hAnsi="Georgia"/>
          <w:i/>
          <w:iCs/>
          <w:color w:val="7030A0"/>
          <w:sz w:val="20"/>
          <w:szCs w:val="20"/>
          <w:lang w:val="pl-PL"/>
        </w:rPr>
        <w:t>O Sanofi</w:t>
      </w:r>
      <w:r w:rsidRPr="00022DFA">
        <w:rPr>
          <w:color w:val="7030A0"/>
          <w:sz w:val="20"/>
          <w:szCs w:val="20"/>
          <w:lang w:val="pl-PL"/>
        </w:rPr>
        <w:t xml:space="preserve"> </w:t>
      </w:r>
    </w:p>
    <w:p w14:paraId="7C3EB936" w14:textId="77777777" w:rsidR="00022DFA" w:rsidRPr="00022DFA" w:rsidRDefault="00022DFA" w:rsidP="00022DFA">
      <w:pPr>
        <w:spacing w:after="0" w:line="240" w:lineRule="auto"/>
        <w:rPr>
          <w:sz w:val="16"/>
          <w:szCs w:val="16"/>
          <w:lang w:val="pl-PL"/>
        </w:rPr>
      </w:pPr>
      <w:r w:rsidRPr="00022DFA">
        <w:rPr>
          <w:sz w:val="16"/>
          <w:szCs w:val="16"/>
          <w:lang w:val="pl-PL"/>
        </w:rPr>
        <w:t>Sanofi to innowacyjna, globalna firma biofarmaceutyczna, której przyświeca jeden cel, aby zgodnie z hasłem „We chase the miracles of science to improve people’s lives”, stawiając na potęgę nauki, zmieniać świat na lepsze. W 100 krajach zaangażowane i utalentowane zespoły pracują na rzecz zmiany oblicza medycyny, czyniąc niemożliwe możliwym. Firma tworzy terapie oraz szczepionki, które ratują życie milionom ludzi na całym świecie. Kluczowym punktem ambicji firmy jest zrównoważony rozwój i odpowiedzialność społeczna. Sanofi zatrudnia w Polsce blisko 900 pracowników. Jedna z fabryk Sanofi zlokalizowana jest w Rzeszowie. Co roku firma produkuje w rzeszowskim zakładzie ponad 70 milionów produktów leczniczych, które trafiają zarówno na rynek polski jak i do 30 innych krajów.</w:t>
      </w:r>
    </w:p>
    <w:p w14:paraId="0D545464" w14:textId="77777777" w:rsidR="00022DFA" w:rsidRPr="00022DFA" w:rsidRDefault="00022DFA" w:rsidP="00022DFA">
      <w:pPr>
        <w:spacing w:after="0" w:line="240" w:lineRule="auto"/>
        <w:rPr>
          <w:sz w:val="16"/>
          <w:szCs w:val="16"/>
          <w:lang w:val="pl-PL"/>
        </w:rPr>
      </w:pPr>
      <w:r w:rsidRPr="00022DFA">
        <w:rPr>
          <w:sz w:val="16"/>
          <w:szCs w:val="16"/>
          <w:lang w:val="pl-PL"/>
        </w:rPr>
        <w:t xml:space="preserve">Siedziba główna Sanofi mieści się w Warszawie, a centrum dystrybucyjne w podwarszawskich Błoniach. Firma notowana jest na giełdach EURONEXT: SAN i NASDAQ: SNY. </w:t>
      </w:r>
    </w:p>
    <w:p w14:paraId="773638E5" w14:textId="6838EB64" w:rsidR="00022DFA" w:rsidRPr="00022DFA" w:rsidRDefault="00022DFA" w:rsidP="00022DFA">
      <w:pPr>
        <w:spacing w:after="0" w:line="240" w:lineRule="auto"/>
        <w:rPr>
          <w:rFonts w:ascii="Georgia" w:hAnsi="Georgia"/>
          <w:i/>
          <w:iCs/>
          <w:color w:val="7030A0"/>
          <w:sz w:val="20"/>
          <w:szCs w:val="20"/>
          <w:lang w:val="pl-PL"/>
        </w:rPr>
      </w:pPr>
      <w:r w:rsidRPr="00022DFA">
        <w:rPr>
          <w:rFonts w:ascii="Arial" w:eastAsia="Arial" w:hAnsi="Arial" w:cs="Arial"/>
          <w:color w:val="000000"/>
          <w:sz w:val="16"/>
          <w:lang w:val="pl-PL"/>
        </w:rPr>
        <w:t xml:space="preserve">Więcej informacji: </w:t>
      </w:r>
      <w:hyperlink r:id="rId12">
        <w:r w:rsidRPr="00022DFA">
          <w:rPr>
            <w:rFonts w:ascii="Arial" w:eastAsia="Arial" w:hAnsi="Arial" w:cs="Arial"/>
            <w:color w:val="0000FF"/>
            <w:sz w:val="16"/>
            <w:u w:val="single"/>
            <w:lang w:val="pl-PL"/>
          </w:rPr>
          <w:t>www.sanofi.pl</w:t>
        </w:r>
      </w:hyperlink>
      <w:r w:rsidRPr="00022DFA">
        <w:rPr>
          <w:rFonts w:ascii="Arial" w:eastAsia="Arial" w:hAnsi="Arial" w:cs="Arial"/>
          <w:sz w:val="16"/>
          <w:lang w:val="pl-PL"/>
        </w:rPr>
        <w:t xml:space="preserve"> </w:t>
      </w:r>
      <w:r>
        <w:object w:dxaOrig="283" w:dyaOrig="283" w14:anchorId="05D0BAF7">
          <v:rect id="_x0000_i1025" style="width:15.5pt;height:15.5pt" o:ole="" o:preferrelative="t" stroked="f">
            <v:imagedata r:id="rId13" o:title=""/>
          </v:rect>
          <o:OLEObject Type="Embed" ProgID="StaticMetafile" ShapeID="_x0000_i1025" DrawAspect="Content" ObjectID="_1743836407" r:id="rId14"/>
        </w:object>
      </w:r>
      <w:hyperlink r:id="rId15" w:history="1">
        <w:r w:rsidRPr="00022DFA">
          <w:rPr>
            <w:rStyle w:val="Hipercze"/>
            <w:rFonts w:ascii="Arial" w:eastAsia="Arial" w:hAnsi="Arial" w:cs="Arial"/>
            <w:sz w:val="16"/>
            <w:lang w:val="pl-PL"/>
          </w:rPr>
          <w:t xml:space="preserve">Sanofi Polska </w:t>
        </w:r>
        <w:r>
          <w:object w:dxaOrig="283" w:dyaOrig="283" w14:anchorId="33A157E5">
            <v:rect id="_x0000_i1026" style="width:15.5pt;height:15.5pt" o:ole="" o:preferrelative="t" stroked="f">
              <v:imagedata r:id="rId16" o:title=""/>
            </v:rect>
            <o:OLEObject Type="Embed" ProgID="StaticMetafile" ShapeID="_x0000_i1026" DrawAspect="Content" ObjectID="_1743836408" r:id="rId17"/>
          </w:object>
        </w:r>
        <w:r w:rsidRPr="00022DFA">
          <w:rPr>
            <w:rStyle w:val="Hipercze"/>
            <w:rFonts w:ascii="Arial" w:eastAsia="Arial" w:hAnsi="Arial" w:cs="Arial"/>
            <w:vanish/>
            <w:sz w:val="16"/>
            <w:lang w:val="pl-PL"/>
          </w:rPr>
          <w:t>HYPERLINK "https://pl.linkedin.com/company/sanofi-polska"</w:t>
        </w:r>
        <w:r w:rsidRPr="00022DFA">
          <w:rPr>
            <w:rStyle w:val="Hipercze"/>
            <w:rFonts w:ascii="Arial" w:eastAsia="Arial" w:hAnsi="Arial" w:cs="Arial"/>
            <w:sz w:val="16"/>
            <w:lang w:val="pl-PL"/>
          </w:rPr>
          <w:t>@SanofiPolska</w:t>
        </w:r>
      </w:hyperlink>
      <w:r w:rsidRPr="00022DFA">
        <w:rPr>
          <w:rFonts w:ascii="Arial" w:eastAsia="Arial" w:hAnsi="Arial" w:cs="Arial"/>
          <w:color w:val="0000FF"/>
          <w:sz w:val="16"/>
          <w:u w:val="single"/>
          <w:lang w:val="pl-PL"/>
        </w:rPr>
        <w:t xml:space="preserve"> </w:t>
      </w:r>
      <w:r>
        <w:object w:dxaOrig="425" w:dyaOrig="283" w14:anchorId="4FB5AE94">
          <v:rect id="_x0000_i1027" style="width:21pt;height:15.5pt" o:ole="" o:preferrelative="t" stroked="f">
            <v:imagedata r:id="rId18" o:title=""/>
          </v:rect>
          <o:OLEObject Type="Embed" ProgID="StaticMetafile" ShapeID="_x0000_i1027" DrawAspect="Content" ObjectID="_1743836409" r:id="rId19"/>
        </w:object>
      </w:r>
      <w:proofErr w:type="spellStart"/>
      <w:r w:rsidRPr="00022DFA">
        <w:rPr>
          <w:rFonts w:ascii="Arial" w:eastAsia="Arial" w:hAnsi="Arial" w:cs="Arial"/>
          <w:color w:val="0000FF"/>
          <w:sz w:val="16"/>
          <w:u w:val="single"/>
          <w:lang w:val="pl-PL"/>
        </w:rPr>
        <w:t>SanofiPolska</w:t>
      </w:r>
      <w:proofErr w:type="spellEnd"/>
    </w:p>
    <w:p w14:paraId="7631AEB6" w14:textId="77777777" w:rsidR="00022DFA" w:rsidRPr="00022DFA" w:rsidRDefault="00022DFA" w:rsidP="00022DFA">
      <w:pPr>
        <w:spacing w:after="0" w:line="240" w:lineRule="auto"/>
        <w:rPr>
          <w:rFonts w:ascii="Georgia" w:hAnsi="Georgia"/>
          <w:i/>
          <w:iCs/>
          <w:color w:val="7030A0"/>
          <w:sz w:val="20"/>
          <w:szCs w:val="20"/>
          <w:lang w:val="pl-PL"/>
        </w:rPr>
      </w:pPr>
    </w:p>
    <w:p w14:paraId="6B087054" w14:textId="77777777" w:rsidR="00022DFA" w:rsidRPr="00022DFA" w:rsidRDefault="00022DFA" w:rsidP="00022DFA">
      <w:pPr>
        <w:spacing w:after="0" w:line="240" w:lineRule="auto"/>
        <w:rPr>
          <w:rFonts w:ascii="Georgia" w:hAnsi="Georgia"/>
          <w:i/>
          <w:iCs/>
          <w:color w:val="7030A0"/>
          <w:sz w:val="8"/>
          <w:szCs w:val="8"/>
          <w:lang w:val="pl-PL"/>
        </w:rPr>
      </w:pPr>
    </w:p>
    <w:p w14:paraId="3DCA3C3A" w14:textId="77777777" w:rsidR="00022DFA" w:rsidRPr="00022DFA" w:rsidRDefault="00022DFA" w:rsidP="00022DFA">
      <w:pPr>
        <w:spacing w:after="0" w:line="240" w:lineRule="auto"/>
        <w:rPr>
          <w:rFonts w:ascii="Georgia" w:hAnsi="Georgia"/>
          <w:i/>
          <w:iCs/>
          <w:color w:val="7030A0"/>
          <w:sz w:val="20"/>
          <w:szCs w:val="20"/>
          <w:lang w:val="pl-PL"/>
        </w:rPr>
      </w:pPr>
      <w:r w:rsidRPr="00022DFA">
        <w:rPr>
          <w:rFonts w:ascii="Georgia" w:hAnsi="Georgia"/>
          <w:i/>
          <w:iCs/>
          <w:color w:val="7030A0"/>
          <w:sz w:val="20"/>
          <w:szCs w:val="20"/>
          <w:lang w:val="pl-PL"/>
        </w:rPr>
        <w:t>Media Relations</w:t>
      </w:r>
    </w:p>
    <w:p w14:paraId="102026D6" w14:textId="77777777" w:rsidR="009165EB" w:rsidRPr="00996F13" w:rsidRDefault="009165EB" w:rsidP="009165EB">
      <w:pPr>
        <w:spacing w:after="0" w:line="240" w:lineRule="auto"/>
        <w:rPr>
          <w:rFonts w:ascii="Calibri" w:eastAsia="Times New Roman" w:hAnsi="Calibri" w:cs="Calibri"/>
          <w:color w:val="000000"/>
          <w:sz w:val="22"/>
          <w:szCs w:val="22"/>
          <w:lang w:val="pl-PL" w:eastAsia="fr-FR"/>
        </w:rPr>
      </w:pPr>
      <w:r w:rsidRPr="00693B0B">
        <w:rPr>
          <w:rFonts w:eastAsia="Times New Roman" w:cs="Calibri"/>
          <w:b/>
          <w:bCs/>
          <w:color w:val="000000"/>
          <w:sz w:val="16"/>
          <w:szCs w:val="16"/>
          <w:lang w:val="pl-PL" w:eastAsia="fr-FR"/>
        </w:rPr>
        <w:t>MSL Group Sp. z o. o.</w:t>
      </w:r>
      <w:r>
        <w:rPr>
          <w:rFonts w:eastAsia="Times New Roman" w:cs="Calibri"/>
          <w:b/>
          <w:bCs/>
          <w:color w:val="000000"/>
          <w:sz w:val="16"/>
          <w:szCs w:val="16"/>
          <w:lang w:val="pl-PL" w:eastAsia="fr-FR"/>
        </w:rPr>
        <w:t>:</w:t>
      </w:r>
      <w:r w:rsidRPr="00693B0B">
        <w:rPr>
          <w:rFonts w:eastAsia="Times New Roman" w:cs="Calibri"/>
          <w:color w:val="000000"/>
          <w:sz w:val="16"/>
          <w:szCs w:val="16"/>
          <w:lang w:val="pl-PL" w:eastAsia="fr-FR"/>
        </w:rPr>
        <w:t> </w:t>
      </w:r>
      <w:r w:rsidRPr="00996F13">
        <w:rPr>
          <w:rFonts w:eastAsia="Times New Roman" w:cs="Calibri"/>
          <w:color w:val="000000"/>
          <w:sz w:val="16"/>
          <w:szCs w:val="16"/>
          <w:lang w:val="pl-PL" w:eastAsia="fr-FR"/>
        </w:rPr>
        <w:t>Katarzyna Puchacz</w:t>
      </w:r>
      <w:r>
        <w:rPr>
          <w:rFonts w:eastAsia="Times New Roman" w:cs="Calibri"/>
          <w:color w:val="000000"/>
          <w:sz w:val="16"/>
          <w:szCs w:val="16"/>
          <w:lang w:val="pl-PL" w:eastAsia="fr-FR"/>
        </w:rPr>
        <w:t xml:space="preserve"> </w:t>
      </w:r>
      <w:r w:rsidRPr="00996F13">
        <w:rPr>
          <w:rFonts w:eastAsia="Times New Roman" w:cs="Calibri"/>
          <w:color w:val="000000"/>
          <w:sz w:val="16"/>
          <w:szCs w:val="16"/>
          <w:lang w:val="pl-PL" w:eastAsia="fr-FR"/>
        </w:rPr>
        <w:t>| 515 115 087 | katarzyna.puchacz@mslgroup.com</w:t>
      </w:r>
    </w:p>
    <w:p w14:paraId="3CA4E285" w14:textId="77777777" w:rsidR="00022DFA" w:rsidRPr="00022DFA" w:rsidRDefault="00022DFA" w:rsidP="00022DFA">
      <w:pPr>
        <w:spacing w:after="0" w:line="240" w:lineRule="auto"/>
        <w:rPr>
          <w:rFonts w:eastAsia="Times New Roman" w:cs="Calibri"/>
          <w:color w:val="000000"/>
          <w:lang w:val="pl-PL" w:eastAsia="fr-FR"/>
        </w:rPr>
      </w:pPr>
      <w:r w:rsidRPr="00022DFA">
        <w:rPr>
          <w:rFonts w:eastAsia="Times New Roman" w:cs="Calibri"/>
          <w:b/>
          <w:bCs/>
          <w:color w:val="000000"/>
          <w:sz w:val="16"/>
          <w:szCs w:val="16"/>
          <w:lang w:val="pl-PL" w:eastAsia="fr-FR"/>
        </w:rPr>
        <w:t xml:space="preserve">Sanofi: </w:t>
      </w:r>
      <w:r w:rsidRPr="00022DFA">
        <w:rPr>
          <w:rFonts w:eastAsia="Times New Roman" w:cs="Calibri"/>
          <w:color w:val="000000"/>
          <w:sz w:val="16"/>
          <w:szCs w:val="16"/>
          <w:lang w:val="pl-PL" w:eastAsia="fr-FR"/>
        </w:rPr>
        <w:t>Renata Olejowska| 609 596 889 | renata.olejowska@sanofi.com</w:t>
      </w:r>
    </w:p>
    <w:p w14:paraId="1C92EAB3" w14:textId="77777777" w:rsidR="00022DFA" w:rsidRPr="00022DFA" w:rsidRDefault="00022DFA" w:rsidP="00022DFA">
      <w:pPr>
        <w:spacing w:after="0"/>
        <w:rPr>
          <w:rFonts w:ascii="Georgia" w:hAnsi="Georgia"/>
          <w:i/>
          <w:iCs/>
          <w:color w:val="7030A0"/>
          <w:sz w:val="20"/>
          <w:szCs w:val="20"/>
          <w:lang w:val="pl-PL"/>
        </w:rPr>
      </w:pPr>
    </w:p>
    <w:p w14:paraId="002ABAC7" w14:textId="15054264" w:rsidR="00455B00" w:rsidRPr="00996F13" w:rsidRDefault="00455B00" w:rsidP="00022DFA">
      <w:pPr>
        <w:spacing w:after="0"/>
        <w:rPr>
          <w:rFonts w:ascii="Calibri" w:eastAsia="Times New Roman" w:hAnsi="Calibri" w:cs="Calibri"/>
          <w:color w:val="000000"/>
          <w:sz w:val="22"/>
          <w:szCs w:val="22"/>
          <w:lang w:val="pl-PL" w:eastAsia="fr-FR"/>
        </w:rPr>
      </w:pPr>
    </w:p>
    <w:sectPr w:rsidR="00455B00" w:rsidRPr="00996F13" w:rsidSect="00990BFD">
      <w:footerReference w:type="default" r:id="rId20"/>
      <w:headerReference w:type="first" r:id="rId21"/>
      <w:footerReference w:type="first" r:id="rId22"/>
      <w:type w:val="continuous"/>
      <w:pgSz w:w="11906" w:h="16838" w:code="9"/>
      <w:pgMar w:top="1134" w:right="1134" w:bottom="1134" w:left="1134" w:header="96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339D" w14:textId="77777777" w:rsidR="00D43EA6" w:rsidRDefault="00D43EA6" w:rsidP="00144D0D"/>
  </w:endnote>
  <w:endnote w:type="continuationSeparator" w:id="0">
    <w:p w14:paraId="2C23554A" w14:textId="77777777" w:rsidR="00D43EA6" w:rsidRDefault="00D43EA6" w:rsidP="00144D0D">
      <w:r>
        <w:continuationSeparator/>
      </w:r>
    </w:p>
  </w:endnote>
  <w:endnote w:type="continuationNotice" w:id="1">
    <w:p w14:paraId="28FF379F" w14:textId="77777777" w:rsidR="00D43EA6" w:rsidRDefault="00D43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A75F" w14:textId="45900AE7" w:rsidR="007B0BBD" w:rsidRPr="00C51472" w:rsidRDefault="00A72B87" w:rsidP="006C7170">
    <w:r>
      <w:rPr>
        <w:noProof/>
        <w:color w:val="ED6C4E" w:themeColor="accent3"/>
        <w:lang w:val="pl-PL" w:eastAsia="pl-PL"/>
      </w:rPr>
      <w:drawing>
        <wp:inline distT="0" distB="0" distL="0" distR="0" wp14:anchorId="41FF1556" wp14:editId="71E260C7">
          <wp:extent cx="550545" cy="15494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FC2C3A">
      <w:rPr>
        <w:noProof/>
        <w:color w:val="2B579A"/>
        <w:shd w:val="clear" w:color="auto" w:fill="E6E6E6"/>
        <w:lang w:val="pl-PL" w:eastAsia="pl-PL"/>
      </w:rPr>
      <mc:AlternateContent>
        <mc:Choice Requires="wps">
          <w:drawing>
            <wp:anchor distT="0" distB="0" distL="114300" distR="114300" simplePos="0" relativeHeight="251658240" behindDoc="1" locked="1" layoutInCell="1" allowOverlap="1" wp14:anchorId="15C5FCD5" wp14:editId="1E29D2FE">
              <wp:simplePos x="0" y="0"/>
              <wp:positionH relativeFrom="margin">
                <wp:posOffset>5254625</wp:posOffset>
              </wp:positionH>
              <wp:positionV relativeFrom="page">
                <wp:posOffset>10068560</wp:posOffset>
              </wp:positionV>
              <wp:extent cx="899795" cy="251460"/>
              <wp:effectExtent l="0" t="0" r="1905" b="2540"/>
              <wp:wrapNone/>
              <wp:docPr id="12" name="Zone de texte 12"/>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19E5C859" w14:textId="22581FC5" w:rsidR="00FC2C3A" w:rsidRPr="006C7170" w:rsidRDefault="00FC2C3A" w:rsidP="00FC2C3A">
                          <w:pPr>
                            <w:spacing w:after="0" w:line="240" w:lineRule="auto"/>
                            <w:ind w:left="-113"/>
                            <w:jc w:val="right"/>
                            <w:rPr>
                              <w:sz w:val="20"/>
                              <w:szCs w:val="20"/>
                            </w:rPr>
                          </w:pPr>
                          <w:r w:rsidRPr="006C7170">
                            <w:rPr>
                              <w:color w:val="2B579A"/>
                              <w:sz w:val="20"/>
                              <w:szCs w:val="20"/>
                              <w:shd w:val="clear" w:color="auto" w:fill="E6E6E6"/>
                            </w:rPr>
                            <w:fldChar w:fldCharType="begin"/>
                          </w:r>
                          <w:r w:rsidRPr="006C7170">
                            <w:rPr>
                              <w:sz w:val="20"/>
                              <w:szCs w:val="20"/>
                            </w:rPr>
                            <w:instrText xml:space="preserve"> PAGE  \* Arabic  \* MERGEFORMAT </w:instrText>
                          </w:r>
                          <w:r w:rsidRPr="006C7170">
                            <w:rPr>
                              <w:color w:val="2B579A"/>
                              <w:sz w:val="20"/>
                              <w:szCs w:val="20"/>
                              <w:shd w:val="clear" w:color="auto" w:fill="E6E6E6"/>
                            </w:rPr>
                            <w:fldChar w:fldCharType="separate"/>
                          </w:r>
                          <w:r w:rsidR="00137890">
                            <w:rPr>
                              <w:noProof/>
                              <w:sz w:val="20"/>
                              <w:szCs w:val="20"/>
                            </w:rPr>
                            <w:t>2</w:t>
                          </w:r>
                          <w:r w:rsidRPr="006C7170">
                            <w:rPr>
                              <w:color w:val="2B579A"/>
                              <w:sz w:val="20"/>
                              <w:szCs w:val="20"/>
                              <w:shd w:val="clear" w:color="auto" w:fill="E6E6E6"/>
                            </w:rPr>
                            <w:fldChar w:fldCharType="end"/>
                          </w:r>
                          <w:r w:rsidRPr="006C7170">
                            <w:rPr>
                              <w:sz w:val="20"/>
                              <w:szCs w:val="20"/>
                            </w:rPr>
                            <w:t>/</w:t>
                          </w:r>
                          <w:r w:rsidRPr="006C7170">
                            <w:rPr>
                              <w:color w:val="2B579A"/>
                              <w:sz w:val="20"/>
                              <w:szCs w:val="20"/>
                              <w:shd w:val="clear" w:color="auto" w:fill="E6E6E6"/>
                            </w:rPr>
                            <w:fldChar w:fldCharType="begin"/>
                          </w:r>
                          <w:r w:rsidRPr="006C7170">
                            <w:rPr>
                              <w:sz w:val="20"/>
                              <w:szCs w:val="20"/>
                            </w:rPr>
                            <w:instrText xml:space="preserve"> NUMPAGES   \* MERGEFORMAT </w:instrText>
                          </w:r>
                          <w:r w:rsidRPr="006C7170">
                            <w:rPr>
                              <w:color w:val="2B579A"/>
                              <w:sz w:val="20"/>
                              <w:szCs w:val="20"/>
                              <w:shd w:val="clear" w:color="auto" w:fill="E6E6E6"/>
                            </w:rPr>
                            <w:fldChar w:fldCharType="separate"/>
                          </w:r>
                          <w:r w:rsidR="00137890">
                            <w:rPr>
                              <w:noProof/>
                              <w:sz w:val="20"/>
                              <w:szCs w:val="20"/>
                            </w:rPr>
                            <w:t>3</w:t>
                          </w:r>
                          <w:r w:rsidRPr="006C7170">
                            <w:rPr>
                              <w:noProof/>
                              <w:color w:val="2B579A"/>
                              <w:sz w:val="20"/>
                              <w:szCs w:val="20"/>
                              <w:shd w:val="clear" w:color="auto" w:fill="E6E6E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5FCD5" id="_x0000_t202" coordsize="21600,21600" o:spt="202" path="m,l,21600r21600,l21600,xe">
              <v:stroke joinstyle="miter"/>
              <v:path gradientshapeok="t" o:connecttype="rect"/>
            </v:shapetype>
            <v:shape id="Zone de texte 12" o:spid="_x0000_s1026" type="#_x0000_t202" style="position:absolute;left:0;text-align:left;margin-left:413.75pt;margin-top:792.8pt;width:70.8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" fillcolor="window" stroked="f" strokeweight=".5pt">
              <v:textbox>
                <w:txbxContent>
                  <w:p w14:paraId="19E5C859" w14:textId="22581FC5" w:rsidR="00FC2C3A" w:rsidRPr="006C7170" w:rsidRDefault="00FC2C3A" w:rsidP="00FC2C3A">
                    <w:pPr>
                      <w:spacing w:after="0" w:line="240" w:lineRule="auto"/>
                      <w:ind w:left="-113"/>
                      <w:jc w:val="right"/>
                      <w:rPr>
                        <w:sz w:val="20"/>
                        <w:szCs w:val="20"/>
                      </w:rPr>
                    </w:pPr>
                    <w:r w:rsidRPr="006C7170">
                      <w:rPr>
                        <w:color w:val="2B579A"/>
                        <w:sz w:val="20"/>
                        <w:szCs w:val="20"/>
                        <w:shd w:val="clear" w:color="auto" w:fill="E6E6E6"/>
                      </w:rPr>
                      <w:fldChar w:fldCharType="begin"/>
                    </w:r>
                    <w:r w:rsidRPr="006C7170">
                      <w:rPr>
                        <w:sz w:val="20"/>
                        <w:szCs w:val="20"/>
                      </w:rPr>
                      <w:instrText xml:space="preserve"> PAGE  \* Arabic  \* MERGEFORMAT </w:instrText>
                    </w:r>
                    <w:r w:rsidRPr="006C7170">
                      <w:rPr>
                        <w:color w:val="2B579A"/>
                        <w:sz w:val="20"/>
                        <w:szCs w:val="20"/>
                        <w:shd w:val="clear" w:color="auto" w:fill="E6E6E6"/>
                      </w:rPr>
                      <w:fldChar w:fldCharType="separate"/>
                    </w:r>
                    <w:r w:rsidR="00137890">
                      <w:rPr>
                        <w:noProof/>
                        <w:sz w:val="20"/>
                        <w:szCs w:val="20"/>
                      </w:rPr>
                      <w:t>2</w:t>
                    </w:r>
                    <w:r w:rsidRPr="006C7170">
                      <w:rPr>
                        <w:color w:val="2B579A"/>
                        <w:sz w:val="20"/>
                        <w:szCs w:val="20"/>
                        <w:shd w:val="clear" w:color="auto" w:fill="E6E6E6"/>
                      </w:rPr>
                      <w:fldChar w:fldCharType="end"/>
                    </w:r>
                    <w:r w:rsidRPr="006C7170">
                      <w:rPr>
                        <w:sz w:val="20"/>
                        <w:szCs w:val="20"/>
                      </w:rPr>
                      <w:t>/</w:t>
                    </w:r>
                    <w:r w:rsidRPr="006C7170">
                      <w:rPr>
                        <w:color w:val="2B579A"/>
                        <w:sz w:val="20"/>
                        <w:szCs w:val="20"/>
                        <w:shd w:val="clear" w:color="auto" w:fill="E6E6E6"/>
                      </w:rPr>
                      <w:fldChar w:fldCharType="begin"/>
                    </w:r>
                    <w:r w:rsidRPr="006C7170">
                      <w:rPr>
                        <w:sz w:val="20"/>
                        <w:szCs w:val="20"/>
                      </w:rPr>
                      <w:instrText xml:space="preserve"> NUMPAGES   \* MERGEFORMAT </w:instrText>
                    </w:r>
                    <w:r w:rsidRPr="006C7170">
                      <w:rPr>
                        <w:color w:val="2B579A"/>
                        <w:sz w:val="20"/>
                        <w:szCs w:val="20"/>
                        <w:shd w:val="clear" w:color="auto" w:fill="E6E6E6"/>
                      </w:rPr>
                      <w:fldChar w:fldCharType="separate"/>
                    </w:r>
                    <w:r w:rsidR="00137890">
                      <w:rPr>
                        <w:noProof/>
                        <w:sz w:val="20"/>
                        <w:szCs w:val="20"/>
                      </w:rPr>
                      <w:t>3</w:t>
                    </w:r>
                    <w:r w:rsidRPr="006C7170">
                      <w:rPr>
                        <w:noProof/>
                        <w:color w:val="2B579A"/>
                        <w:sz w:val="20"/>
                        <w:szCs w:val="20"/>
                        <w:shd w:val="clear" w:color="auto" w:fill="E6E6E6"/>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5B56" w14:textId="56D74AEF" w:rsidR="007B0BBD" w:rsidRPr="00C51472" w:rsidRDefault="00A72B87" w:rsidP="00FC2C3A">
    <w:r>
      <w:rPr>
        <w:noProof/>
        <w:color w:val="ED6C4E" w:themeColor="accent3"/>
        <w:lang w:val="pl-PL" w:eastAsia="pl-PL"/>
      </w:rPr>
      <w:drawing>
        <wp:inline distT="0" distB="0" distL="0" distR="0" wp14:anchorId="7ECAF34A" wp14:editId="4AE45B76">
          <wp:extent cx="550545" cy="15494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FC2C3A">
      <w:rPr>
        <w:noProof/>
        <w:color w:val="2B579A"/>
        <w:shd w:val="clear" w:color="auto" w:fill="E6E6E6"/>
        <w:lang w:val="pl-PL" w:eastAsia="pl-PL"/>
      </w:rPr>
      <mc:AlternateContent>
        <mc:Choice Requires="wps">
          <w:drawing>
            <wp:anchor distT="0" distB="0" distL="114300" distR="114300" simplePos="0" relativeHeight="251658241" behindDoc="1" locked="1" layoutInCell="1" allowOverlap="1" wp14:anchorId="4A8CD3BB" wp14:editId="1C6286BF">
              <wp:simplePos x="0" y="0"/>
              <wp:positionH relativeFrom="margin">
                <wp:posOffset>5257800</wp:posOffset>
              </wp:positionH>
              <wp:positionV relativeFrom="page">
                <wp:posOffset>10067290</wp:posOffset>
              </wp:positionV>
              <wp:extent cx="899795" cy="251460"/>
              <wp:effectExtent l="0" t="0" r="1905" b="2540"/>
              <wp:wrapNone/>
              <wp:docPr id="2" name="Zone de texte 2"/>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0A0BD51D" w14:textId="63D769D8" w:rsidR="00FC2C3A" w:rsidRPr="006C7170" w:rsidRDefault="00FC2C3A" w:rsidP="00FC2C3A">
                          <w:pPr>
                            <w:spacing w:after="0" w:line="240" w:lineRule="auto"/>
                            <w:ind w:left="-113"/>
                            <w:jc w:val="right"/>
                            <w:rPr>
                              <w:sz w:val="20"/>
                              <w:szCs w:val="20"/>
                            </w:rPr>
                          </w:pPr>
                          <w:r w:rsidRPr="006C7170">
                            <w:rPr>
                              <w:color w:val="2B579A"/>
                              <w:sz w:val="20"/>
                              <w:szCs w:val="20"/>
                              <w:shd w:val="clear" w:color="auto" w:fill="E6E6E6"/>
                            </w:rPr>
                            <w:fldChar w:fldCharType="begin"/>
                          </w:r>
                          <w:r w:rsidRPr="006C7170">
                            <w:rPr>
                              <w:sz w:val="20"/>
                              <w:szCs w:val="20"/>
                            </w:rPr>
                            <w:instrText xml:space="preserve"> PAGE  \* Arabic  \* MERGEFORMAT </w:instrText>
                          </w:r>
                          <w:r w:rsidRPr="006C7170">
                            <w:rPr>
                              <w:color w:val="2B579A"/>
                              <w:sz w:val="20"/>
                              <w:szCs w:val="20"/>
                              <w:shd w:val="clear" w:color="auto" w:fill="E6E6E6"/>
                            </w:rPr>
                            <w:fldChar w:fldCharType="separate"/>
                          </w:r>
                          <w:r w:rsidR="00137890">
                            <w:rPr>
                              <w:noProof/>
                              <w:sz w:val="20"/>
                              <w:szCs w:val="20"/>
                            </w:rPr>
                            <w:t>1</w:t>
                          </w:r>
                          <w:r w:rsidRPr="006C7170">
                            <w:rPr>
                              <w:color w:val="2B579A"/>
                              <w:sz w:val="20"/>
                              <w:szCs w:val="20"/>
                              <w:shd w:val="clear" w:color="auto" w:fill="E6E6E6"/>
                            </w:rPr>
                            <w:fldChar w:fldCharType="end"/>
                          </w:r>
                          <w:r w:rsidRPr="006C7170">
                            <w:rPr>
                              <w:sz w:val="20"/>
                              <w:szCs w:val="20"/>
                            </w:rPr>
                            <w:t>/</w:t>
                          </w:r>
                          <w:r w:rsidRPr="006C7170">
                            <w:rPr>
                              <w:color w:val="2B579A"/>
                              <w:sz w:val="20"/>
                              <w:szCs w:val="20"/>
                              <w:shd w:val="clear" w:color="auto" w:fill="E6E6E6"/>
                            </w:rPr>
                            <w:fldChar w:fldCharType="begin"/>
                          </w:r>
                          <w:r w:rsidRPr="006C7170">
                            <w:rPr>
                              <w:sz w:val="20"/>
                              <w:szCs w:val="20"/>
                            </w:rPr>
                            <w:instrText xml:space="preserve"> NUMPAGES   \* MERGEFORMAT </w:instrText>
                          </w:r>
                          <w:r w:rsidRPr="006C7170">
                            <w:rPr>
                              <w:color w:val="2B579A"/>
                              <w:sz w:val="20"/>
                              <w:szCs w:val="20"/>
                              <w:shd w:val="clear" w:color="auto" w:fill="E6E6E6"/>
                            </w:rPr>
                            <w:fldChar w:fldCharType="separate"/>
                          </w:r>
                          <w:r w:rsidR="00137890">
                            <w:rPr>
                              <w:noProof/>
                              <w:sz w:val="20"/>
                              <w:szCs w:val="20"/>
                            </w:rPr>
                            <w:t>3</w:t>
                          </w:r>
                          <w:r w:rsidRPr="006C7170">
                            <w:rPr>
                              <w:noProof/>
                              <w:color w:val="2B579A"/>
                              <w:sz w:val="20"/>
                              <w:szCs w:val="20"/>
                              <w:shd w:val="clear" w:color="auto" w:fill="E6E6E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CD3BB" id="_x0000_t202" coordsize="21600,21600" o:spt="202" path="m,l,21600r21600,l21600,xe">
              <v:stroke joinstyle="miter"/>
              <v:path gradientshapeok="t" o:connecttype="rect"/>
            </v:shapetype>
            <v:shape id="Zone de texte 2" o:spid="_x0000_s1027" type="#_x0000_t202" style="position:absolute;left:0;text-align:left;margin-left:414pt;margin-top:792.7pt;width:70.85pt;height:19.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" fillcolor="window" stroked="f" strokeweight=".5pt">
              <v:textbox>
                <w:txbxContent>
                  <w:p w14:paraId="0A0BD51D" w14:textId="63D769D8" w:rsidR="00FC2C3A" w:rsidRPr="006C7170" w:rsidRDefault="00FC2C3A" w:rsidP="00FC2C3A">
                    <w:pPr>
                      <w:spacing w:after="0" w:line="240" w:lineRule="auto"/>
                      <w:ind w:left="-113"/>
                      <w:jc w:val="right"/>
                      <w:rPr>
                        <w:sz w:val="20"/>
                        <w:szCs w:val="20"/>
                      </w:rPr>
                    </w:pPr>
                    <w:r w:rsidRPr="006C7170">
                      <w:rPr>
                        <w:color w:val="2B579A"/>
                        <w:sz w:val="20"/>
                        <w:szCs w:val="20"/>
                        <w:shd w:val="clear" w:color="auto" w:fill="E6E6E6"/>
                      </w:rPr>
                      <w:fldChar w:fldCharType="begin"/>
                    </w:r>
                    <w:r w:rsidRPr="006C7170">
                      <w:rPr>
                        <w:sz w:val="20"/>
                        <w:szCs w:val="20"/>
                      </w:rPr>
                      <w:instrText xml:space="preserve"> PAGE  \* Arabic  \* MERGEFORMAT </w:instrText>
                    </w:r>
                    <w:r w:rsidRPr="006C7170">
                      <w:rPr>
                        <w:color w:val="2B579A"/>
                        <w:sz w:val="20"/>
                        <w:szCs w:val="20"/>
                        <w:shd w:val="clear" w:color="auto" w:fill="E6E6E6"/>
                      </w:rPr>
                      <w:fldChar w:fldCharType="separate"/>
                    </w:r>
                    <w:r w:rsidR="00137890">
                      <w:rPr>
                        <w:noProof/>
                        <w:sz w:val="20"/>
                        <w:szCs w:val="20"/>
                      </w:rPr>
                      <w:t>1</w:t>
                    </w:r>
                    <w:r w:rsidRPr="006C7170">
                      <w:rPr>
                        <w:color w:val="2B579A"/>
                        <w:sz w:val="20"/>
                        <w:szCs w:val="20"/>
                        <w:shd w:val="clear" w:color="auto" w:fill="E6E6E6"/>
                      </w:rPr>
                      <w:fldChar w:fldCharType="end"/>
                    </w:r>
                    <w:r w:rsidRPr="006C7170">
                      <w:rPr>
                        <w:sz w:val="20"/>
                        <w:szCs w:val="20"/>
                      </w:rPr>
                      <w:t>/</w:t>
                    </w:r>
                    <w:r w:rsidRPr="006C7170">
                      <w:rPr>
                        <w:color w:val="2B579A"/>
                        <w:sz w:val="20"/>
                        <w:szCs w:val="20"/>
                        <w:shd w:val="clear" w:color="auto" w:fill="E6E6E6"/>
                      </w:rPr>
                      <w:fldChar w:fldCharType="begin"/>
                    </w:r>
                    <w:r w:rsidRPr="006C7170">
                      <w:rPr>
                        <w:sz w:val="20"/>
                        <w:szCs w:val="20"/>
                      </w:rPr>
                      <w:instrText xml:space="preserve"> NUMPAGES   \* MERGEFORMAT </w:instrText>
                    </w:r>
                    <w:r w:rsidRPr="006C7170">
                      <w:rPr>
                        <w:color w:val="2B579A"/>
                        <w:sz w:val="20"/>
                        <w:szCs w:val="20"/>
                        <w:shd w:val="clear" w:color="auto" w:fill="E6E6E6"/>
                      </w:rPr>
                      <w:fldChar w:fldCharType="separate"/>
                    </w:r>
                    <w:r w:rsidR="00137890">
                      <w:rPr>
                        <w:noProof/>
                        <w:sz w:val="20"/>
                        <w:szCs w:val="20"/>
                      </w:rPr>
                      <w:t>3</w:t>
                    </w:r>
                    <w:r w:rsidRPr="006C7170">
                      <w:rPr>
                        <w:noProof/>
                        <w:color w:val="2B579A"/>
                        <w:sz w:val="20"/>
                        <w:szCs w:val="20"/>
                        <w:shd w:val="clear" w:color="auto" w:fill="E6E6E6"/>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4EFB" w14:textId="77777777" w:rsidR="00D43EA6" w:rsidRDefault="00D43EA6" w:rsidP="00144D0D">
      <w:r>
        <w:separator/>
      </w:r>
    </w:p>
  </w:footnote>
  <w:footnote w:type="continuationSeparator" w:id="0">
    <w:p w14:paraId="02418BF5" w14:textId="77777777" w:rsidR="00D43EA6" w:rsidRDefault="00D43EA6" w:rsidP="00144D0D">
      <w:r>
        <w:continuationSeparator/>
      </w:r>
    </w:p>
  </w:footnote>
  <w:footnote w:type="continuationNotice" w:id="1">
    <w:p w14:paraId="3059C00F" w14:textId="77777777" w:rsidR="00D43EA6" w:rsidRDefault="00D43EA6">
      <w:pPr>
        <w:spacing w:after="0" w:line="240" w:lineRule="auto"/>
      </w:pPr>
    </w:p>
  </w:footnote>
  <w:footnote w:id="2">
    <w:p w14:paraId="4875BF55" w14:textId="77777777" w:rsidR="00C064BB" w:rsidRPr="00847C1E" w:rsidRDefault="00C064BB" w:rsidP="00C064BB">
      <w:pPr>
        <w:pStyle w:val="Tekstprzypisudolnego"/>
        <w:rPr>
          <w:sz w:val="16"/>
          <w:szCs w:val="16"/>
          <w:lang w:val="en-US"/>
        </w:rPr>
      </w:pPr>
      <w:r>
        <w:rPr>
          <w:rStyle w:val="Odwoanieprzypisudolnego"/>
        </w:rPr>
        <w:footnoteRef/>
      </w:r>
      <w:r w:rsidRPr="00C064BB">
        <w:rPr>
          <w:lang w:val="en-US"/>
        </w:rPr>
        <w:t xml:space="preserve"> </w:t>
      </w:r>
      <w:r w:rsidRPr="00847C1E">
        <w:rPr>
          <w:sz w:val="16"/>
          <w:szCs w:val="16"/>
          <w:lang w:val="en-US"/>
        </w:rPr>
        <w:t xml:space="preserve">Harrison's Principles of Internal Medicine, 21e Eds. Joseph </w:t>
      </w:r>
      <w:proofErr w:type="spellStart"/>
      <w:r w:rsidRPr="00847C1E">
        <w:rPr>
          <w:sz w:val="16"/>
          <w:szCs w:val="16"/>
          <w:lang w:val="en-US"/>
        </w:rPr>
        <w:t>Loscalzo</w:t>
      </w:r>
      <w:proofErr w:type="spellEnd"/>
      <w:r w:rsidRPr="00847C1E">
        <w:rPr>
          <w:sz w:val="16"/>
          <w:szCs w:val="16"/>
          <w:lang w:val="en-US"/>
        </w:rPr>
        <w:t xml:space="preserve">, et al. McGraw Hill, 2022 </w:t>
      </w:r>
    </w:p>
    <w:p w14:paraId="7167636E" w14:textId="6839EAE1" w:rsidR="00C064BB" w:rsidRPr="00C064BB" w:rsidRDefault="00C064BB" w:rsidP="00C064BB">
      <w:pPr>
        <w:pStyle w:val="Tekstprzypisudolnego"/>
        <w:rPr>
          <w:lang w:val="en-US"/>
        </w:rPr>
      </w:pPr>
      <w:r w:rsidRPr="00847C1E">
        <w:rPr>
          <w:sz w:val="16"/>
          <w:szCs w:val="16"/>
          <w:lang w:val="en-US"/>
        </w:rPr>
        <w:t xml:space="preserve">Hepatology - Clinical Textbook, 10e Eds. </w:t>
      </w:r>
      <w:proofErr w:type="spellStart"/>
      <w:r w:rsidRPr="00847C1E">
        <w:rPr>
          <w:sz w:val="16"/>
          <w:szCs w:val="16"/>
          <w:lang w:val="en-US"/>
        </w:rPr>
        <w:t>Mauss</w:t>
      </w:r>
      <w:proofErr w:type="spellEnd"/>
      <w:r w:rsidRPr="00847C1E">
        <w:rPr>
          <w:sz w:val="16"/>
          <w:szCs w:val="16"/>
          <w:lang w:val="en-US"/>
        </w:rPr>
        <w:t xml:space="preserve"> S, et al. www.hepatologytextbook.com</w:t>
      </w:r>
    </w:p>
  </w:footnote>
  <w:footnote w:id="3">
    <w:p w14:paraId="0C3BA980" w14:textId="6F5A2E25" w:rsidR="00EF22C7" w:rsidRDefault="00EF22C7" w:rsidP="00EF22C7">
      <w:pPr>
        <w:pStyle w:val="Tekstprzypisudolnego"/>
        <w:rPr>
          <w:sz w:val="16"/>
          <w:szCs w:val="16"/>
          <w:lang w:val="pl-PL"/>
        </w:rPr>
      </w:pPr>
      <w:r w:rsidRPr="009165EB">
        <w:rPr>
          <w:rStyle w:val="Odwoanieprzypisudolnego"/>
        </w:rPr>
        <w:footnoteRef/>
      </w:r>
      <w:r w:rsidRPr="005D505A">
        <w:rPr>
          <w:rStyle w:val="Odwoanieprzypisudolnego"/>
          <w:lang w:val="pl-PL"/>
        </w:rPr>
        <w:t xml:space="preserve"> </w:t>
      </w:r>
      <w:r w:rsidRPr="009165EB">
        <w:rPr>
          <w:sz w:val="16"/>
          <w:szCs w:val="16"/>
          <w:lang w:val="pl-PL"/>
        </w:rPr>
        <w:t xml:space="preserve">Analiza statystyczna badań w posiadaniu firmy. </w:t>
      </w:r>
    </w:p>
    <w:p w14:paraId="71A924F2" w14:textId="1694BACE" w:rsidR="00371ABB" w:rsidRPr="009165EB" w:rsidRDefault="00371ABB" w:rsidP="00EF22C7">
      <w:pPr>
        <w:pStyle w:val="Tekstprzypisudolnego"/>
        <w:rPr>
          <w:sz w:val="16"/>
          <w:szCs w:val="16"/>
          <w:lang w:val="pl-PL"/>
        </w:rPr>
      </w:pPr>
      <w:r w:rsidRPr="00371ABB">
        <w:rPr>
          <w:sz w:val="16"/>
          <w:szCs w:val="16"/>
          <w:lang w:val="pl-PL"/>
        </w:rPr>
        <w:t>https://pulsmedycyny.pl/mezczyzni-nie-chca-sie-badac-sa-powody-do-niepokoju-1165082</w:t>
      </w:r>
    </w:p>
  </w:footnote>
  <w:footnote w:id="4">
    <w:p w14:paraId="1A0D313F" w14:textId="795C8470" w:rsidR="00371ABB" w:rsidRPr="00784DA2" w:rsidRDefault="00371ABB">
      <w:pPr>
        <w:pStyle w:val="Tekstprzypisudolnego"/>
        <w:rPr>
          <w:lang w:val="en-US"/>
        </w:rPr>
      </w:pPr>
      <w:r>
        <w:rPr>
          <w:rStyle w:val="Odwoanieprzypisudolnego"/>
        </w:rPr>
        <w:footnoteRef/>
      </w:r>
      <w:r w:rsidRPr="00784DA2">
        <w:rPr>
          <w:lang w:val="en-US"/>
        </w:rPr>
        <w:t xml:space="preserve"> </w:t>
      </w:r>
      <w:r w:rsidR="00784DA2" w:rsidRPr="00784DA2">
        <w:rPr>
          <w:sz w:val="16"/>
          <w:szCs w:val="16"/>
          <w:lang w:val="pl-PL"/>
        </w:rPr>
        <w:t xml:space="preserve">R. </w:t>
      </w:r>
      <w:proofErr w:type="spellStart"/>
      <w:r w:rsidR="00784DA2" w:rsidRPr="00784DA2">
        <w:rPr>
          <w:sz w:val="16"/>
          <w:szCs w:val="16"/>
          <w:lang w:val="pl-PL"/>
        </w:rPr>
        <w:t>Mursa</w:t>
      </w:r>
      <w:proofErr w:type="spellEnd"/>
      <w:r w:rsidR="00784DA2" w:rsidRPr="00784DA2">
        <w:rPr>
          <w:sz w:val="16"/>
          <w:szCs w:val="16"/>
          <w:lang w:val="pl-PL"/>
        </w:rPr>
        <w:t xml:space="preserve">, Ch. </w:t>
      </w:r>
      <w:r w:rsidR="00784DA2" w:rsidRPr="00784DA2">
        <w:rPr>
          <w:sz w:val="16"/>
          <w:szCs w:val="16"/>
          <w:lang w:val="en-US"/>
        </w:rPr>
        <w:t xml:space="preserve">Patterson, E. Halcomb, </w:t>
      </w:r>
      <w:r w:rsidR="00784DA2" w:rsidRPr="00784DA2">
        <w:rPr>
          <w:i/>
          <w:iCs/>
          <w:sz w:val="16"/>
          <w:szCs w:val="16"/>
          <w:lang w:val="en-US"/>
        </w:rPr>
        <w:t>Men's help</w:t>
      </w:r>
      <w:r w:rsidR="00784DA2" w:rsidRPr="00784DA2">
        <w:rPr>
          <w:rFonts w:ascii="Cambria Math" w:hAnsi="Cambria Math" w:cs="Cambria Math"/>
          <w:i/>
          <w:iCs/>
          <w:sz w:val="16"/>
          <w:szCs w:val="16"/>
          <w:lang w:val="en-US"/>
        </w:rPr>
        <w:t>‐</w:t>
      </w:r>
      <w:r w:rsidR="00784DA2" w:rsidRPr="00784DA2">
        <w:rPr>
          <w:i/>
          <w:iCs/>
          <w:sz w:val="16"/>
          <w:szCs w:val="16"/>
          <w:lang w:val="en-US"/>
        </w:rPr>
        <w:t>seeking and engagement with general practice: An integrative review</w:t>
      </w:r>
      <w:r w:rsidR="00784DA2" w:rsidRPr="00784DA2">
        <w:rPr>
          <w:sz w:val="16"/>
          <w:szCs w:val="16"/>
          <w:lang w:val="en-US"/>
        </w:rPr>
        <w:t xml:space="preserve">, </w:t>
      </w:r>
      <w:r w:rsidR="00784DA2" w:rsidRPr="00784DA2">
        <w:rPr>
          <w:sz w:val="16"/>
          <w:szCs w:val="16"/>
          <w:lang w:val="en-US"/>
        </w:rPr>
        <w:t>„</w:t>
      </w:r>
      <w:r w:rsidR="00784DA2" w:rsidRPr="00784DA2">
        <w:rPr>
          <w:sz w:val="16"/>
          <w:szCs w:val="16"/>
          <w:lang w:val="en-US"/>
        </w:rPr>
        <w:t>Journal of Advanced Nursing</w:t>
      </w:r>
      <w:r w:rsidR="00784DA2">
        <w:rPr>
          <w:sz w:val="16"/>
          <w:szCs w:val="16"/>
          <w:lang w:val="en-US"/>
        </w:rPr>
        <w:t>”</w:t>
      </w:r>
      <w:r w:rsidR="00784DA2" w:rsidRPr="00784DA2">
        <w:rPr>
          <w:sz w:val="16"/>
          <w:szCs w:val="16"/>
          <w:lang w:val="en-US"/>
        </w:rPr>
        <w:t xml:space="preserve"> 2022, 78(7), </w:t>
      </w:r>
      <w:hyperlink r:id="rId1" w:history="1">
        <w:r w:rsidR="00784DA2" w:rsidRPr="00F91586">
          <w:rPr>
            <w:rStyle w:val="Hipercze"/>
            <w:sz w:val="16"/>
            <w:szCs w:val="16"/>
            <w:lang w:val="en-US"/>
          </w:rPr>
          <w:t>https://www.researchgate.net/publication/359739759_Men's_help-seeking_and_engagement_with_general_practice_An_integrative_review#:~:text=The%20findings%20indicate%20that%20men%20can%20find%20general,general%20practice%20in%20preventive%20health%20care%20and%20advice</w:t>
        </w:r>
      </w:hyperlink>
      <w:r w:rsidR="00784DA2">
        <w:rPr>
          <w:sz w:val="16"/>
          <w:szCs w:val="16"/>
          <w:lang w:val="en-US"/>
        </w:rPr>
        <w:t xml:space="preserve"> </w:t>
      </w:r>
      <w:r w:rsidR="00784DA2" w:rsidRPr="00784DA2">
        <w:rPr>
          <w:sz w:val="16"/>
          <w:szCs w:val="16"/>
          <w:lang w:val="en-US"/>
        </w:rPr>
        <w:t>(</w:t>
      </w:r>
      <w:proofErr w:type="spellStart"/>
      <w:r w:rsidR="00784DA2" w:rsidRPr="00784DA2">
        <w:rPr>
          <w:sz w:val="16"/>
          <w:szCs w:val="16"/>
          <w:lang w:val="en-US"/>
        </w:rPr>
        <w:t>dostęp</w:t>
      </w:r>
      <w:proofErr w:type="spellEnd"/>
      <w:r w:rsidR="00784DA2" w:rsidRPr="00784DA2">
        <w:rPr>
          <w:sz w:val="16"/>
          <w:szCs w:val="16"/>
          <w:lang w:val="en-US"/>
        </w:rPr>
        <w:t xml:space="preserve">: 21.04.2023); </w:t>
      </w:r>
      <w:proofErr w:type="spellStart"/>
      <w:r w:rsidR="00784DA2" w:rsidRPr="00784DA2">
        <w:rPr>
          <w:sz w:val="16"/>
          <w:szCs w:val="16"/>
          <w:lang w:val="en-US"/>
        </w:rPr>
        <w:t>Mężczyźni</w:t>
      </w:r>
      <w:proofErr w:type="spellEnd"/>
      <w:r w:rsidR="00784DA2" w:rsidRPr="00784DA2">
        <w:rPr>
          <w:sz w:val="16"/>
          <w:szCs w:val="16"/>
          <w:lang w:val="en-US"/>
        </w:rPr>
        <w:t xml:space="preserve"> u </w:t>
      </w:r>
      <w:proofErr w:type="spellStart"/>
      <w:r w:rsidR="00784DA2" w:rsidRPr="00784DA2">
        <w:rPr>
          <w:sz w:val="16"/>
          <w:szCs w:val="16"/>
          <w:lang w:val="en-US"/>
        </w:rPr>
        <w:t>lekarza</w:t>
      </w:r>
      <w:proofErr w:type="spellEnd"/>
      <w:r w:rsidR="00784DA2" w:rsidRPr="00784DA2">
        <w:rPr>
          <w:sz w:val="16"/>
          <w:szCs w:val="16"/>
          <w:lang w:val="en-US"/>
        </w:rPr>
        <w:t xml:space="preserve">, </w:t>
      </w:r>
      <w:hyperlink r:id="rId2" w:history="1">
        <w:r w:rsidR="00784DA2" w:rsidRPr="00F91586">
          <w:rPr>
            <w:rStyle w:val="Hipercze"/>
            <w:sz w:val="16"/>
            <w:szCs w:val="16"/>
            <w:lang w:val="en-US"/>
          </w:rPr>
          <w:t>https://www.nfz-zielonagora.pl/PL/1191/Mezczyzni_u_lekarza/</w:t>
        </w:r>
      </w:hyperlink>
      <w:r w:rsidR="00784DA2">
        <w:rPr>
          <w:sz w:val="16"/>
          <w:szCs w:val="16"/>
          <w:lang w:val="en-US"/>
        </w:rPr>
        <w:t xml:space="preserve"> </w:t>
      </w:r>
      <w:r w:rsidR="00784DA2" w:rsidRPr="00784DA2">
        <w:rPr>
          <w:sz w:val="16"/>
          <w:szCs w:val="16"/>
          <w:lang w:val="en-US"/>
        </w:rPr>
        <w:t>(</w:t>
      </w:r>
      <w:proofErr w:type="spellStart"/>
      <w:r w:rsidR="00784DA2" w:rsidRPr="00784DA2">
        <w:rPr>
          <w:sz w:val="16"/>
          <w:szCs w:val="16"/>
          <w:lang w:val="en-US"/>
        </w:rPr>
        <w:t>dostęp</w:t>
      </w:r>
      <w:proofErr w:type="spellEnd"/>
      <w:r w:rsidR="00784DA2" w:rsidRPr="00784DA2">
        <w:rPr>
          <w:sz w:val="16"/>
          <w:szCs w:val="16"/>
          <w:lang w:val="en-US"/>
        </w:rPr>
        <w:t>: 21.04.2023).</w:t>
      </w:r>
    </w:p>
  </w:footnote>
  <w:footnote w:id="5">
    <w:p w14:paraId="3E01854F" w14:textId="134B9EFD" w:rsidR="00F141D4" w:rsidRPr="009165EB" w:rsidRDefault="00F141D4">
      <w:pPr>
        <w:pStyle w:val="Tekstprzypisudolnego"/>
        <w:rPr>
          <w:sz w:val="16"/>
          <w:szCs w:val="16"/>
          <w:lang w:val="pl-PL"/>
        </w:rPr>
      </w:pPr>
      <w:r w:rsidRPr="00F141D4">
        <w:rPr>
          <w:rStyle w:val="Odwoanieprzypisudolnego"/>
        </w:rPr>
        <w:footnoteRef/>
      </w:r>
      <w:r w:rsidRPr="009165EB">
        <w:rPr>
          <w:sz w:val="16"/>
          <w:szCs w:val="16"/>
          <w:lang w:val="pl-PL"/>
        </w:rPr>
        <w:t xml:space="preserve"> Stan wątroby sprawdziło </w:t>
      </w:r>
      <w:r w:rsidR="003972B1">
        <w:rPr>
          <w:sz w:val="16"/>
          <w:szCs w:val="16"/>
          <w:lang w:val="pl-PL"/>
        </w:rPr>
        <w:t>5 399</w:t>
      </w:r>
      <w:r w:rsidRPr="009165EB">
        <w:rPr>
          <w:sz w:val="16"/>
          <w:szCs w:val="16"/>
          <w:lang w:val="pl-PL"/>
        </w:rPr>
        <w:t xml:space="preserve"> </w:t>
      </w:r>
      <w:r w:rsidR="00A80CB8">
        <w:rPr>
          <w:sz w:val="16"/>
          <w:szCs w:val="16"/>
          <w:lang w:val="pl-PL"/>
        </w:rPr>
        <w:t>osób</w:t>
      </w:r>
      <w:r w:rsidRPr="009165EB">
        <w:rPr>
          <w:sz w:val="16"/>
          <w:szCs w:val="16"/>
          <w:lang w:val="pl-PL"/>
        </w:rPr>
        <w:t>.</w:t>
      </w:r>
    </w:p>
  </w:footnote>
  <w:footnote w:id="6">
    <w:p w14:paraId="35388B50" w14:textId="71FC2CC3" w:rsidR="00E2075D" w:rsidRPr="00FC1575" w:rsidRDefault="00E2075D" w:rsidP="00E2075D">
      <w:pPr>
        <w:pStyle w:val="Tekstprzypisudolnego"/>
        <w:jc w:val="left"/>
        <w:rPr>
          <w:sz w:val="16"/>
          <w:szCs w:val="16"/>
          <w:lang w:val="pl-PL"/>
        </w:rPr>
      </w:pPr>
      <w:r w:rsidRPr="00FC1575">
        <w:rPr>
          <w:rStyle w:val="Odwoanieprzypisudolnego"/>
          <w:sz w:val="16"/>
          <w:szCs w:val="16"/>
        </w:rPr>
        <w:footnoteRef/>
      </w:r>
      <w:r w:rsidRPr="00F7389A">
        <w:rPr>
          <w:lang w:val="pl-PL"/>
        </w:rPr>
        <w:t xml:space="preserve"> </w:t>
      </w:r>
      <w:hyperlink r:id="rId3" w:history="1">
        <w:r w:rsidRPr="0059375E">
          <w:rPr>
            <w:rStyle w:val="Hipercze"/>
            <w:sz w:val="16"/>
            <w:szCs w:val="16"/>
            <w:lang w:val="pl-PL"/>
          </w:rPr>
          <w:t>https://globalliver.org/liver-health-is-public-health/</w:t>
        </w:r>
      </w:hyperlink>
      <w:r>
        <w:rPr>
          <w:sz w:val="16"/>
          <w:szCs w:val="16"/>
          <w:lang w:val="pl-PL"/>
        </w:rPr>
        <w:t xml:space="preserve"> </w:t>
      </w:r>
      <w:r w:rsidR="009165EB">
        <w:rPr>
          <w:sz w:val="16"/>
          <w:szCs w:val="16"/>
          <w:lang w:val="pl-PL"/>
        </w:rPr>
        <w:t>(</w:t>
      </w:r>
      <w:r w:rsidRPr="00FC1575">
        <w:rPr>
          <w:sz w:val="16"/>
          <w:szCs w:val="16"/>
          <w:lang w:val="pl-PL"/>
        </w:rPr>
        <w:t xml:space="preserve">dostęp: </w:t>
      </w:r>
      <w:r w:rsidR="009165EB">
        <w:rPr>
          <w:sz w:val="16"/>
          <w:szCs w:val="16"/>
          <w:lang w:val="pl-PL"/>
        </w:rPr>
        <w:t>6</w:t>
      </w:r>
      <w:r w:rsidRPr="00FC1575">
        <w:rPr>
          <w:sz w:val="16"/>
          <w:szCs w:val="16"/>
          <w:lang w:val="pl-PL"/>
        </w:rPr>
        <w:t>.</w:t>
      </w:r>
      <w:r w:rsidR="00371ABB">
        <w:rPr>
          <w:sz w:val="16"/>
          <w:szCs w:val="16"/>
          <w:lang w:val="pl-PL"/>
        </w:rPr>
        <w:t>4</w:t>
      </w:r>
      <w:r w:rsidR="009165EB">
        <w:rPr>
          <w:sz w:val="16"/>
          <w:szCs w:val="16"/>
          <w:lang w:val="pl-PL"/>
        </w:rPr>
        <w:t>04</w:t>
      </w:r>
      <w:r w:rsidRPr="00FC1575">
        <w:rPr>
          <w:sz w:val="16"/>
          <w:szCs w:val="16"/>
          <w:lang w:val="pl-PL"/>
        </w:rPr>
        <w:t>.202</w:t>
      </w:r>
      <w:r w:rsidR="009165EB">
        <w:rPr>
          <w:sz w:val="16"/>
          <w:szCs w:val="16"/>
          <w:lang w:val="pl-PL"/>
        </w:rPr>
        <w:t>3)</w:t>
      </w:r>
      <w:r w:rsidRPr="00FC1575">
        <w:rPr>
          <w:sz w:val="16"/>
          <w:szCs w:val="16"/>
          <w:lang w:val="pl-PL"/>
        </w:rPr>
        <w:t>.</w:t>
      </w:r>
    </w:p>
  </w:footnote>
  <w:footnote w:id="7">
    <w:p w14:paraId="535B03D3" w14:textId="6A853963" w:rsidR="00B1121F" w:rsidRPr="00B1121F" w:rsidRDefault="00B1121F">
      <w:pPr>
        <w:pStyle w:val="Tekstprzypisudolnego"/>
        <w:rPr>
          <w:lang w:val="pl-PL"/>
        </w:rPr>
      </w:pPr>
      <w:r w:rsidRPr="00506B39">
        <w:rPr>
          <w:rStyle w:val="Odwoanieprzypisudolnego"/>
          <w:sz w:val="16"/>
          <w:szCs w:val="16"/>
        </w:rPr>
        <w:footnoteRef/>
      </w:r>
      <w:r w:rsidRPr="00EC4112">
        <w:rPr>
          <w:lang w:val="pl-PL"/>
        </w:rPr>
        <w:t xml:space="preserve"> </w:t>
      </w:r>
      <w:r w:rsidR="00506B39" w:rsidRPr="00506B39">
        <w:rPr>
          <w:sz w:val="16"/>
          <w:szCs w:val="16"/>
          <w:lang w:val="pl-PL"/>
        </w:rPr>
        <w:t>Za:</w:t>
      </w:r>
      <w:r w:rsidR="00506B39">
        <w:rPr>
          <w:lang w:val="pl-PL"/>
        </w:rPr>
        <w:t xml:space="preserve"> </w:t>
      </w:r>
      <w:hyperlink r:id="rId4" w:history="1">
        <w:r w:rsidR="00506B39" w:rsidRPr="006C7F03">
          <w:rPr>
            <w:rStyle w:val="Hipercze"/>
            <w:sz w:val="16"/>
            <w:szCs w:val="16"/>
            <w:lang w:val="pl-PL"/>
          </w:rPr>
          <w:t>https://globalliver.org/liver-health-is-public-health/</w:t>
        </w:r>
      </w:hyperlink>
      <w:r w:rsidR="00506B39">
        <w:rPr>
          <w:sz w:val="16"/>
          <w:szCs w:val="16"/>
          <w:lang w:val="pl-PL"/>
        </w:rPr>
        <w:t xml:space="preserve"> (</w:t>
      </w:r>
      <w:r w:rsidR="00506B39" w:rsidRPr="00FC1575">
        <w:rPr>
          <w:sz w:val="16"/>
          <w:szCs w:val="16"/>
          <w:lang w:val="pl-PL"/>
        </w:rPr>
        <w:t xml:space="preserve">dostęp: </w:t>
      </w:r>
      <w:r w:rsidR="009165EB">
        <w:rPr>
          <w:sz w:val="16"/>
          <w:szCs w:val="16"/>
          <w:lang w:val="pl-PL"/>
        </w:rPr>
        <w:t>6</w:t>
      </w:r>
      <w:r w:rsidR="00506B39" w:rsidRPr="00FC1575">
        <w:rPr>
          <w:sz w:val="16"/>
          <w:szCs w:val="16"/>
          <w:lang w:val="pl-PL"/>
        </w:rPr>
        <w:t>.</w:t>
      </w:r>
      <w:r w:rsidR="00506B39">
        <w:rPr>
          <w:sz w:val="16"/>
          <w:szCs w:val="16"/>
          <w:lang w:val="pl-PL"/>
        </w:rPr>
        <w:t>0</w:t>
      </w:r>
      <w:r w:rsidR="009165EB">
        <w:rPr>
          <w:sz w:val="16"/>
          <w:szCs w:val="16"/>
          <w:lang w:val="pl-PL"/>
        </w:rPr>
        <w:t>4</w:t>
      </w:r>
      <w:r w:rsidR="00506B39" w:rsidRPr="00FC1575">
        <w:rPr>
          <w:sz w:val="16"/>
          <w:szCs w:val="16"/>
          <w:lang w:val="pl-PL"/>
        </w:rPr>
        <w:t>.202</w:t>
      </w:r>
      <w:r w:rsidR="00506B39">
        <w:rPr>
          <w:sz w:val="16"/>
          <w:szCs w:val="16"/>
          <w:lang w:val="pl-PL"/>
        </w:rPr>
        <w:t>3).</w:t>
      </w:r>
    </w:p>
  </w:footnote>
  <w:footnote w:id="8">
    <w:p w14:paraId="394B18CC" w14:textId="241B6DAA" w:rsidR="00EB5D9B" w:rsidRPr="00506B39" w:rsidRDefault="00EB5D9B">
      <w:pPr>
        <w:pStyle w:val="Tekstprzypisudolnego"/>
        <w:rPr>
          <w:sz w:val="16"/>
          <w:szCs w:val="16"/>
          <w:lang w:val="en-US"/>
        </w:rPr>
      </w:pPr>
      <w:r w:rsidRPr="00506B39">
        <w:rPr>
          <w:rStyle w:val="Odwoanieprzypisudolnego"/>
          <w:sz w:val="16"/>
          <w:szCs w:val="16"/>
        </w:rPr>
        <w:footnoteRef/>
      </w:r>
      <w:r w:rsidRPr="00506B39">
        <w:rPr>
          <w:sz w:val="16"/>
          <w:szCs w:val="16"/>
          <w:lang w:val="en-US"/>
        </w:rPr>
        <w:t xml:space="preserve"> </w:t>
      </w:r>
      <w:r w:rsidR="00506B39" w:rsidRPr="00506B39">
        <w:rPr>
          <w:sz w:val="16"/>
          <w:szCs w:val="16"/>
          <w:lang w:val="en-US"/>
        </w:rPr>
        <w:t>The EASL-Lancet Commission</w:t>
      </w:r>
      <w:r w:rsidR="00506B39">
        <w:rPr>
          <w:sz w:val="16"/>
          <w:szCs w:val="16"/>
          <w:lang w:val="en-US"/>
        </w:rPr>
        <w:t>,</w:t>
      </w:r>
      <w:r w:rsidR="00506B39" w:rsidRPr="00506B39">
        <w:rPr>
          <w:sz w:val="16"/>
          <w:szCs w:val="16"/>
          <w:lang w:val="en-US"/>
        </w:rPr>
        <w:t xml:space="preserve"> </w:t>
      </w:r>
      <w:r w:rsidR="00506B39" w:rsidRPr="00506B39">
        <w:rPr>
          <w:i/>
          <w:iCs/>
          <w:sz w:val="16"/>
          <w:szCs w:val="16"/>
          <w:lang w:val="en-US"/>
        </w:rPr>
        <w:t>Protecting the next generation of Europeans against liver disease complications and premature mortality</w:t>
      </w:r>
      <w:r w:rsidR="00506B39" w:rsidRPr="00506B39">
        <w:rPr>
          <w:sz w:val="16"/>
          <w:szCs w:val="16"/>
          <w:lang w:val="en-US"/>
        </w:rPr>
        <w:t xml:space="preserve">, </w:t>
      </w:r>
      <w:r w:rsidR="00506B39">
        <w:rPr>
          <w:sz w:val="16"/>
          <w:szCs w:val="16"/>
          <w:lang w:val="en-US"/>
        </w:rPr>
        <w:t>“</w:t>
      </w:r>
      <w:r w:rsidR="00506B39" w:rsidRPr="00506B39">
        <w:rPr>
          <w:sz w:val="16"/>
          <w:szCs w:val="16"/>
          <w:lang w:val="en-US"/>
        </w:rPr>
        <w:t>The Lancet</w:t>
      </w:r>
      <w:r w:rsidR="00506B39">
        <w:rPr>
          <w:sz w:val="16"/>
          <w:szCs w:val="16"/>
          <w:lang w:val="en-US"/>
        </w:rPr>
        <w:t>”</w:t>
      </w:r>
      <w:r w:rsidR="00506B39" w:rsidRPr="00506B39">
        <w:rPr>
          <w:sz w:val="16"/>
          <w:szCs w:val="16"/>
          <w:lang w:val="en-US"/>
        </w:rPr>
        <w:t xml:space="preserve">, December 3, 2021, </w:t>
      </w:r>
      <w:hyperlink r:id="rId5" w:history="1">
        <w:r w:rsidR="00506B39" w:rsidRPr="006C7F03">
          <w:rPr>
            <w:rStyle w:val="Hipercze"/>
            <w:sz w:val="16"/>
            <w:szCs w:val="16"/>
            <w:lang w:val="en-US"/>
          </w:rPr>
          <w:t>https://www.thelancet.com/commissions/liver-disease-europe</w:t>
        </w:r>
      </w:hyperlink>
      <w:r w:rsidR="00506B39">
        <w:rPr>
          <w:sz w:val="16"/>
          <w:szCs w:val="16"/>
          <w:lang w:val="en-US"/>
        </w:rPr>
        <w:t xml:space="preserve"> (</w:t>
      </w:r>
      <w:proofErr w:type="spellStart"/>
      <w:r w:rsidR="00506B39">
        <w:rPr>
          <w:sz w:val="16"/>
          <w:szCs w:val="16"/>
          <w:lang w:val="en-US"/>
        </w:rPr>
        <w:t>dostęp</w:t>
      </w:r>
      <w:proofErr w:type="spellEnd"/>
      <w:r w:rsidR="00506B39">
        <w:rPr>
          <w:sz w:val="16"/>
          <w:szCs w:val="16"/>
          <w:lang w:val="en-US"/>
        </w:rPr>
        <w:t xml:space="preserve">: </w:t>
      </w:r>
      <w:r w:rsidR="009165EB">
        <w:rPr>
          <w:sz w:val="16"/>
          <w:szCs w:val="16"/>
          <w:lang w:val="en-US"/>
        </w:rPr>
        <w:t>6</w:t>
      </w:r>
      <w:r w:rsidR="00506B39">
        <w:rPr>
          <w:sz w:val="16"/>
          <w:szCs w:val="16"/>
          <w:lang w:val="en-US"/>
        </w:rPr>
        <w:t>.0</w:t>
      </w:r>
      <w:r w:rsidR="009165EB">
        <w:rPr>
          <w:sz w:val="16"/>
          <w:szCs w:val="16"/>
          <w:lang w:val="en-US"/>
        </w:rPr>
        <w:t>4</w:t>
      </w:r>
      <w:r w:rsidR="00506B39">
        <w:rPr>
          <w:sz w:val="16"/>
          <w:szCs w:val="16"/>
          <w:lang w:val="en-US"/>
        </w:rPr>
        <w:t>.2023).</w:t>
      </w:r>
    </w:p>
  </w:footnote>
  <w:footnote w:id="9">
    <w:p w14:paraId="4CE87622" w14:textId="3DA5873F" w:rsidR="00EC4112" w:rsidRPr="00011436" w:rsidRDefault="00EC4112" w:rsidP="00011436">
      <w:pPr>
        <w:pStyle w:val="Tekstprzypisudolnego"/>
        <w:rPr>
          <w:lang w:val="en-US"/>
        </w:rPr>
      </w:pPr>
      <w:r w:rsidRPr="00506B39">
        <w:rPr>
          <w:rStyle w:val="Odwoanieprzypisudolnego"/>
          <w:sz w:val="16"/>
          <w:szCs w:val="16"/>
        </w:rPr>
        <w:footnoteRef/>
      </w:r>
      <w:r w:rsidRPr="00011436">
        <w:rPr>
          <w:sz w:val="16"/>
          <w:szCs w:val="16"/>
          <w:lang w:val="en-US"/>
        </w:rPr>
        <w:t xml:space="preserve"> </w:t>
      </w:r>
      <w:proofErr w:type="spellStart"/>
      <w:r w:rsidR="00011436" w:rsidRPr="00011436">
        <w:rPr>
          <w:sz w:val="16"/>
          <w:szCs w:val="16"/>
          <w:lang w:val="en-US"/>
        </w:rPr>
        <w:t>Younossi</w:t>
      </w:r>
      <w:proofErr w:type="spellEnd"/>
      <w:r w:rsidR="00011436" w:rsidRPr="00011436">
        <w:rPr>
          <w:sz w:val="16"/>
          <w:szCs w:val="16"/>
          <w:lang w:val="en-US"/>
        </w:rPr>
        <w:t xml:space="preserve"> Z.M, </w:t>
      </w:r>
      <w:proofErr w:type="spellStart"/>
      <w:r w:rsidR="00011436" w:rsidRPr="00011436">
        <w:rPr>
          <w:sz w:val="16"/>
          <w:szCs w:val="16"/>
          <w:lang w:val="en-US"/>
        </w:rPr>
        <w:t>Golabi</w:t>
      </w:r>
      <w:proofErr w:type="spellEnd"/>
      <w:r w:rsidR="00011436" w:rsidRPr="00011436">
        <w:rPr>
          <w:sz w:val="16"/>
          <w:szCs w:val="16"/>
          <w:lang w:val="en-US"/>
        </w:rPr>
        <w:t xml:space="preserve"> P., Paik J.M. et al., </w:t>
      </w:r>
      <w:r w:rsidR="00011436" w:rsidRPr="00011436">
        <w:rPr>
          <w:i/>
          <w:iCs/>
          <w:sz w:val="16"/>
          <w:szCs w:val="16"/>
          <w:lang w:val="en-US"/>
        </w:rPr>
        <w:t>The global epidemiology of nonalcoholic fatty liver disease (NAFLD) and nonalcoholic steatohepatitis (NASH): a systematic review</w:t>
      </w:r>
      <w:r w:rsidR="00011436" w:rsidRPr="00011436">
        <w:rPr>
          <w:sz w:val="16"/>
          <w:szCs w:val="16"/>
          <w:lang w:val="en-US"/>
        </w:rPr>
        <w:t xml:space="preserve">, </w:t>
      </w:r>
      <w:r w:rsidR="00011436">
        <w:rPr>
          <w:sz w:val="16"/>
          <w:szCs w:val="16"/>
          <w:lang w:val="en-US"/>
        </w:rPr>
        <w:t>“</w:t>
      </w:r>
      <w:r w:rsidR="00011436" w:rsidRPr="00011436">
        <w:rPr>
          <w:sz w:val="16"/>
          <w:szCs w:val="16"/>
          <w:lang w:val="en-US"/>
        </w:rPr>
        <w:t>Hepatology</w:t>
      </w:r>
      <w:r w:rsidR="00011436">
        <w:rPr>
          <w:sz w:val="16"/>
          <w:szCs w:val="16"/>
          <w:lang w:val="en-US"/>
        </w:rPr>
        <w:t>”</w:t>
      </w:r>
      <w:r w:rsidR="00011436" w:rsidRPr="00011436">
        <w:rPr>
          <w:sz w:val="16"/>
          <w:szCs w:val="16"/>
          <w:lang w:val="en-US"/>
        </w:rPr>
        <w:t xml:space="preserve"> 2023, 77(4), </w:t>
      </w:r>
      <w:hyperlink r:id="rId6" w:history="1">
        <w:r w:rsidR="00011436" w:rsidRPr="006C7F03">
          <w:rPr>
            <w:rStyle w:val="Hipercze"/>
            <w:sz w:val="16"/>
            <w:szCs w:val="16"/>
            <w:lang w:val="en-US"/>
          </w:rPr>
          <w:t>https://journals.lww.com/hep/Fulltext/2023/04000/The_global_epidemiology_of_nonalcoholic_fatty.27.aspx</w:t>
        </w:r>
      </w:hyperlink>
      <w:r w:rsidR="00011436">
        <w:rPr>
          <w:sz w:val="16"/>
          <w:szCs w:val="16"/>
          <w:lang w:val="en-US"/>
        </w:rPr>
        <w:t xml:space="preserve"> (</w:t>
      </w:r>
      <w:proofErr w:type="spellStart"/>
      <w:r w:rsidR="00011436">
        <w:rPr>
          <w:sz w:val="16"/>
          <w:szCs w:val="16"/>
          <w:lang w:val="en-US"/>
        </w:rPr>
        <w:t>dostęp</w:t>
      </w:r>
      <w:proofErr w:type="spellEnd"/>
      <w:r w:rsidR="00011436">
        <w:rPr>
          <w:sz w:val="16"/>
          <w:szCs w:val="16"/>
          <w:lang w:val="en-US"/>
        </w:rPr>
        <w:t xml:space="preserve">: </w:t>
      </w:r>
      <w:r w:rsidR="009165EB">
        <w:rPr>
          <w:sz w:val="16"/>
          <w:szCs w:val="16"/>
          <w:lang w:val="en-US"/>
        </w:rPr>
        <w:t>6</w:t>
      </w:r>
      <w:r w:rsidR="00011436">
        <w:rPr>
          <w:sz w:val="16"/>
          <w:szCs w:val="16"/>
          <w:lang w:val="en-US"/>
        </w:rPr>
        <w:t>.0</w:t>
      </w:r>
      <w:r w:rsidR="009165EB">
        <w:rPr>
          <w:sz w:val="16"/>
          <w:szCs w:val="16"/>
          <w:lang w:val="en-US"/>
        </w:rPr>
        <w:t>4</w:t>
      </w:r>
      <w:r w:rsidR="00011436">
        <w:rPr>
          <w:sz w:val="16"/>
          <w:szCs w:val="16"/>
          <w:lang w:val="en-US"/>
        </w:rPr>
        <w:t xml:space="preserve">.2023). </w:t>
      </w:r>
    </w:p>
  </w:footnote>
  <w:footnote w:id="10">
    <w:p w14:paraId="4F73F2D3" w14:textId="4887E77D" w:rsidR="0035139B" w:rsidRPr="00251B6F" w:rsidRDefault="0035139B">
      <w:pPr>
        <w:pStyle w:val="Tekstprzypisudolnego"/>
        <w:rPr>
          <w:sz w:val="16"/>
          <w:szCs w:val="16"/>
          <w:lang w:val="en-US"/>
        </w:rPr>
      </w:pPr>
      <w:r w:rsidRPr="00506B39">
        <w:rPr>
          <w:rStyle w:val="Odwoanieprzypisudolnego"/>
          <w:sz w:val="16"/>
          <w:szCs w:val="16"/>
        </w:rPr>
        <w:footnoteRef/>
      </w:r>
      <w:r w:rsidRPr="00251B6F">
        <w:rPr>
          <w:sz w:val="16"/>
          <w:szCs w:val="16"/>
          <w:lang w:val="en-US"/>
        </w:rPr>
        <w:t xml:space="preserve"> </w:t>
      </w:r>
      <w:proofErr w:type="spellStart"/>
      <w:r w:rsidR="00011436" w:rsidRPr="00251B6F">
        <w:rPr>
          <w:sz w:val="16"/>
          <w:szCs w:val="16"/>
          <w:lang w:val="en-US"/>
        </w:rPr>
        <w:t>Tamże</w:t>
      </w:r>
      <w:proofErr w:type="spellEnd"/>
      <w:r w:rsidR="00011436" w:rsidRPr="00251B6F">
        <w:rPr>
          <w:sz w:val="16"/>
          <w:szCs w:val="16"/>
          <w:lang w:val="en-US"/>
        </w:rPr>
        <w:t xml:space="preserve">; </w:t>
      </w:r>
      <w:r w:rsidR="00251B6F" w:rsidRPr="00506B39">
        <w:rPr>
          <w:sz w:val="16"/>
          <w:szCs w:val="16"/>
          <w:lang w:val="en-US"/>
        </w:rPr>
        <w:t>The EASL-Lancet Commission</w:t>
      </w:r>
      <w:r w:rsidR="00251B6F">
        <w:rPr>
          <w:sz w:val="16"/>
          <w:szCs w:val="16"/>
          <w:lang w:val="en-US"/>
        </w:rPr>
        <w:t>,</w:t>
      </w:r>
      <w:r w:rsidR="00251B6F" w:rsidRPr="00506B39">
        <w:rPr>
          <w:sz w:val="16"/>
          <w:szCs w:val="16"/>
          <w:lang w:val="en-US"/>
        </w:rPr>
        <w:t xml:space="preserve"> </w:t>
      </w:r>
      <w:r w:rsidR="00251B6F" w:rsidRPr="00506B39">
        <w:rPr>
          <w:i/>
          <w:iCs/>
          <w:sz w:val="16"/>
          <w:szCs w:val="16"/>
          <w:lang w:val="en-US"/>
        </w:rPr>
        <w:t>Protecting the next generation</w:t>
      </w:r>
      <w:r w:rsidR="00251B6F">
        <w:rPr>
          <w:i/>
          <w:iCs/>
          <w:sz w:val="16"/>
          <w:szCs w:val="16"/>
          <w:lang w:val="en-US"/>
        </w:rPr>
        <w:t>…</w:t>
      </w:r>
      <w:r w:rsidR="00251B6F">
        <w:rPr>
          <w:sz w:val="16"/>
          <w:szCs w:val="16"/>
          <w:lang w:val="en-US"/>
        </w:rPr>
        <w:t xml:space="preserve">, dz. </w:t>
      </w:r>
      <w:proofErr w:type="spellStart"/>
      <w:r w:rsidR="00251B6F">
        <w:rPr>
          <w:sz w:val="16"/>
          <w:szCs w:val="16"/>
          <w:lang w:val="en-US"/>
        </w:rPr>
        <w:t>cyt</w:t>
      </w:r>
      <w:proofErr w:type="spellEnd"/>
      <w:r w:rsidR="00251B6F">
        <w:rPr>
          <w:sz w:val="16"/>
          <w:szCs w:val="16"/>
          <w:lang w:val="en-US"/>
        </w:rPr>
        <w:t>.</w:t>
      </w:r>
    </w:p>
  </w:footnote>
  <w:footnote w:id="11">
    <w:p w14:paraId="4AE3312E" w14:textId="1BBDCE99" w:rsidR="00516E40" w:rsidRPr="00103623" w:rsidRDefault="00516E40" w:rsidP="00DE40A4">
      <w:pPr>
        <w:pStyle w:val="Tekstprzypisudolnego"/>
        <w:rPr>
          <w:sz w:val="16"/>
          <w:szCs w:val="16"/>
          <w:lang w:val="pl-PL"/>
        </w:rPr>
      </w:pPr>
      <w:r w:rsidRPr="00103623">
        <w:rPr>
          <w:rStyle w:val="Odwoanieprzypisudolnego"/>
          <w:sz w:val="16"/>
          <w:szCs w:val="16"/>
        </w:rPr>
        <w:footnoteRef/>
      </w:r>
      <w:r w:rsidRPr="00103623">
        <w:rPr>
          <w:rFonts w:cs="Arial"/>
          <w:sz w:val="16"/>
          <w:szCs w:val="16"/>
          <w:lang w:val="pl-PL"/>
        </w:rPr>
        <w:t xml:space="preserve"> Raport z 3. fali badania metodą CAPI realizowanego przez Ipsos Sp. z o. o: </w:t>
      </w:r>
      <w:r w:rsidRPr="00103623">
        <w:rPr>
          <w:rFonts w:cs="Arial"/>
          <w:i/>
          <w:iCs/>
          <w:sz w:val="16"/>
          <w:szCs w:val="16"/>
          <w:lang w:val="pl-PL"/>
        </w:rPr>
        <w:t>Polacy a niealkoholowe stłuszczenie wątroby</w:t>
      </w:r>
      <w:r w:rsidRPr="00103623">
        <w:rPr>
          <w:rFonts w:cs="Arial"/>
          <w:sz w:val="16"/>
          <w:szCs w:val="16"/>
          <w:lang w:val="pl-PL"/>
        </w:rPr>
        <w:t>. Realizacja 7-11.04.2022. Dane w posiadaniu firmy.</w:t>
      </w:r>
    </w:p>
  </w:footnote>
  <w:footnote w:id="12">
    <w:p w14:paraId="2CBCF4FF" w14:textId="77777777" w:rsidR="0072392C" w:rsidRPr="004B699E" w:rsidRDefault="0072392C" w:rsidP="0072392C">
      <w:pPr>
        <w:pStyle w:val="Tekstprzypisudolnego"/>
        <w:jc w:val="left"/>
        <w:rPr>
          <w:lang w:val="pl-PL"/>
        </w:rPr>
      </w:pPr>
      <w:r w:rsidRPr="00103623">
        <w:rPr>
          <w:rStyle w:val="Odwoanieprzypisudolnego"/>
          <w:sz w:val="16"/>
          <w:szCs w:val="16"/>
        </w:rPr>
        <w:footnoteRef/>
      </w:r>
      <w:r w:rsidRPr="00103623">
        <w:rPr>
          <w:sz w:val="16"/>
          <w:szCs w:val="16"/>
          <w:lang w:val="pl-PL"/>
        </w:rPr>
        <w:t xml:space="preserve"> Test nie jest narzędziem diagnostycznym, ma charakter informacyjny.</w:t>
      </w:r>
    </w:p>
  </w:footnote>
  <w:footnote w:id="13">
    <w:p w14:paraId="4B429B76" w14:textId="38DDBCF6" w:rsidR="00022DFA" w:rsidRPr="007F1519" w:rsidRDefault="00022DFA" w:rsidP="00022DFA">
      <w:pPr>
        <w:autoSpaceDE w:val="0"/>
        <w:autoSpaceDN w:val="0"/>
        <w:adjustRightInd w:val="0"/>
        <w:spacing w:after="0" w:line="240" w:lineRule="auto"/>
      </w:pPr>
      <w:r w:rsidRPr="00185626">
        <w:rPr>
          <w:rStyle w:val="Odwoanieprzypisudolnego"/>
        </w:rPr>
        <w:footnoteRef/>
      </w:r>
      <w:r w:rsidRPr="00557086">
        <w:rPr>
          <w:sz w:val="16"/>
          <w:szCs w:val="16"/>
          <w:lang w:val="en-US"/>
        </w:rPr>
        <w:t xml:space="preserve"> Hartleb M et al.</w:t>
      </w:r>
      <w:r w:rsidR="009165EB">
        <w:rPr>
          <w:sz w:val="16"/>
          <w:szCs w:val="16"/>
          <w:lang w:val="en-US"/>
        </w:rPr>
        <w:t>,</w:t>
      </w:r>
      <w:r w:rsidRPr="00557086">
        <w:rPr>
          <w:sz w:val="16"/>
          <w:szCs w:val="16"/>
          <w:lang w:val="en-US"/>
        </w:rPr>
        <w:t xml:space="preserve"> </w:t>
      </w:r>
      <w:r w:rsidRPr="009165EB">
        <w:rPr>
          <w:i/>
          <w:iCs/>
          <w:sz w:val="16"/>
          <w:szCs w:val="16"/>
          <w:lang w:val="en-AU"/>
        </w:rPr>
        <w:t>Healthcare practitioners’ diagnostic and treatment practice patterns of nonalcoholic fatty liver disease in Poland: a cross-sectional survey</w:t>
      </w:r>
      <w:r w:rsidR="009165EB">
        <w:rPr>
          <w:sz w:val="16"/>
          <w:szCs w:val="16"/>
          <w:lang w:val="en-AU"/>
        </w:rPr>
        <w:t>, “</w:t>
      </w:r>
      <w:r w:rsidR="009165EB" w:rsidRPr="009165EB">
        <w:rPr>
          <w:sz w:val="16"/>
          <w:szCs w:val="16"/>
          <w:lang w:val="en-AU"/>
        </w:rPr>
        <w:t>European Journal of Gastroenterology &amp; Hepatology</w:t>
      </w:r>
      <w:r w:rsidR="009165EB">
        <w:rPr>
          <w:sz w:val="16"/>
          <w:szCs w:val="16"/>
          <w:lang w:val="en-AU"/>
        </w:rPr>
        <w:t>”</w:t>
      </w:r>
      <w:r w:rsidRPr="003362DB">
        <w:rPr>
          <w:sz w:val="16"/>
          <w:szCs w:val="16"/>
        </w:rPr>
        <w:t xml:space="preserve"> 2022</w:t>
      </w:r>
      <w:r w:rsidR="009165EB">
        <w:rPr>
          <w:sz w:val="16"/>
          <w:szCs w:val="16"/>
        </w:rPr>
        <w:t>,</w:t>
      </w:r>
      <w:r w:rsidRPr="003362DB">
        <w:rPr>
          <w:sz w:val="16"/>
          <w:szCs w:val="16"/>
        </w:rPr>
        <w:t xml:space="preserve"> 34(4)</w:t>
      </w:r>
      <w:r w:rsidR="009165EB">
        <w:rPr>
          <w:sz w:val="16"/>
          <w:szCs w:val="16"/>
        </w:rPr>
        <w:t>, s.</w:t>
      </w:r>
      <w:r w:rsidRPr="003362DB">
        <w:rPr>
          <w:sz w:val="16"/>
          <w:szCs w:val="16"/>
        </w:rPr>
        <w:t xml:space="preserve"> 426-434.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40E9" w14:textId="7AF744E0" w:rsidR="00BF10C9" w:rsidRPr="00BF10C9" w:rsidRDefault="00BF10C9" w:rsidP="00BF10C9">
    <w:pPr>
      <w:pStyle w:val="Nagwek"/>
      <w:jc w:val="right"/>
    </w:pPr>
    <w:r>
      <w:rPr>
        <w:noProof/>
        <w:sz w:val="20"/>
        <w:szCs w:val="20"/>
        <w:lang w:val="pl-PL" w:eastAsia="pl-PL"/>
      </w:rPr>
      <w:drawing>
        <wp:anchor distT="0" distB="0" distL="114300" distR="114300" simplePos="0" relativeHeight="251659265" behindDoc="0" locked="0" layoutInCell="1" allowOverlap="1" wp14:anchorId="64A5263B" wp14:editId="6E8AE122">
          <wp:simplePos x="0" y="0"/>
          <wp:positionH relativeFrom="column">
            <wp:posOffset>4660265</wp:posOffset>
          </wp:positionH>
          <wp:positionV relativeFrom="paragraph">
            <wp:posOffset>-345440</wp:posOffset>
          </wp:positionV>
          <wp:extent cx="1414780" cy="586740"/>
          <wp:effectExtent l="0" t="0" r="0" b="0"/>
          <wp:wrapSquare wrapText="bothSides"/>
          <wp:docPr id="3" name="Obraz 3" descr="cid:image002.png@01D8DCE4.6954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8DCE4.6954F7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478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20A"/>
    <w:multiLevelType w:val="multilevel"/>
    <w:tmpl w:val="1D5CAFEE"/>
    <w:styleLink w:val="Listeactuelle3"/>
    <w:lvl w:ilvl="0">
      <w:start w:val="1"/>
      <w:numFmt w:val="bullet"/>
      <w:lvlText w:val=""/>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116792"/>
    <w:multiLevelType w:val="hybridMultilevel"/>
    <w:tmpl w:val="4FB0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3709"/>
    <w:multiLevelType w:val="multilevel"/>
    <w:tmpl w:val="9AD67E12"/>
    <w:styleLink w:val="Listeactuell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12686E"/>
    <w:multiLevelType w:val="hybridMultilevel"/>
    <w:tmpl w:val="8F180BFC"/>
    <w:lvl w:ilvl="0" w:tplc="28E437E0">
      <w:start w:val="1"/>
      <w:numFmt w:val="bullet"/>
      <w:lvlText w:val=""/>
      <w:lvlJc w:val="left"/>
      <w:pPr>
        <w:ind w:left="284" w:hanging="284"/>
      </w:pPr>
      <w:rPr>
        <w:rFonts w:ascii="Wingdings 2" w:hAnsi="Wingdings 2"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05E6D"/>
    <w:multiLevelType w:val="hybridMultilevel"/>
    <w:tmpl w:val="6AC23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3D7E29"/>
    <w:multiLevelType w:val="multilevel"/>
    <w:tmpl w:val="5DDADE44"/>
    <w:styleLink w:val="Listeactuelle6"/>
    <w:lvl w:ilvl="0">
      <w:start w:val="1"/>
      <w:numFmt w:val="bullet"/>
      <w:lvlText w:val=""/>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D3A20"/>
    <w:multiLevelType w:val="multilevel"/>
    <w:tmpl w:val="5DBEAAFE"/>
    <w:styleLink w:val="Listeactuelle2"/>
    <w:lvl w:ilvl="0">
      <w:start w:val="1"/>
      <w:numFmt w:val="bullet"/>
      <w:lvlText w:val=""/>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006CFD"/>
    <w:multiLevelType w:val="hybridMultilevel"/>
    <w:tmpl w:val="F8D8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744CF"/>
    <w:multiLevelType w:val="multilevel"/>
    <w:tmpl w:val="9CFA969A"/>
    <w:styleLink w:val="Listeactuelle4"/>
    <w:lvl w:ilvl="0">
      <w:start w:val="1"/>
      <w:numFmt w:val="bullet"/>
      <w:lvlText w:val=""/>
      <w:lvlJc w:val="left"/>
      <w:pPr>
        <w:ind w:left="284" w:hanging="284"/>
      </w:pPr>
      <w:rPr>
        <w:rFonts w:ascii="Symbol" w:hAnsi="Symbol" w:hint="default"/>
        <w:color w:val="auto"/>
        <w:sz w:val="11"/>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CC16EB"/>
    <w:multiLevelType w:val="hybridMultilevel"/>
    <w:tmpl w:val="D47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9E1EE1"/>
    <w:multiLevelType w:val="hybridMultilevel"/>
    <w:tmpl w:val="A790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760E57"/>
    <w:multiLevelType w:val="hybridMultilevel"/>
    <w:tmpl w:val="BAACE55E"/>
    <w:lvl w:ilvl="0" w:tplc="6420B900">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6A534F"/>
    <w:multiLevelType w:val="multilevel"/>
    <w:tmpl w:val="C1F0A7B2"/>
    <w:styleLink w:val="Listeactuelle5"/>
    <w:lvl w:ilvl="0">
      <w:start w:val="1"/>
      <w:numFmt w:val="bullet"/>
      <w:lvlText w:val=""/>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A206B7"/>
    <w:multiLevelType w:val="hybridMultilevel"/>
    <w:tmpl w:val="459A936C"/>
    <w:lvl w:ilvl="0" w:tplc="F83CAA7E">
      <w:start w:val="1"/>
      <w:numFmt w:val="bullet"/>
      <w:lvlText w:val=""/>
      <w:lvlJc w:val="left"/>
      <w:pPr>
        <w:ind w:left="284" w:hanging="284"/>
      </w:pPr>
      <w:rPr>
        <w:rFonts w:ascii="Symbol" w:hAnsi="Symbol"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1592821">
    <w:abstractNumId w:val="11"/>
  </w:num>
  <w:num w:numId="2" w16cid:durableId="60757087">
    <w:abstractNumId w:val="13"/>
  </w:num>
  <w:num w:numId="3" w16cid:durableId="1770197397">
    <w:abstractNumId w:val="2"/>
  </w:num>
  <w:num w:numId="4" w16cid:durableId="1340815980">
    <w:abstractNumId w:val="6"/>
  </w:num>
  <w:num w:numId="5" w16cid:durableId="653611007">
    <w:abstractNumId w:val="0"/>
  </w:num>
  <w:num w:numId="6" w16cid:durableId="1480607120">
    <w:abstractNumId w:val="8"/>
  </w:num>
  <w:num w:numId="7" w16cid:durableId="680160312">
    <w:abstractNumId w:val="12"/>
  </w:num>
  <w:num w:numId="8" w16cid:durableId="1085540905">
    <w:abstractNumId w:val="5"/>
  </w:num>
  <w:num w:numId="9" w16cid:durableId="1910262671">
    <w:abstractNumId w:val="3"/>
  </w:num>
  <w:num w:numId="10" w16cid:durableId="2134211479">
    <w:abstractNumId w:val="9"/>
  </w:num>
  <w:num w:numId="11" w16cid:durableId="1457985309">
    <w:abstractNumId w:val="7"/>
  </w:num>
  <w:num w:numId="12" w16cid:durableId="1629890320">
    <w:abstractNumId w:val="4"/>
  </w:num>
  <w:num w:numId="13" w16cid:durableId="2080400712">
    <w:abstractNumId w:val="10"/>
  </w:num>
  <w:num w:numId="14" w16cid:durableId="165256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91"/>
    <w:rsid w:val="00000299"/>
    <w:rsid w:val="00000321"/>
    <w:rsid w:val="00001A76"/>
    <w:rsid w:val="00003584"/>
    <w:rsid w:val="00003C94"/>
    <w:rsid w:val="00007757"/>
    <w:rsid w:val="00011436"/>
    <w:rsid w:val="00013470"/>
    <w:rsid w:val="00017019"/>
    <w:rsid w:val="00017B23"/>
    <w:rsid w:val="0002089E"/>
    <w:rsid w:val="00022DFA"/>
    <w:rsid w:val="0002455A"/>
    <w:rsid w:val="00025AF2"/>
    <w:rsid w:val="000333C5"/>
    <w:rsid w:val="00036765"/>
    <w:rsid w:val="000374D6"/>
    <w:rsid w:val="000463E3"/>
    <w:rsid w:val="00053156"/>
    <w:rsid w:val="000600FC"/>
    <w:rsid w:val="000642B9"/>
    <w:rsid w:val="0007555A"/>
    <w:rsid w:val="000800F4"/>
    <w:rsid w:val="0008103E"/>
    <w:rsid w:val="00084245"/>
    <w:rsid w:val="000859EB"/>
    <w:rsid w:val="00085CEA"/>
    <w:rsid w:val="0009417F"/>
    <w:rsid w:val="00094B3D"/>
    <w:rsid w:val="000A7353"/>
    <w:rsid w:val="000B2997"/>
    <w:rsid w:val="000B2B5A"/>
    <w:rsid w:val="000B3351"/>
    <w:rsid w:val="000B5E2F"/>
    <w:rsid w:val="000B7131"/>
    <w:rsid w:val="000C3822"/>
    <w:rsid w:val="000D232B"/>
    <w:rsid w:val="000E6549"/>
    <w:rsid w:val="00103AA7"/>
    <w:rsid w:val="001104B3"/>
    <w:rsid w:val="001129F5"/>
    <w:rsid w:val="00115BA5"/>
    <w:rsid w:val="001175E5"/>
    <w:rsid w:val="00117BB0"/>
    <w:rsid w:val="0012042E"/>
    <w:rsid w:val="001257FD"/>
    <w:rsid w:val="00125C9A"/>
    <w:rsid w:val="001265F6"/>
    <w:rsid w:val="00132AD8"/>
    <w:rsid w:val="001333F0"/>
    <w:rsid w:val="00134AEC"/>
    <w:rsid w:val="00137890"/>
    <w:rsid w:val="00137961"/>
    <w:rsid w:val="001411C0"/>
    <w:rsid w:val="00141239"/>
    <w:rsid w:val="00144D0D"/>
    <w:rsid w:val="00154B64"/>
    <w:rsid w:val="001551D8"/>
    <w:rsid w:val="00160F4E"/>
    <w:rsid w:val="0017038C"/>
    <w:rsid w:val="00171213"/>
    <w:rsid w:val="001724AE"/>
    <w:rsid w:val="00173E45"/>
    <w:rsid w:val="001768D1"/>
    <w:rsid w:val="001824AA"/>
    <w:rsid w:val="001824C1"/>
    <w:rsid w:val="001914B0"/>
    <w:rsid w:val="00192731"/>
    <w:rsid w:val="00193294"/>
    <w:rsid w:val="00195449"/>
    <w:rsid w:val="00195FB4"/>
    <w:rsid w:val="001A06EF"/>
    <w:rsid w:val="001B2C81"/>
    <w:rsid w:val="001B76B2"/>
    <w:rsid w:val="001C00B6"/>
    <w:rsid w:val="001C7892"/>
    <w:rsid w:val="001D0F01"/>
    <w:rsid w:val="001E0A65"/>
    <w:rsid w:val="001F049E"/>
    <w:rsid w:val="001F604B"/>
    <w:rsid w:val="001F67FF"/>
    <w:rsid w:val="00200FB4"/>
    <w:rsid w:val="00203E32"/>
    <w:rsid w:val="002078BF"/>
    <w:rsid w:val="00210BF0"/>
    <w:rsid w:val="00213845"/>
    <w:rsid w:val="0021749E"/>
    <w:rsid w:val="00220B72"/>
    <w:rsid w:val="00221F13"/>
    <w:rsid w:val="002242C9"/>
    <w:rsid w:val="002263F0"/>
    <w:rsid w:val="00227640"/>
    <w:rsid w:val="00233E3C"/>
    <w:rsid w:val="00235413"/>
    <w:rsid w:val="00235579"/>
    <w:rsid w:val="00236A96"/>
    <w:rsid w:val="00251B6F"/>
    <w:rsid w:val="00253974"/>
    <w:rsid w:val="00255E85"/>
    <w:rsid w:val="00275937"/>
    <w:rsid w:val="00281F3C"/>
    <w:rsid w:val="00286392"/>
    <w:rsid w:val="0028763B"/>
    <w:rsid w:val="00295235"/>
    <w:rsid w:val="00295E94"/>
    <w:rsid w:val="00296344"/>
    <w:rsid w:val="0029722F"/>
    <w:rsid w:val="00297D36"/>
    <w:rsid w:val="002A54E2"/>
    <w:rsid w:val="002A6A78"/>
    <w:rsid w:val="002A7D10"/>
    <w:rsid w:val="002B470D"/>
    <w:rsid w:val="002C368D"/>
    <w:rsid w:val="002C4596"/>
    <w:rsid w:val="002C6378"/>
    <w:rsid w:val="002D003A"/>
    <w:rsid w:val="002D5334"/>
    <w:rsid w:val="002E6DAB"/>
    <w:rsid w:val="002F0298"/>
    <w:rsid w:val="002F6581"/>
    <w:rsid w:val="00304CCD"/>
    <w:rsid w:val="00307091"/>
    <w:rsid w:val="003123BB"/>
    <w:rsid w:val="00315EAB"/>
    <w:rsid w:val="00322534"/>
    <w:rsid w:val="00327D00"/>
    <w:rsid w:val="00335336"/>
    <w:rsid w:val="003407E3"/>
    <w:rsid w:val="00342447"/>
    <w:rsid w:val="003430E2"/>
    <w:rsid w:val="00346B1F"/>
    <w:rsid w:val="0035139B"/>
    <w:rsid w:val="00354CA8"/>
    <w:rsid w:val="00354F6D"/>
    <w:rsid w:val="00371ABB"/>
    <w:rsid w:val="00373033"/>
    <w:rsid w:val="003812AC"/>
    <w:rsid w:val="00391336"/>
    <w:rsid w:val="003972B1"/>
    <w:rsid w:val="003B549A"/>
    <w:rsid w:val="003B5DE7"/>
    <w:rsid w:val="003C20E6"/>
    <w:rsid w:val="003C4F7A"/>
    <w:rsid w:val="003C6DB9"/>
    <w:rsid w:val="003D35CE"/>
    <w:rsid w:val="003D42AF"/>
    <w:rsid w:val="003D6352"/>
    <w:rsid w:val="003D7E39"/>
    <w:rsid w:val="003E6808"/>
    <w:rsid w:val="003F2F71"/>
    <w:rsid w:val="003F38D6"/>
    <w:rsid w:val="003F6240"/>
    <w:rsid w:val="0040024E"/>
    <w:rsid w:val="00403F8B"/>
    <w:rsid w:val="00411B5C"/>
    <w:rsid w:val="00420A25"/>
    <w:rsid w:val="004242A3"/>
    <w:rsid w:val="0043118E"/>
    <w:rsid w:val="00433473"/>
    <w:rsid w:val="00443A6F"/>
    <w:rsid w:val="00444B0B"/>
    <w:rsid w:val="0045080F"/>
    <w:rsid w:val="00455B00"/>
    <w:rsid w:val="0045755F"/>
    <w:rsid w:val="00463B75"/>
    <w:rsid w:val="00474311"/>
    <w:rsid w:val="0048186A"/>
    <w:rsid w:val="00481DDD"/>
    <w:rsid w:val="00493F0A"/>
    <w:rsid w:val="00494F95"/>
    <w:rsid w:val="004A2E8B"/>
    <w:rsid w:val="004A2E95"/>
    <w:rsid w:val="004B2EBB"/>
    <w:rsid w:val="004B3259"/>
    <w:rsid w:val="004B355A"/>
    <w:rsid w:val="004B4CC6"/>
    <w:rsid w:val="004B5808"/>
    <w:rsid w:val="004B6EE0"/>
    <w:rsid w:val="004C1E2A"/>
    <w:rsid w:val="004D71AB"/>
    <w:rsid w:val="004E34A4"/>
    <w:rsid w:val="004F737B"/>
    <w:rsid w:val="00500DDE"/>
    <w:rsid w:val="00501D33"/>
    <w:rsid w:val="00502312"/>
    <w:rsid w:val="005045A3"/>
    <w:rsid w:val="00506B39"/>
    <w:rsid w:val="00507E73"/>
    <w:rsid w:val="0051396D"/>
    <w:rsid w:val="00516E40"/>
    <w:rsid w:val="00516FCF"/>
    <w:rsid w:val="00520542"/>
    <w:rsid w:val="00521016"/>
    <w:rsid w:val="00533F9F"/>
    <w:rsid w:val="005426DA"/>
    <w:rsid w:val="00543A27"/>
    <w:rsid w:val="00547065"/>
    <w:rsid w:val="00551838"/>
    <w:rsid w:val="00553DCF"/>
    <w:rsid w:val="00564D30"/>
    <w:rsid w:val="00566E31"/>
    <w:rsid w:val="005676DC"/>
    <w:rsid w:val="00574051"/>
    <w:rsid w:val="00574D1D"/>
    <w:rsid w:val="00587DC0"/>
    <w:rsid w:val="00590546"/>
    <w:rsid w:val="00597079"/>
    <w:rsid w:val="00597A97"/>
    <w:rsid w:val="005A19DE"/>
    <w:rsid w:val="005A2C56"/>
    <w:rsid w:val="005A7EF4"/>
    <w:rsid w:val="005B74DC"/>
    <w:rsid w:val="005B75BE"/>
    <w:rsid w:val="005C3823"/>
    <w:rsid w:val="005C60A1"/>
    <w:rsid w:val="005C6AEA"/>
    <w:rsid w:val="005C78CD"/>
    <w:rsid w:val="005D2AE2"/>
    <w:rsid w:val="005D38C1"/>
    <w:rsid w:val="005D505A"/>
    <w:rsid w:val="005D7428"/>
    <w:rsid w:val="005E139A"/>
    <w:rsid w:val="005E4AFD"/>
    <w:rsid w:val="005E5E1D"/>
    <w:rsid w:val="005F2A56"/>
    <w:rsid w:val="005F49DB"/>
    <w:rsid w:val="005F4FF3"/>
    <w:rsid w:val="00600D88"/>
    <w:rsid w:val="00602350"/>
    <w:rsid w:val="0060710C"/>
    <w:rsid w:val="00622139"/>
    <w:rsid w:val="00622E81"/>
    <w:rsid w:val="00626C83"/>
    <w:rsid w:val="006334BD"/>
    <w:rsid w:val="0063624A"/>
    <w:rsid w:val="00652866"/>
    <w:rsid w:val="00654F4C"/>
    <w:rsid w:val="00657BCA"/>
    <w:rsid w:val="006669A6"/>
    <w:rsid w:val="006747A3"/>
    <w:rsid w:val="00685B1C"/>
    <w:rsid w:val="00690C89"/>
    <w:rsid w:val="006929E3"/>
    <w:rsid w:val="00693154"/>
    <w:rsid w:val="00693B0B"/>
    <w:rsid w:val="006A09DA"/>
    <w:rsid w:val="006A1822"/>
    <w:rsid w:val="006B5726"/>
    <w:rsid w:val="006C2DB0"/>
    <w:rsid w:val="006C4CC8"/>
    <w:rsid w:val="006C508E"/>
    <w:rsid w:val="006C576C"/>
    <w:rsid w:val="006C7170"/>
    <w:rsid w:val="006D6F1F"/>
    <w:rsid w:val="006E68A5"/>
    <w:rsid w:val="006E7652"/>
    <w:rsid w:val="006F2D24"/>
    <w:rsid w:val="00700BEA"/>
    <w:rsid w:val="0070231C"/>
    <w:rsid w:val="00704F0E"/>
    <w:rsid w:val="00710626"/>
    <w:rsid w:val="00710CAE"/>
    <w:rsid w:val="00711F93"/>
    <w:rsid w:val="007124CD"/>
    <w:rsid w:val="00712DB4"/>
    <w:rsid w:val="00717057"/>
    <w:rsid w:val="00717312"/>
    <w:rsid w:val="00722606"/>
    <w:rsid w:val="0072392C"/>
    <w:rsid w:val="00723FE0"/>
    <w:rsid w:val="00730091"/>
    <w:rsid w:val="00742845"/>
    <w:rsid w:val="00745443"/>
    <w:rsid w:val="007546E4"/>
    <w:rsid w:val="0075526C"/>
    <w:rsid w:val="007672A0"/>
    <w:rsid w:val="00767459"/>
    <w:rsid w:val="007725E5"/>
    <w:rsid w:val="00777ED2"/>
    <w:rsid w:val="0078273B"/>
    <w:rsid w:val="00784DA2"/>
    <w:rsid w:val="00785369"/>
    <w:rsid w:val="007B0BBD"/>
    <w:rsid w:val="007B32F8"/>
    <w:rsid w:val="007B3F71"/>
    <w:rsid w:val="007B59CA"/>
    <w:rsid w:val="007C1949"/>
    <w:rsid w:val="007D086A"/>
    <w:rsid w:val="007E1E0B"/>
    <w:rsid w:val="007E55D2"/>
    <w:rsid w:val="007F4F22"/>
    <w:rsid w:val="007F5116"/>
    <w:rsid w:val="00812EA3"/>
    <w:rsid w:val="00817D56"/>
    <w:rsid w:val="00821952"/>
    <w:rsid w:val="00822423"/>
    <w:rsid w:val="0084046F"/>
    <w:rsid w:val="008430DC"/>
    <w:rsid w:val="00843834"/>
    <w:rsid w:val="008448BD"/>
    <w:rsid w:val="00847C1E"/>
    <w:rsid w:val="008576E9"/>
    <w:rsid w:val="0086217E"/>
    <w:rsid w:val="0086441C"/>
    <w:rsid w:val="00867BE9"/>
    <w:rsid w:val="00870987"/>
    <w:rsid w:val="0089751F"/>
    <w:rsid w:val="00897AB0"/>
    <w:rsid w:val="008A588E"/>
    <w:rsid w:val="008A6290"/>
    <w:rsid w:val="008A75BB"/>
    <w:rsid w:val="008B7C6B"/>
    <w:rsid w:val="008B7C81"/>
    <w:rsid w:val="008C18AA"/>
    <w:rsid w:val="008D3098"/>
    <w:rsid w:val="008F2F2E"/>
    <w:rsid w:val="008F6064"/>
    <w:rsid w:val="008F7153"/>
    <w:rsid w:val="00905E6B"/>
    <w:rsid w:val="00907394"/>
    <w:rsid w:val="009165EB"/>
    <w:rsid w:val="00927DE6"/>
    <w:rsid w:val="009322FA"/>
    <w:rsid w:val="00936712"/>
    <w:rsid w:val="00943086"/>
    <w:rsid w:val="00945DD9"/>
    <w:rsid w:val="00950BB3"/>
    <w:rsid w:val="00951EE0"/>
    <w:rsid w:val="00960D64"/>
    <w:rsid w:val="00963598"/>
    <w:rsid w:val="009711BA"/>
    <w:rsid w:val="00971534"/>
    <w:rsid w:val="00973A35"/>
    <w:rsid w:val="00974F05"/>
    <w:rsid w:val="00976855"/>
    <w:rsid w:val="00981B72"/>
    <w:rsid w:val="00981BB6"/>
    <w:rsid w:val="00990BFD"/>
    <w:rsid w:val="00996AFB"/>
    <w:rsid w:val="00996F13"/>
    <w:rsid w:val="009B1265"/>
    <w:rsid w:val="009B6433"/>
    <w:rsid w:val="009B68A7"/>
    <w:rsid w:val="009C2D2D"/>
    <w:rsid w:val="009C3BA6"/>
    <w:rsid w:val="009D097D"/>
    <w:rsid w:val="009D0A41"/>
    <w:rsid w:val="009D3352"/>
    <w:rsid w:val="009D56B6"/>
    <w:rsid w:val="009D7FC3"/>
    <w:rsid w:val="009E5A5D"/>
    <w:rsid w:val="00A02FD6"/>
    <w:rsid w:val="00A0684D"/>
    <w:rsid w:val="00A07D3F"/>
    <w:rsid w:val="00A10EE5"/>
    <w:rsid w:val="00A1372E"/>
    <w:rsid w:val="00A2623E"/>
    <w:rsid w:val="00A267E9"/>
    <w:rsid w:val="00A31670"/>
    <w:rsid w:val="00A32708"/>
    <w:rsid w:val="00A3655B"/>
    <w:rsid w:val="00A46708"/>
    <w:rsid w:val="00A51C7A"/>
    <w:rsid w:val="00A51E3C"/>
    <w:rsid w:val="00A61956"/>
    <w:rsid w:val="00A72B87"/>
    <w:rsid w:val="00A7320A"/>
    <w:rsid w:val="00A76004"/>
    <w:rsid w:val="00A76964"/>
    <w:rsid w:val="00A80CB8"/>
    <w:rsid w:val="00A81666"/>
    <w:rsid w:val="00A867E5"/>
    <w:rsid w:val="00A972CD"/>
    <w:rsid w:val="00AA32F6"/>
    <w:rsid w:val="00AB23D7"/>
    <w:rsid w:val="00AB5513"/>
    <w:rsid w:val="00AB6E39"/>
    <w:rsid w:val="00AC3B91"/>
    <w:rsid w:val="00AC4F57"/>
    <w:rsid w:val="00AD64AC"/>
    <w:rsid w:val="00AE2AC4"/>
    <w:rsid w:val="00AF1A44"/>
    <w:rsid w:val="00AF4A01"/>
    <w:rsid w:val="00B033AC"/>
    <w:rsid w:val="00B04C89"/>
    <w:rsid w:val="00B1121F"/>
    <w:rsid w:val="00B11836"/>
    <w:rsid w:val="00B12FE8"/>
    <w:rsid w:val="00B230D0"/>
    <w:rsid w:val="00B27579"/>
    <w:rsid w:val="00B35049"/>
    <w:rsid w:val="00B364CF"/>
    <w:rsid w:val="00B366B6"/>
    <w:rsid w:val="00B377BC"/>
    <w:rsid w:val="00B43983"/>
    <w:rsid w:val="00B665BC"/>
    <w:rsid w:val="00B6782B"/>
    <w:rsid w:val="00B80670"/>
    <w:rsid w:val="00B8112B"/>
    <w:rsid w:val="00B8130B"/>
    <w:rsid w:val="00B854B6"/>
    <w:rsid w:val="00B974B0"/>
    <w:rsid w:val="00BA47E3"/>
    <w:rsid w:val="00BA4A3F"/>
    <w:rsid w:val="00BB1DA8"/>
    <w:rsid w:val="00BB2FE3"/>
    <w:rsid w:val="00BC4A52"/>
    <w:rsid w:val="00BC5372"/>
    <w:rsid w:val="00BC5EF5"/>
    <w:rsid w:val="00BE4D44"/>
    <w:rsid w:val="00BF04BA"/>
    <w:rsid w:val="00BF0631"/>
    <w:rsid w:val="00BF10C9"/>
    <w:rsid w:val="00BF729B"/>
    <w:rsid w:val="00C064BB"/>
    <w:rsid w:val="00C1089A"/>
    <w:rsid w:val="00C1438D"/>
    <w:rsid w:val="00C16A52"/>
    <w:rsid w:val="00C22046"/>
    <w:rsid w:val="00C308DC"/>
    <w:rsid w:val="00C34C03"/>
    <w:rsid w:val="00C41398"/>
    <w:rsid w:val="00C51472"/>
    <w:rsid w:val="00C71BF0"/>
    <w:rsid w:val="00C74070"/>
    <w:rsid w:val="00C928D5"/>
    <w:rsid w:val="00C93F0C"/>
    <w:rsid w:val="00C97009"/>
    <w:rsid w:val="00CA159F"/>
    <w:rsid w:val="00CC3DD1"/>
    <w:rsid w:val="00CC7454"/>
    <w:rsid w:val="00CD4975"/>
    <w:rsid w:val="00CE18E6"/>
    <w:rsid w:val="00CF2C15"/>
    <w:rsid w:val="00CF5DF9"/>
    <w:rsid w:val="00D141EC"/>
    <w:rsid w:val="00D14897"/>
    <w:rsid w:val="00D15A7B"/>
    <w:rsid w:val="00D16DC6"/>
    <w:rsid w:val="00D22EE9"/>
    <w:rsid w:val="00D23946"/>
    <w:rsid w:val="00D3166A"/>
    <w:rsid w:val="00D3491E"/>
    <w:rsid w:val="00D42089"/>
    <w:rsid w:val="00D43EA6"/>
    <w:rsid w:val="00D46117"/>
    <w:rsid w:val="00D46143"/>
    <w:rsid w:val="00D51959"/>
    <w:rsid w:val="00D542EB"/>
    <w:rsid w:val="00D545E9"/>
    <w:rsid w:val="00D54A2C"/>
    <w:rsid w:val="00D63A5D"/>
    <w:rsid w:val="00D65A91"/>
    <w:rsid w:val="00D76399"/>
    <w:rsid w:val="00D770C1"/>
    <w:rsid w:val="00D803DC"/>
    <w:rsid w:val="00D803E1"/>
    <w:rsid w:val="00D8181A"/>
    <w:rsid w:val="00D86355"/>
    <w:rsid w:val="00D90AF7"/>
    <w:rsid w:val="00D96B2D"/>
    <w:rsid w:val="00DA2AFF"/>
    <w:rsid w:val="00DA50DF"/>
    <w:rsid w:val="00DA556C"/>
    <w:rsid w:val="00DA70D0"/>
    <w:rsid w:val="00DC02BB"/>
    <w:rsid w:val="00DC4DDF"/>
    <w:rsid w:val="00DD08A4"/>
    <w:rsid w:val="00DE00F1"/>
    <w:rsid w:val="00DE40A4"/>
    <w:rsid w:val="00DF0D82"/>
    <w:rsid w:val="00DF18CD"/>
    <w:rsid w:val="00DF210B"/>
    <w:rsid w:val="00DF3728"/>
    <w:rsid w:val="00DF6C0E"/>
    <w:rsid w:val="00E2075D"/>
    <w:rsid w:val="00E22B09"/>
    <w:rsid w:val="00E37202"/>
    <w:rsid w:val="00E4741B"/>
    <w:rsid w:val="00E56566"/>
    <w:rsid w:val="00E56FE0"/>
    <w:rsid w:val="00E73177"/>
    <w:rsid w:val="00E83E8C"/>
    <w:rsid w:val="00E86562"/>
    <w:rsid w:val="00EA00C4"/>
    <w:rsid w:val="00EB3E43"/>
    <w:rsid w:val="00EB5D9B"/>
    <w:rsid w:val="00EB5DF5"/>
    <w:rsid w:val="00EC1CF7"/>
    <w:rsid w:val="00EC4112"/>
    <w:rsid w:val="00EC6E9B"/>
    <w:rsid w:val="00EC79C0"/>
    <w:rsid w:val="00EC7A09"/>
    <w:rsid w:val="00EE5F82"/>
    <w:rsid w:val="00EF1E46"/>
    <w:rsid w:val="00EF22C7"/>
    <w:rsid w:val="00EF506A"/>
    <w:rsid w:val="00F06D0B"/>
    <w:rsid w:val="00F141D4"/>
    <w:rsid w:val="00F166E2"/>
    <w:rsid w:val="00F17A5B"/>
    <w:rsid w:val="00F204F9"/>
    <w:rsid w:val="00F2081C"/>
    <w:rsid w:val="00F21C2C"/>
    <w:rsid w:val="00F23740"/>
    <w:rsid w:val="00F26779"/>
    <w:rsid w:val="00F26DC1"/>
    <w:rsid w:val="00F31240"/>
    <w:rsid w:val="00F31D39"/>
    <w:rsid w:val="00F32E53"/>
    <w:rsid w:val="00F444E5"/>
    <w:rsid w:val="00F455D3"/>
    <w:rsid w:val="00F461B2"/>
    <w:rsid w:val="00F51076"/>
    <w:rsid w:val="00F51A5E"/>
    <w:rsid w:val="00F51F0E"/>
    <w:rsid w:val="00F55C89"/>
    <w:rsid w:val="00F56D63"/>
    <w:rsid w:val="00F628F6"/>
    <w:rsid w:val="00F7389A"/>
    <w:rsid w:val="00F7634F"/>
    <w:rsid w:val="00F84691"/>
    <w:rsid w:val="00F87323"/>
    <w:rsid w:val="00F901E7"/>
    <w:rsid w:val="00F907BC"/>
    <w:rsid w:val="00F93148"/>
    <w:rsid w:val="00FA1259"/>
    <w:rsid w:val="00FA63AE"/>
    <w:rsid w:val="00FA68CA"/>
    <w:rsid w:val="00FA6FFB"/>
    <w:rsid w:val="00FC1575"/>
    <w:rsid w:val="00FC2C3A"/>
    <w:rsid w:val="00FC7196"/>
    <w:rsid w:val="00FC7DBC"/>
    <w:rsid w:val="00FD30BC"/>
    <w:rsid w:val="00FF6CCA"/>
    <w:rsid w:val="0214ABE9"/>
    <w:rsid w:val="07D92BF2"/>
    <w:rsid w:val="0873DF40"/>
    <w:rsid w:val="09703502"/>
    <w:rsid w:val="0C073902"/>
    <w:rsid w:val="0C7F6830"/>
    <w:rsid w:val="1081FE10"/>
    <w:rsid w:val="1294EED8"/>
    <w:rsid w:val="12A9299F"/>
    <w:rsid w:val="13087AE6"/>
    <w:rsid w:val="13780C4E"/>
    <w:rsid w:val="153F4601"/>
    <w:rsid w:val="16483171"/>
    <w:rsid w:val="172958F3"/>
    <w:rsid w:val="192297D6"/>
    <w:rsid w:val="19636545"/>
    <w:rsid w:val="1A1F9BF4"/>
    <w:rsid w:val="1B9A2BC8"/>
    <w:rsid w:val="1C5A3898"/>
    <w:rsid w:val="1FCF7B36"/>
    <w:rsid w:val="1FD0D763"/>
    <w:rsid w:val="2105F7FB"/>
    <w:rsid w:val="238EEC46"/>
    <w:rsid w:val="23F47467"/>
    <w:rsid w:val="248BD0CB"/>
    <w:rsid w:val="2625945D"/>
    <w:rsid w:val="26438CAF"/>
    <w:rsid w:val="2687022C"/>
    <w:rsid w:val="2944888F"/>
    <w:rsid w:val="2AD0DADA"/>
    <w:rsid w:val="2B256E23"/>
    <w:rsid w:val="2E0FACF4"/>
    <w:rsid w:val="2F527C28"/>
    <w:rsid w:val="2FAFEAAA"/>
    <w:rsid w:val="322029F2"/>
    <w:rsid w:val="3451051E"/>
    <w:rsid w:val="34A03833"/>
    <w:rsid w:val="35920514"/>
    <w:rsid w:val="37075074"/>
    <w:rsid w:val="38CD0EA5"/>
    <w:rsid w:val="39BAB097"/>
    <w:rsid w:val="3AC7B88C"/>
    <w:rsid w:val="3CFF6DD9"/>
    <w:rsid w:val="3EB0C3BA"/>
    <w:rsid w:val="42590564"/>
    <w:rsid w:val="4369A073"/>
    <w:rsid w:val="437ADB4A"/>
    <w:rsid w:val="43DC2935"/>
    <w:rsid w:val="44389DC4"/>
    <w:rsid w:val="4581E9F2"/>
    <w:rsid w:val="463C9A8A"/>
    <w:rsid w:val="46B27C0C"/>
    <w:rsid w:val="46C876AD"/>
    <w:rsid w:val="4713C9F7"/>
    <w:rsid w:val="482AB64D"/>
    <w:rsid w:val="48FFF477"/>
    <w:rsid w:val="490FBD73"/>
    <w:rsid w:val="4A0FFB79"/>
    <w:rsid w:val="4B323F10"/>
    <w:rsid w:val="4DBB2849"/>
    <w:rsid w:val="4E8F7AFE"/>
    <w:rsid w:val="4EA3757A"/>
    <w:rsid w:val="50587731"/>
    <w:rsid w:val="51467C2E"/>
    <w:rsid w:val="5164009A"/>
    <w:rsid w:val="531C28D5"/>
    <w:rsid w:val="59C28C55"/>
    <w:rsid w:val="5A1DCB5B"/>
    <w:rsid w:val="5A822899"/>
    <w:rsid w:val="5AFC364C"/>
    <w:rsid w:val="5B80EA16"/>
    <w:rsid w:val="6333C1A4"/>
    <w:rsid w:val="63ABD272"/>
    <w:rsid w:val="654D04D5"/>
    <w:rsid w:val="65A1E671"/>
    <w:rsid w:val="65C8935B"/>
    <w:rsid w:val="6807EE8E"/>
    <w:rsid w:val="68C25A57"/>
    <w:rsid w:val="6AC3B2CB"/>
    <w:rsid w:val="6B2D477F"/>
    <w:rsid w:val="6DD59745"/>
    <w:rsid w:val="6F0BF58A"/>
    <w:rsid w:val="718C3C8C"/>
    <w:rsid w:val="72EE7B5C"/>
    <w:rsid w:val="749CA7A8"/>
    <w:rsid w:val="750FFCCD"/>
    <w:rsid w:val="788AFA1A"/>
    <w:rsid w:val="7A60E53A"/>
    <w:rsid w:val="7AD45394"/>
    <w:rsid w:val="7D0B0A3C"/>
    <w:rsid w:val="7F4AA0BA"/>
    <w:rsid w:val="7F5B27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B921468"/>
  <w15:chartTrackingRefBased/>
  <w15:docId w15:val="{0EABD748-49A1-441F-AE0B-0CDE1D5B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10EE5"/>
    <w:pPr>
      <w:spacing w:after="120" w:line="242" w:lineRule="auto"/>
      <w:jc w:val="both"/>
    </w:pPr>
    <w:rPr>
      <w:rFonts w:ascii="Verdana" w:hAnsi="Verdana"/>
      <w:color w:val="000000" w:themeColor="text1"/>
      <w:sz w:val="19"/>
      <w:szCs w:val="19"/>
      <w:lang w:val="en-GB"/>
    </w:rPr>
  </w:style>
  <w:style w:type="paragraph" w:styleId="Nagwek1">
    <w:name w:val="heading 1"/>
    <w:basedOn w:val="Normalny"/>
    <w:next w:val="Normalny"/>
    <w:link w:val="Nagwek1Znak"/>
    <w:uiPriority w:val="9"/>
    <w:rsid w:val="00420A25"/>
    <w:pPr>
      <w:outlineLvl w:val="0"/>
    </w:pPr>
  </w:style>
  <w:style w:type="paragraph" w:styleId="Nagwek3">
    <w:name w:val="heading 3"/>
    <w:basedOn w:val="Normalny"/>
    <w:next w:val="Normalny"/>
    <w:link w:val="Nagwek3Znak"/>
    <w:uiPriority w:val="9"/>
    <w:semiHidden/>
    <w:unhideWhenUsed/>
    <w:qFormat/>
    <w:rsid w:val="001333F0"/>
    <w:pPr>
      <w:keepNext/>
      <w:keepLines/>
      <w:spacing w:before="40" w:after="0"/>
      <w:outlineLvl w:val="2"/>
    </w:pPr>
    <w:rPr>
      <w:rFonts w:asciiTheme="majorHAnsi" w:eastAsiaTheme="majorEastAsia" w:hAnsiTheme="majorHAnsi" w:cstheme="majorBidi"/>
      <w:color w:val="11002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uiPriority w:val="99"/>
    <w:semiHidden/>
    <w:unhideWhenUsed/>
    <w:rsid w:val="007B0BBD"/>
  </w:style>
  <w:style w:type="table" w:styleId="Tabela-Siatka">
    <w:name w:val="Table Grid"/>
    <w:basedOn w:val="Standardowy"/>
    <w:uiPriority w:val="39"/>
    <w:rsid w:val="007B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20A25"/>
    <w:rPr>
      <w:rFonts w:ascii="Verdana" w:hAnsi="Verdana"/>
      <w:color w:val="000000" w:themeColor="text1"/>
      <w:sz w:val="19"/>
      <w:szCs w:val="19"/>
      <w:lang w:val="en-GB"/>
    </w:rPr>
  </w:style>
  <w:style w:type="numbering" w:customStyle="1" w:styleId="Listeactuelle1">
    <w:name w:val="Liste actuelle1"/>
    <w:uiPriority w:val="99"/>
    <w:rsid w:val="00F444E5"/>
    <w:pPr>
      <w:numPr>
        <w:numId w:val="3"/>
      </w:numPr>
    </w:pPr>
  </w:style>
  <w:style w:type="numbering" w:customStyle="1" w:styleId="Listeactuelle2">
    <w:name w:val="Liste actuelle2"/>
    <w:uiPriority w:val="99"/>
    <w:rsid w:val="00F444E5"/>
    <w:pPr>
      <w:numPr>
        <w:numId w:val="4"/>
      </w:numPr>
    </w:pPr>
  </w:style>
  <w:style w:type="numbering" w:customStyle="1" w:styleId="Listeactuelle3">
    <w:name w:val="Liste actuelle3"/>
    <w:uiPriority w:val="99"/>
    <w:rsid w:val="00F444E5"/>
    <w:pPr>
      <w:numPr>
        <w:numId w:val="5"/>
      </w:numPr>
    </w:pPr>
  </w:style>
  <w:style w:type="numbering" w:customStyle="1" w:styleId="Listeactuelle4">
    <w:name w:val="Liste actuelle4"/>
    <w:uiPriority w:val="99"/>
    <w:rsid w:val="00F444E5"/>
    <w:pPr>
      <w:numPr>
        <w:numId w:val="6"/>
      </w:numPr>
    </w:pPr>
  </w:style>
  <w:style w:type="numbering" w:customStyle="1" w:styleId="Listeactuelle5">
    <w:name w:val="Liste actuelle5"/>
    <w:uiPriority w:val="99"/>
    <w:rsid w:val="00DF18CD"/>
    <w:pPr>
      <w:numPr>
        <w:numId w:val="7"/>
      </w:numPr>
    </w:pPr>
  </w:style>
  <w:style w:type="numbering" w:customStyle="1" w:styleId="Listeactuelle6">
    <w:name w:val="Liste actuelle6"/>
    <w:uiPriority w:val="99"/>
    <w:rsid w:val="00DF18CD"/>
    <w:pPr>
      <w:numPr>
        <w:numId w:val="8"/>
      </w:numPr>
    </w:pPr>
  </w:style>
  <w:style w:type="character" w:customStyle="1" w:styleId="UnresolvedMention1">
    <w:name w:val="Unresolved Mention1"/>
    <w:basedOn w:val="Domylnaczcionkaakapitu"/>
    <w:uiPriority w:val="99"/>
    <w:semiHidden/>
    <w:unhideWhenUsed/>
    <w:rsid w:val="00D803E1"/>
    <w:rPr>
      <w:color w:val="605E5C"/>
      <w:shd w:val="clear" w:color="auto" w:fill="E1DFDD"/>
    </w:rPr>
  </w:style>
  <w:style w:type="character" w:styleId="UyteHipercze">
    <w:name w:val="FollowedHyperlink"/>
    <w:basedOn w:val="Domylnaczcionkaakapitu"/>
    <w:uiPriority w:val="99"/>
    <w:semiHidden/>
    <w:unhideWhenUsed/>
    <w:rsid w:val="00990BFD"/>
    <w:rPr>
      <w:color w:val="C492FF" w:themeColor="followedHyperlink"/>
      <w:u w:val="single"/>
    </w:rPr>
  </w:style>
  <w:style w:type="paragraph" w:styleId="Tekstprzypisudolnego">
    <w:name w:val="footnote text"/>
    <w:basedOn w:val="Normalny"/>
    <w:link w:val="TekstprzypisudolnegoZnak"/>
    <w:uiPriority w:val="99"/>
    <w:semiHidden/>
    <w:unhideWhenUsed/>
    <w:rsid w:val="005A7E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7EF4"/>
    <w:rPr>
      <w:rFonts w:ascii="Verdana" w:hAnsi="Verdana"/>
      <w:color w:val="000000" w:themeColor="text1"/>
      <w:sz w:val="20"/>
      <w:szCs w:val="20"/>
      <w:lang w:val="en-GB"/>
    </w:rPr>
  </w:style>
  <w:style w:type="character" w:styleId="Odwoanieprzypisudolnego">
    <w:name w:val="footnote reference"/>
    <w:basedOn w:val="Domylnaczcionkaakapitu"/>
    <w:uiPriority w:val="99"/>
    <w:semiHidden/>
    <w:unhideWhenUsed/>
    <w:rsid w:val="005A7EF4"/>
    <w:rPr>
      <w:vertAlign w:val="superscript"/>
    </w:rPr>
  </w:style>
  <w:style w:type="character" w:styleId="Hipercze">
    <w:name w:val="Hyperlink"/>
    <w:basedOn w:val="Domylnaczcionkaakapitu"/>
    <w:uiPriority w:val="99"/>
    <w:unhideWhenUsed/>
    <w:rsid w:val="008430DC"/>
    <w:rPr>
      <w:color w:val="5400B8" w:themeColor="hyperlink"/>
      <w:u w:val="single"/>
    </w:rPr>
  </w:style>
  <w:style w:type="paragraph" w:styleId="Nagwek">
    <w:name w:val="header"/>
    <w:basedOn w:val="Normalny"/>
    <w:link w:val="NagwekZnak"/>
    <w:uiPriority w:val="99"/>
    <w:unhideWhenUsed/>
    <w:rsid w:val="00FC2C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C3A"/>
    <w:rPr>
      <w:rFonts w:ascii="Verdana" w:hAnsi="Verdana"/>
      <w:color w:val="000000" w:themeColor="text1"/>
      <w:sz w:val="19"/>
      <w:szCs w:val="19"/>
      <w:lang w:val="en-GB"/>
    </w:rPr>
  </w:style>
  <w:style w:type="paragraph" w:styleId="Stopka">
    <w:name w:val="footer"/>
    <w:basedOn w:val="Normalny"/>
    <w:link w:val="StopkaZnak"/>
    <w:uiPriority w:val="99"/>
    <w:unhideWhenUsed/>
    <w:rsid w:val="00FC2C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C3A"/>
    <w:rPr>
      <w:rFonts w:ascii="Verdana" w:hAnsi="Verdana"/>
      <w:color w:val="000000" w:themeColor="text1"/>
      <w:sz w:val="19"/>
      <w:szCs w:val="19"/>
      <w:lang w:val="en-GB"/>
    </w:rPr>
  </w:style>
  <w:style w:type="paragraph" w:styleId="Tekstprzypisukocowego">
    <w:name w:val="endnote text"/>
    <w:basedOn w:val="Normalny"/>
    <w:link w:val="TekstprzypisukocowegoZnak"/>
    <w:uiPriority w:val="99"/>
    <w:semiHidden/>
    <w:unhideWhenUsed/>
    <w:rsid w:val="00C71B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BF0"/>
    <w:rPr>
      <w:rFonts w:ascii="Verdana" w:hAnsi="Verdana"/>
      <w:color w:val="000000" w:themeColor="text1"/>
      <w:sz w:val="20"/>
      <w:szCs w:val="20"/>
      <w:lang w:val="en-GB"/>
    </w:rPr>
  </w:style>
  <w:style w:type="character" w:styleId="Odwoanieprzypisukocowego">
    <w:name w:val="endnote reference"/>
    <w:basedOn w:val="Domylnaczcionkaakapitu"/>
    <w:uiPriority w:val="99"/>
    <w:semiHidden/>
    <w:unhideWhenUsed/>
    <w:rsid w:val="00C71BF0"/>
    <w:rPr>
      <w:vertAlign w:val="superscript"/>
    </w:rPr>
  </w:style>
  <w:style w:type="paragraph" w:styleId="Akapitzlist">
    <w:name w:val="List Paragraph"/>
    <w:basedOn w:val="Normalny"/>
    <w:uiPriority w:val="34"/>
    <w:rsid w:val="000374D6"/>
    <w:pPr>
      <w:ind w:left="720"/>
      <w:contextualSpacing/>
    </w:pPr>
  </w:style>
  <w:style w:type="paragraph" w:styleId="Poprawka">
    <w:name w:val="Revision"/>
    <w:hidden/>
    <w:uiPriority w:val="99"/>
    <w:semiHidden/>
    <w:rsid w:val="005B75BE"/>
    <w:rPr>
      <w:rFonts w:ascii="Verdana" w:hAnsi="Verdana"/>
      <w:color w:val="000000" w:themeColor="text1"/>
      <w:sz w:val="19"/>
      <w:szCs w:val="19"/>
      <w:lang w:val="en-GB"/>
    </w:rPr>
  </w:style>
  <w:style w:type="character" w:styleId="Odwoaniedokomentarza">
    <w:name w:val="annotation reference"/>
    <w:basedOn w:val="Domylnaczcionkaakapitu"/>
    <w:uiPriority w:val="99"/>
    <w:semiHidden/>
    <w:unhideWhenUsed/>
    <w:rsid w:val="007E1E0B"/>
    <w:rPr>
      <w:sz w:val="16"/>
      <w:szCs w:val="16"/>
    </w:rPr>
  </w:style>
  <w:style w:type="paragraph" w:styleId="Tekstkomentarza">
    <w:name w:val="annotation text"/>
    <w:basedOn w:val="Normalny"/>
    <w:link w:val="TekstkomentarzaZnak"/>
    <w:uiPriority w:val="99"/>
    <w:unhideWhenUsed/>
    <w:rsid w:val="007E1E0B"/>
    <w:pPr>
      <w:spacing w:line="240" w:lineRule="auto"/>
    </w:pPr>
    <w:rPr>
      <w:sz w:val="20"/>
      <w:szCs w:val="20"/>
    </w:rPr>
  </w:style>
  <w:style w:type="character" w:customStyle="1" w:styleId="TekstkomentarzaZnak">
    <w:name w:val="Tekst komentarza Znak"/>
    <w:basedOn w:val="Domylnaczcionkaakapitu"/>
    <w:link w:val="Tekstkomentarza"/>
    <w:uiPriority w:val="99"/>
    <w:rsid w:val="007E1E0B"/>
    <w:rPr>
      <w:rFonts w:ascii="Verdana" w:hAnsi="Verdana"/>
      <w:color w:val="000000" w:themeColor="text1"/>
      <w:sz w:val="20"/>
      <w:szCs w:val="20"/>
      <w:lang w:val="en-GB"/>
    </w:rPr>
  </w:style>
  <w:style w:type="paragraph" w:styleId="Tematkomentarza">
    <w:name w:val="annotation subject"/>
    <w:basedOn w:val="Tekstkomentarza"/>
    <w:next w:val="Tekstkomentarza"/>
    <w:link w:val="TematkomentarzaZnak"/>
    <w:uiPriority w:val="99"/>
    <w:semiHidden/>
    <w:unhideWhenUsed/>
    <w:rsid w:val="007E1E0B"/>
    <w:rPr>
      <w:b/>
      <w:bCs/>
    </w:rPr>
  </w:style>
  <w:style w:type="character" w:customStyle="1" w:styleId="TematkomentarzaZnak">
    <w:name w:val="Temat komentarza Znak"/>
    <w:basedOn w:val="TekstkomentarzaZnak"/>
    <w:link w:val="Tematkomentarza"/>
    <w:uiPriority w:val="99"/>
    <w:semiHidden/>
    <w:rsid w:val="007E1E0B"/>
    <w:rPr>
      <w:rFonts w:ascii="Verdana" w:hAnsi="Verdana"/>
      <w:b/>
      <w:bCs/>
      <w:color w:val="000000" w:themeColor="text1"/>
      <w:sz w:val="20"/>
      <w:szCs w:val="20"/>
      <w:lang w:val="en-GB"/>
    </w:rPr>
  </w:style>
  <w:style w:type="paragraph" w:styleId="Tekstdymka">
    <w:name w:val="Balloon Text"/>
    <w:basedOn w:val="Normalny"/>
    <w:link w:val="TekstdymkaZnak"/>
    <w:uiPriority w:val="99"/>
    <w:semiHidden/>
    <w:unhideWhenUsed/>
    <w:rsid w:val="00200F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FB4"/>
    <w:rPr>
      <w:rFonts w:ascii="Segoe UI" w:hAnsi="Segoe UI" w:cs="Segoe UI"/>
      <w:color w:val="000000" w:themeColor="text1"/>
      <w:sz w:val="18"/>
      <w:szCs w:val="18"/>
      <w:lang w:val="en-GB"/>
    </w:rPr>
  </w:style>
  <w:style w:type="character" w:customStyle="1" w:styleId="Nagwek3Znak">
    <w:name w:val="Nagłówek 3 Znak"/>
    <w:basedOn w:val="Domylnaczcionkaakapitu"/>
    <w:link w:val="Nagwek3"/>
    <w:uiPriority w:val="9"/>
    <w:semiHidden/>
    <w:rsid w:val="001333F0"/>
    <w:rPr>
      <w:rFonts w:asciiTheme="majorHAnsi" w:eastAsiaTheme="majorEastAsia" w:hAnsiTheme="majorHAnsi" w:cstheme="majorBidi"/>
      <w:color w:val="110025" w:themeColor="accent1" w:themeShade="7F"/>
      <w:lang w:val="en-GB"/>
    </w:rPr>
  </w:style>
  <w:style w:type="paragraph" w:styleId="NormalnyWeb">
    <w:name w:val="Normal (Web)"/>
    <w:basedOn w:val="Normalny"/>
    <w:uiPriority w:val="99"/>
    <w:semiHidden/>
    <w:unhideWhenUsed/>
    <w:rsid w:val="00322534"/>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styleId="Pogrubienie">
    <w:name w:val="Strong"/>
    <w:basedOn w:val="Domylnaczcionkaakapitu"/>
    <w:uiPriority w:val="22"/>
    <w:qFormat/>
    <w:rsid w:val="00322534"/>
    <w:rPr>
      <w:b/>
      <w:bCs/>
    </w:rPr>
  </w:style>
  <w:style w:type="character" w:customStyle="1" w:styleId="Mention1">
    <w:name w:val="Mention1"/>
    <w:basedOn w:val="Domylnaczcionkaakapitu"/>
    <w:uiPriority w:val="99"/>
    <w:unhideWhenUsed/>
    <w:rPr>
      <w:color w:val="2B579A"/>
      <w:shd w:val="clear" w:color="auto" w:fill="E6E6E6"/>
    </w:rPr>
  </w:style>
  <w:style w:type="character" w:customStyle="1" w:styleId="Nierozpoznanawzmianka1">
    <w:name w:val="Nierozpoznana wzmianka1"/>
    <w:basedOn w:val="Domylnaczcionkaakapitu"/>
    <w:uiPriority w:val="99"/>
    <w:semiHidden/>
    <w:unhideWhenUsed/>
    <w:rsid w:val="007725E5"/>
    <w:rPr>
      <w:color w:val="605E5C"/>
      <w:shd w:val="clear" w:color="auto" w:fill="E1DFDD"/>
    </w:rPr>
  </w:style>
  <w:style w:type="character" w:customStyle="1" w:styleId="Nierozpoznanawzmianka2">
    <w:name w:val="Nierozpoznana wzmianka2"/>
    <w:basedOn w:val="Domylnaczcionkaakapitu"/>
    <w:uiPriority w:val="99"/>
    <w:semiHidden/>
    <w:unhideWhenUsed/>
    <w:rsid w:val="000859EB"/>
    <w:rPr>
      <w:color w:val="605E5C"/>
      <w:shd w:val="clear" w:color="auto" w:fill="E1DFDD"/>
    </w:rPr>
  </w:style>
  <w:style w:type="character" w:styleId="Nierozpoznanawzmianka">
    <w:name w:val="Unresolved Mention"/>
    <w:basedOn w:val="Domylnaczcionkaakapitu"/>
    <w:uiPriority w:val="99"/>
    <w:semiHidden/>
    <w:unhideWhenUsed/>
    <w:rsid w:val="0091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468">
      <w:bodyDiv w:val="1"/>
      <w:marLeft w:val="0"/>
      <w:marRight w:val="0"/>
      <w:marTop w:val="0"/>
      <w:marBottom w:val="0"/>
      <w:divBdr>
        <w:top w:val="none" w:sz="0" w:space="0" w:color="auto"/>
        <w:left w:val="none" w:sz="0" w:space="0" w:color="auto"/>
        <w:bottom w:val="none" w:sz="0" w:space="0" w:color="auto"/>
        <w:right w:val="none" w:sz="0" w:space="0" w:color="auto"/>
      </w:divBdr>
    </w:div>
    <w:div w:id="136454677">
      <w:bodyDiv w:val="1"/>
      <w:marLeft w:val="0"/>
      <w:marRight w:val="0"/>
      <w:marTop w:val="0"/>
      <w:marBottom w:val="0"/>
      <w:divBdr>
        <w:top w:val="none" w:sz="0" w:space="0" w:color="auto"/>
        <w:left w:val="none" w:sz="0" w:space="0" w:color="auto"/>
        <w:bottom w:val="none" w:sz="0" w:space="0" w:color="auto"/>
        <w:right w:val="none" w:sz="0" w:space="0" w:color="auto"/>
      </w:divBdr>
    </w:div>
    <w:div w:id="182984186">
      <w:bodyDiv w:val="1"/>
      <w:marLeft w:val="0"/>
      <w:marRight w:val="0"/>
      <w:marTop w:val="0"/>
      <w:marBottom w:val="0"/>
      <w:divBdr>
        <w:top w:val="none" w:sz="0" w:space="0" w:color="auto"/>
        <w:left w:val="none" w:sz="0" w:space="0" w:color="auto"/>
        <w:bottom w:val="none" w:sz="0" w:space="0" w:color="auto"/>
        <w:right w:val="none" w:sz="0" w:space="0" w:color="auto"/>
      </w:divBdr>
    </w:div>
    <w:div w:id="341248105">
      <w:bodyDiv w:val="1"/>
      <w:marLeft w:val="0"/>
      <w:marRight w:val="0"/>
      <w:marTop w:val="0"/>
      <w:marBottom w:val="0"/>
      <w:divBdr>
        <w:top w:val="none" w:sz="0" w:space="0" w:color="auto"/>
        <w:left w:val="none" w:sz="0" w:space="0" w:color="auto"/>
        <w:bottom w:val="none" w:sz="0" w:space="0" w:color="auto"/>
        <w:right w:val="none" w:sz="0" w:space="0" w:color="auto"/>
      </w:divBdr>
    </w:div>
    <w:div w:id="394593088">
      <w:bodyDiv w:val="1"/>
      <w:marLeft w:val="0"/>
      <w:marRight w:val="0"/>
      <w:marTop w:val="0"/>
      <w:marBottom w:val="0"/>
      <w:divBdr>
        <w:top w:val="none" w:sz="0" w:space="0" w:color="auto"/>
        <w:left w:val="none" w:sz="0" w:space="0" w:color="auto"/>
        <w:bottom w:val="none" w:sz="0" w:space="0" w:color="auto"/>
        <w:right w:val="none" w:sz="0" w:space="0" w:color="auto"/>
      </w:divBdr>
    </w:div>
    <w:div w:id="536160023">
      <w:bodyDiv w:val="1"/>
      <w:marLeft w:val="0"/>
      <w:marRight w:val="0"/>
      <w:marTop w:val="0"/>
      <w:marBottom w:val="0"/>
      <w:divBdr>
        <w:top w:val="none" w:sz="0" w:space="0" w:color="auto"/>
        <w:left w:val="none" w:sz="0" w:space="0" w:color="auto"/>
        <w:bottom w:val="none" w:sz="0" w:space="0" w:color="auto"/>
        <w:right w:val="none" w:sz="0" w:space="0" w:color="auto"/>
      </w:divBdr>
    </w:div>
    <w:div w:id="598606589">
      <w:bodyDiv w:val="1"/>
      <w:marLeft w:val="0"/>
      <w:marRight w:val="0"/>
      <w:marTop w:val="0"/>
      <w:marBottom w:val="0"/>
      <w:divBdr>
        <w:top w:val="none" w:sz="0" w:space="0" w:color="auto"/>
        <w:left w:val="none" w:sz="0" w:space="0" w:color="auto"/>
        <w:bottom w:val="none" w:sz="0" w:space="0" w:color="auto"/>
        <w:right w:val="none" w:sz="0" w:space="0" w:color="auto"/>
      </w:divBdr>
    </w:div>
    <w:div w:id="636690283">
      <w:bodyDiv w:val="1"/>
      <w:marLeft w:val="0"/>
      <w:marRight w:val="0"/>
      <w:marTop w:val="0"/>
      <w:marBottom w:val="0"/>
      <w:divBdr>
        <w:top w:val="none" w:sz="0" w:space="0" w:color="auto"/>
        <w:left w:val="none" w:sz="0" w:space="0" w:color="auto"/>
        <w:bottom w:val="none" w:sz="0" w:space="0" w:color="auto"/>
        <w:right w:val="none" w:sz="0" w:space="0" w:color="auto"/>
      </w:divBdr>
    </w:div>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960840341">
      <w:bodyDiv w:val="1"/>
      <w:marLeft w:val="0"/>
      <w:marRight w:val="0"/>
      <w:marTop w:val="0"/>
      <w:marBottom w:val="0"/>
      <w:divBdr>
        <w:top w:val="none" w:sz="0" w:space="0" w:color="auto"/>
        <w:left w:val="none" w:sz="0" w:space="0" w:color="auto"/>
        <w:bottom w:val="none" w:sz="0" w:space="0" w:color="auto"/>
        <w:right w:val="none" w:sz="0" w:space="0" w:color="auto"/>
      </w:divBdr>
    </w:div>
    <w:div w:id="1092706524">
      <w:bodyDiv w:val="1"/>
      <w:marLeft w:val="0"/>
      <w:marRight w:val="0"/>
      <w:marTop w:val="0"/>
      <w:marBottom w:val="0"/>
      <w:divBdr>
        <w:top w:val="none" w:sz="0" w:space="0" w:color="auto"/>
        <w:left w:val="none" w:sz="0" w:space="0" w:color="auto"/>
        <w:bottom w:val="none" w:sz="0" w:space="0" w:color="auto"/>
        <w:right w:val="none" w:sz="0" w:space="0" w:color="auto"/>
      </w:divBdr>
    </w:div>
    <w:div w:id="1423910181">
      <w:bodyDiv w:val="1"/>
      <w:marLeft w:val="0"/>
      <w:marRight w:val="0"/>
      <w:marTop w:val="0"/>
      <w:marBottom w:val="0"/>
      <w:divBdr>
        <w:top w:val="none" w:sz="0" w:space="0" w:color="auto"/>
        <w:left w:val="none" w:sz="0" w:space="0" w:color="auto"/>
        <w:bottom w:val="none" w:sz="0" w:space="0" w:color="auto"/>
        <w:right w:val="none" w:sz="0" w:space="0" w:color="auto"/>
      </w:divBdr>
      <w:divsChild>
        <w:div w:id="179856577">
          <w:marLeft w:val="0"/>
          <w:marRight w:val="0"/>
          <w:marTop w:val="0"/>
          <w:marBottom w:val="0"/>
          <w:divBdr>
            <w:top w:val="none" w:sz="0" w:space="0" w:color="auto"/>
            <w:left w:val="none" w:sz="0" w:space="0" w:color="auto"/>
            <w:bottom w:val="none" w:sz="0" w:space="0" w:color="auto"/>
            <w:right w:val="none" w:sz="0" w:space="0" w:color="auto"/>
          </w:divBdr>
          <w:divsChild>
            <w:div w:id="1203906850">
              <w:marLeft w:val="0"/>
              <w:marRight w:val="0"/>
              <w:marTop w:val="0"/>
              <w:marBottom w:val="0"/>
              <w:divBdr>
                <w:top w:val="none" w:sz="0" w:space="0" w:color="auto"/>
                <w:left w:val="none" w:sz="0" w:space="0" w:color="auto"/>
                <w:bottom w:val="none" w:sz="0" w:space="0" w:color="auto"/>
                <w:right w:val="none" w:sz="0" w:space="0" w:color="auto"/>
              </w:divBdr>
              <w:divsChild>
                <w:div w:id="791095264">
                  <w:marLeft w:val="0"/>
                  <w:marRight w:val="0"/>
                  <w:marTop w:val="0"/>
                  <w:marBottom w:val="0"/>
                  <w:divBdr>
                    <w:top w:val="none" w:sz="0" w:space="0" w:color="auto"/>
                    <w:left w:val="none" w:sz="0" w:space="0" w:color="auto"/>
                    <w:bottom w:val="none" w:sz="0" w:space="0" w:color="auto"/>
                    <w:right w:val="none" w:sz="0" w:space="0" w:color="auto"/>
                  </w:divBdr>
                  <w:divsChild>
                    <w:div w:id="446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2195">
      <w:bodyDiv w:val="1"/>
      <w:marLeft w:val="0"/>
      <w:marRight w:val="0"/>
      <w:marTop w:val="0"/>
      <w:marBottom w:val="0"/>
      <w:divBdr>
        <w:top w:val="none" w:sz="0" w:space="0" w:color="auto"/>
        <w:left w:val="none" w:sz="0" w:space="0" w:color="auto"/>
        <w:bottom w:val="none" w:sz="0" w:space="0" w:color="auto"/>
        <w:right w:val="none" w:sz="0" w:space="0" w:color="auto"/>
      </w:divBdr>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 w:id="1792437360">
      <w:bodyDiv w:val="1"/>
      <w:marLeft w:val="0"/>
      <w:marRight w:val="0"/>
      <w:marTop w:val="0"/>
      <w:marBottom w:val="0"/>
      <w:divBdr>
        <w:top w:val="none" w:sz="0" w:space="0" w:color="auto"/>
        <w:left w:val="none" w:sz="0" w:space="0" w:color="auto"/>
        <w:bottom w:val="none" w:sz="0" w:space="0" w:color="auto"/>
        <w:right w:val="none" w:sz="0" w:space="0" w:color="auto"/>
      </w:divBdr>
    </w:div>
    <w:div w:id="1832476994">
      <w:bodyDiv w:val="1"/>
      <w:marLeft w:val="0"/>
      <w:marRight w:val="0"/>
      <w:marTop w:val="0"/>
      <w:marBottom w:val="0"/>
      <w:divBdr>
        <w:top w:val="none" w:sz="0" w:space="0" w:color="auto"/>
        <w:left w:val="none" w:sz="0" w:space="0" w:color="auto"/>
        <w:bottom w:val="none" w:sz="0" w:space="0" w:color="auto"/>
        <w:right w:val="none" w:sz="0" w:space="0" w:color="auto"/>
      </w:divBdr>
    </w:div>
    <w:div w:id="1847019854">
      <w:bodyDiv w:val="1"/>
      <w:marLeft w:val="0"/>
      <w:marRight w:val="0"/>
      <w:marTop w:val="0"/>
      <w:marBottom w:val="0"/>
      <w:divBdr>
        <w:top w:val="none" w:sz="0" w:space="0" w:color="auto"/>
        <w:left w:val="none" w:sz="0" w:space="0" w:color="auto"/>
        <w:bottom w:val="none" w:sz="0" w:space="0" w:color="auto"/>
        <w:right w:val="none" w:sz="0" w:space="0" w:color="auto"/>
      </w:divBdr>
    </w:div>
    <w:div w:id="18723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nofi.pl/"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ofi.pl/Prowadz-si%C4%99-zdrow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ursgogol\Desktop\Sanofi\Sanofi%20Polska%20@SanofiPolsk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loballiver.org/liver-health-is-public-health/" TargetMode="External"/><Relationship Id="rId2" Type="http://schemas.openxmlformats.org/officeDocument/2006/relationships/hyperlink" Target="https://www.nfz-zielonagora.pl/PL/1191/Mezczyzni_u_lekarza/" TargetMode="External"/><Relationship Id="rId1" Type="http://schemas.openxmlformats.org/officeDocument/2006/relationships/hyperlink" Target="https://www.researchgate.net/publication/359739759_Men's_help-seeking_and_engagement_with_general_practice_An_integrative_review#:~:text=The%20findings%20indicate%20that%20men%20can%20find%20general,general%20practice%20in%20preventive%20health%20care%20and%20advice" TargetMode="External"/><Relationship Id="rId6" Type="http://schemas.openxmlformats.org/officeDocument/2006/relationships/hyperlink" Target="https://journals.lww.com/hep/Fulltext/2023/04000/The_global_epidemiology_of_nonalcoholic_fatty.27.aspx" TargetMode="External"/><Relationship Id="rId5" Type="http://schemas.openxmlformats.org/officeDocument/2006/relationships/hyperlink" Target="https://www.thelancet.com/commissions/liver-disease-europe" TargetMode="External"/><Relationship Id="rId4" Type="http://schemas.openxmlformats.org/officeDocument/2006/relationships/hyperlink" Target="https://globalliver.org/liver-health-is-public-health/"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8DCE4.6954F7E0"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296817\OneDrive%20-%20Sanofi\2.%20PRESS%20RELEASES\BRANDING\220121_SN_PR_TEMPLATE.dotx" TargetMode="External"/></Relationships>
</file>

<file path=word/theme/theme1.xml><?xml version="1.0" encoding="utf-8"?>
<a:theme xmlns:a="http://schemas.openxmlformats.org/drawingml/2006/main" name="Thème Office">
  <a:themeElements>
    <a:clrScheme name="00. Sanofi">
      <a:dk1>
        <a:sysClr val="windowText" lastClr="000000"/>
      </a:dk1>
      <a:lt1>
        <a:sysClr val="window" lastClr="FFFFFF"/>
      </a:lt1>
      <a:dk2>
        <a:srgbClr val="F4F2F6"/>
      </a:dk2>
      <a:lt2>
        <a:srgbClr val="F5F5F5"/>
      </a:lt2>
      <a:accent1>
        <a:srgbClr val="23004C"/>
      </a:accent1>
      <a:accent2>
        <a:srgbClr val="7A00E6"/>
      </a:accent2>
      <a:accent3>
        <a:srgbClr val="ED6C4E"/>
      </a:accent3>
      <a:accent4>
        <a:srgbClr val="62D488"/>
      </a:accent4>
      <a:accent5>
        <a:srgbClr val="F6C243"/>
      </a:accent5>
      <a:accent6>
        <a:srgbClr val="CA99F5"/>
      </a:accent6>
      <a:hlink>
        <a:srgbClr val="5400B8"/>
      </a:hlink>
      <a:folHlink>
        <a:srgbClr val="C492FF"/>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3F2AF34C5ECD4693BF9526B25AFDAA" ma:contentTypeVersion="13" ma:contentTypeDescription="Create a new document." ma:contentTypeScope="" ma:versionID="8cf956a1fa85939976f3e7c21d9d286d">
  <xsd:schema xmlns:xsd="http://www.w3.org/2001/XMLSchema" xmlns:xs="http://www.w3.org/2001/XMLSchema" xmlns:p="http://schemas.microsoft.com/office/2006/metadata/properties" xmlns:ns2="50d6d72b-85a8-4558-ae12-02ff330ebde7" xmlns:ns3="af235b2c-5921-470a-8362-3218d959ef70" targetNamespace="http://schemas.microsoft.com/office/2006/metadata/properties" ma:root="true" ma:fieldsID="239c12befb8ebd470e0fd5101b249193" ns2:_="" ns3:_="">
    <xsd:import namespace="50d6d72b-85a8-4558-ae12-02ff330ebde7"/>
    <xsd:import namespace="af235b2c-5921-470a-8362-3218d959ef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d72b-85a8-4558-ae12-02ff330e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235b2c-5921-470a-8362-3218d959e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7DC04-0B27-42C8-94A5-4B72416B9415}">
  <ds:schemaRefs>
    <ds:schemaRef ds:uri="http://schemas.microsoft.com/sharepoint/v3/contenttype/forms"/>
  </ds:schemaRefs>
</ds:datastoreItem>
</file>

<file path=customXml/itemProps2.xml><?xml version="1.0" encoding="utf-8"?>
<ds:datastoreItem xmlns:ds="http://schemas.openxmlformats.org/officeDocument/2006/customXml" ds:itemID="{84F51834-B9B1-4A16-AE69-A26FFB99A5B5}">
  <ds:schemaRefs>
    <ds:schemaRef ds:uri="http://schemas.openxmlformats.org/officeDocument/2006/bibliography"/>
  </ds:schemaRefs>
</ds:datastoreItem>
</file>

<file path=customXml/itemProps3.xml><?xml version="1.0" encoding="utf-8"?>
<ds:datastoreItem xmlns:ds="http://schemas.openxmlformats.org/officeDocument/2006/customXml" ds:itemID="{DE1E959F-2C68-4DE1-8E22-77DBEF004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32B21-0582-43AF-8B76-F4E3DAFD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d72b-85a8-4558-ae12-02ff330ebde7"/>
    <ds:schemaRef ds:uri="af235b2c-5921-470a-8362-3218d959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220121_SN_PR_TEMPLATE</Template>
  <TotalTime>32</TotalTime>
  <Pages>3</Pages>
  <Words>1048</Words>
  <Characters>6290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 Victor /FR</dc:creator>
  <cp:keywords/>
  <dc:description/>
  <cp:lastModifiedBy>Urszula Gogol</cp:lastModifiedBy>
  <cp:revision>4</cp:revision>
  <dcterms:created xsi:type="dcterms:W3CDTF">2023-04-24T07:19:00Z</dcterms:created>
  <dcterms:modified xsi:type="dcterms:W3CDTF">2023-04-24T08:07:00Z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0x010100F03F2AF34C5ECD4693BF9526B25AFDAA</vt:lpwstr>
  </property>
</Properties>
</file>