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9CCF" w14:textId="18AC74EF" w:rsidR="004D6628" w:rsidRPr="008851ED" w:rsidRDefault="001A09B1" w:rsidP="007D62BF">
      <w:pPr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Średnio jeden produkt tygodniowo znika z półek sklepowych z powodu skażenia</w:t>
      </w:r>
    </w:p>
    <w:p w14:paraId="7EBB4B22" w14:textId="77777777" w:rsidR="007D62BF" w:rsidRPr="008851ED" w:rsidRDefault="007D62BF" w:rsidP="007D62BF">
      <w:pPr>
        <w:rPr>
          <w:rFonts w:cs="Tahoma"/>
          <w:szCs w:val="20"/>
        </w:rPr>
      </w:pPr>
    </w:p>
    <w:p w14:paraId="4722320E" w14:textId="50EC27F5" w:rsidR="0059794F" w:rsidRPr="00DE7A71" w:rsidRDefault="005D3266" w:rsidP="00935EB8">
      <w:pPr>
        <w:pStyle w:val="Akapitzlist"/>
        <w:numPr>
          <w:ilvl w:val="0"/>
          <w:numId w:val="4"/>
        </w:numPr>
        <w:tabs>
          <w:tab w:val="clear" w:pos="567"/>
        </w:tabs>
        <w:spacing w:after="0" w:line="240" w:lineRule="auto"/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b/>
          <w:bCs/>
          <w:szCs w:val="20"/>
        </w:rPr>
        <w:t xml:space="preserve">Od początku roku </w:t>
      </w:r>
      <w:r w:rsidR="006A1F59">
        <w:rPr>
          <w:rFonts w:ascii="Tahoma" w:hAnsi="Tahoma" w:cs="Tahoma"/>
          <w:b/>
          <w:bCs/>
          <w:szCs w:val="20"/>
        </w:rPr>
        <w:t>1</w:t>
      </w:r>
      <w:r w:rsidR="002A0A18">
        <w:rPr>
          <w:rFonts w:ascii="Tahoma" w:hAnsi="Tahoma" w:cs="Tahoma"/>
          <w:b/>
          <w:bCs/>
          <w:szCs w:val="20"/>
        </w:rPr>
        <w:t>9</w:t>
      </w:r>
      <w:r w:rsidR="002D446B" w:rsidRPr="00DE7A71">
        <w:rPr>
          <w:rFonts w:ascii="Tahoma" w:hAnsi="Tahoma" w:cs="Tahoma"/>
          <w:b/>
          <w:bCs/>
          <w:szCs w:val="20"/>
        </w:rPr>
        <w:t xml:space="preserve"> produktów musiało zostać wycofanych z obrotu</w:t>
      </w:r>
      <w:r w:rsidR="00935EB8" w:rsidRPr="00DE7A71">
        <w:rPr>
          <w:rFonts w:ascii="Tahoma" w:hAnsi="Tahoma" w:cs="Tahoma"/>
          <w:b/>
          <w:bCs/>
          <w:szCs w:val="20"/>
        </w:rPr>
        <w:t xml:space="preserve"> w Polsce z powodu skażenia – wynika z ostrzeżeń Generalnego Inspektoratu Sanitarnego. W skali Europy to tysiące pr</w:t>
      </w:r>
      <w:r w:rsidR="00423DEC" w:rsidRPr="00DE7A71">
        <w:rPr>
          <w:rFonts w:ascii="Tahoma" w:hAnsi="Tahoma" w:cs="Tahoma"/>
          <w:b/>
          <w:bCs/>
          <w:szCs w:val="20"/>
        </w:rPr>
        <w:t>zypadków</w:t>
      </w:r>
      <w:r w:rsidR="00935EB8" w:rsidRPr="00DE7A71">
        <w:rPr>
          <w:rFonts w:ascii="Tahoma" w:hAnsi="Tahoma" w:cs="Tahoma"/>
          <w:b/>
          <w:bCs/>
          <w:szCs w:val="20"/>
        </w:rPr>
        <w:t>.</w:t>
      </w:r>
    </w:p>
    <w:p w14:paraId="063AC1E4" w14:textId="2B0EA634" w:rsidR="009607DD" w:rsidRPr="00DE7A71" w:rsidRDefault="006D545F" w:rsidP="00935EB8">
      <w:pPr>
        <w:pStyle w:val="Akapitzlist"/>
        <w:numPr>
          <w:ilvl w:val="0"/>
          <w:numId w:val="4"/>
        </w:numPr>
        <w:tabs>
          <w:tab w:val="clear" w:pos="567"/>
        </w:tabs>
        <w:spacing w:after="0" w:line="240" w:lineRule="auto"/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b/>
          <w:bCs/>
          <w:szCs w:val="20"/>
        </w:rPr>
        <w:t>Typowy</w:t>
      </w:r>
      <w:r w:rsidRPr="00DE7A71">
        <w:rPr>
          <w:rFonts w:ascii="Tahoma" w:hAnsi="Tahoma" w:cs="Tahoma"/>
          <w:b/>
          <w:bCs/>
          <w:szCs w:val="20"/>
        </w:rPr>
        <w:t xml:space="preserve"> </w:t>
      </w:r>
      <w:r w:rsidR="007372A9" w:rsidRPr="00DE7A71">
        <w:rPr>
          <w:rFonts w:ascii="Tahoma" w:hAnsi="Tahoma" w:cs="Tahoma"/>
          <w:b/>
          <w:bCs/>
          <w:szCs w:val="20"/>
        </w:rPr>
        <w:t xml:space="preserve">koszt </w:t>
      </w:r>
      <w:r w:rsidR="009F1578">
        <w:rPr>
          <w:rFonts w:ascii="Tahoma" w:hAnsi="Tahoma" w:cs="Tahoma"/>
          <w:b/>
          <w:bCs/>
          <w:szCs w:val="20"/>
        </w:rPr>
        <w:t>poważnego incydentu</w:t>
      </w:r>
      <w:r w:rsidR="00423DEC" w:rsidRPr="00DE7A71">
        <w:rPr>
          <w:rFonts w:ascii="Tahoma" w:hAnsi="Tahoma" w:cs="Tahoma"/>
          <w:b/>
          <w:bCs/>
          <w:szCs w:val="20"/>
        </w:rPr>
        <w:t xml:space="preserve"> to kilka</w:t>
      </w:r>
      <w:r>
        <w:rPr>
          <w:rFonts w:ascii="Tahoma" w:hAnsi="Tahoma" w:cs="Tahoma"/>
          <w:b/>
          <w:bCs/>
          <w:szCs w:val="20"/>
        </w:rPr>
        <w:t>-kilkanaście</w:t>
      </w:r>
      <w:r w:rsidR="00423DEC" w:rsidRPr="00DE7A71">
        <w:rPr>
          <w:rFonts w:ascii="Tahoma" w:hAnsi="Tahoma" w:cs="Tahoma"/>
          <w:b/>
          <w:bCs/>
          <w:szCs w:val="20"/>
        </w:rPr>
        <w:t xml:space="preserve"> milionów </w:t>
      </w:r>
      <w:r>
        <w:rPr>
          <w:rFonts w:ascii="Tahoma" w:hAnsi="Tahoma" w:cs="Tahoma"/>
          <w:b/>
          <w:bCs/>
          <w:szCs w:val="20"/>
        </w:rPr>
        <w:t>złotych</w:t>
      </w:r>
      <w:r w:rsidR="00423DEC" w:rsidRPr="00DE7A71">
        <w:rPr>
          <w:rFonts w:ascii="Tahoma" w:hAnsi="Tahoma" w:cs="Tahoma"/>
          <w:b/>
          <w:bCs/>
          <w:szCs w:val="20"/>
        </w:rPr>
        <w:t>.</w:t>
      </w:r>
      <w:r w:rsidR="00170A73">
        <w:rPr>
          <w:rFonts w:ascii="Tahoma" w:hAnsi="Tahoma" w:cs="Tahoma"/>
          <w:b/>
          <w:bCs/>
          <w:szCs w:val="20"/>
        </w:rPr>
        <w:t xml:space="preserve"> Oprócz tego firmy często muszą wypłacić także odszkodowania za szkody w zdrowiu konsumentów.</w:t>
      </w:r>
    </w:p>
    <w:p w14:paraId="44226E6F" w14:textId="540D6AE2" w:rsidR="00A86A8A" w:rsidRPr="00DE7A71" w:rsidRDefault="006D545F" w:rsidP="00935EB8">
      <w:pPr>
        <w:pStyle w:val="Akapitzlist"/>
        <w:numPr>
          <w:ilvl w:val="0"/>
          <w:numId w:val="4"/>
        </w:numPr>
        <w:tabs>
          <w:tab w:val="clear" w:pos="567"/>
        </w:tabs>
        <w:spacing w:after="0" w:line="240" w:lineRule="auto"/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b/>
          <w:bCs/>
          <w:szCs w:val="20"/>
        </w:rPr>
        <w:t>W</w:t>
      </w:r>
      <w:r w:rsidR="00C50D84">
        <w:rPr>
          <w:rFonts w:ascii="Tahoma" w:hAnsi="Tahoma" w:cs="Tahoma"/>
          <w:b/>
          <w:bCs/>
          <w:szCs w:val="20"/>
        </w:rPr>
        <w:t xml:space="preserve">ydatki </w:t>
      </w:r>
      <w:r>
        <w:rPr>
          <w:rFonts w:ascii="Tahoma" w:hAnsi="Tahoma" w:cs="Tahoma"/>
          <w:b/>
          <w:bCs/>
          <w:szCs w:val="20"/>
        </w:rPr>
        <w:t xml:space="preserve">i straty </w:t>
      </w:r>
      <w:r w:rsidR="00C50D84">
        <w:rPr>
          <w:rFonts w:ascii="Tahoma" w:hAnsi="Tahoma" w:cs="Tahoma"/>
          <w:b/>
          <w:bCs/>
          <w:szCs w:val="20"/>
        </w:rPr>
        <w:t>związane z</w:t>
      </w:r>
      <w:r>
        <w:rPr>
          <w:rFonts w:ascii="Tahoma" w:hAnsi="Tahoma" w:cs="Tahoma"/>
          <w:b/>
          <w:bCs/>
          <w:szCs w:val="20"/>
        </w:rPr>
        <w:t xml:space="preserve"> zanieczyszczeni</w:t>
      </w:r>
      <w:r w:rsidR="0027311C">
        <w:rPr>
          <w:rFonts w:ascii="Tahoma" w:hAnsi="Tahoma" w:cs="Tahoma"/>
          <w:b/>
          <w:bCs/>
          <w:szCs w:val="20"/>
        </w:rPr>
        <w:t>em</w:t>
      </w:r>
      <w:r>
        <w:rPr>
          <w:rFonts w:ascii="Tahoma" w:hAnsi="Tahoma" w:cs="Tahoma"/>
          <w:b/>
          <w:bCs/>
          <w:szCs w:val="20"/>
        </w:rPr>
        <w:t xml:space="preserve"> produktu</w:t>
      </w:r>
      <w:r w:rsidR="00DB49D8">
        <w:rPr>
          <w:rFonts w:ascii="Tahoma" w:hAnsi="Tahoma" w:cs="Tahoma"/>
          <w:b/>
          <w:bCs/>
          <w:szCs w:val="20"/>
        </w:rPr>
        <w:t xml:space="preserve"> można uwzględnić w </w:t>
      </w:r>
      <w:r w:rsidR="00DB49D8" w:rsidRPr="00DB49D8">
        <w:rPr>
          <w:rFonts w:ascii="Tahoma" w:hAnsi="Tahoma" w:cs="Tahoma"/>
          <w:b/>
          <w:bCs/>
          <w:szCs w:val="20"/>
        </w:rPr>
        <w:t>ubezpieczeni</w:t>
      </w:r>
      <w:r w:rsidR="0035784B">
        <w:rPr>
          <w:rFonts w:ascii="Tahoma" w:hAnsi="Tahoma" w:cs="Tahoma"/>
          <w:b/>
          <w:bCs/>
          <w:szCs w:val="20"/>
        </w:rPr>
        <w:t>u</w:t>
      </w:r>
      <w:r w:rsidR="00DB49D8" w:rsidRPr="00DB49D8">
        <w:rPr>
          <w:rFonts w:ascii="Tahoma" w:hAnsi="Tahoma" w:cs="Tahoma"/>
          <w:b/>
          <w:bCs/>
          <w:szCs w:val="20"/>
        </w:rPr>
        <w:t xml:space="preserve"> skażenia produktu (CPI – </w:t>
      </w:r>
      <w:proofErr w:type="spellStart"/>
      <w:r w:rsidR="00DB49D8" w:rsidRPr="00DB49D8">
        <w:rPr>
          <w:rFonts w:ascii="Tahoma" w:hAnsi="Tahoma" w:cs="Tahoma"/>
          <w:b/>
          <w:bCs/>
          <w:szCs w:val="20"/>
        </w:rPr>
        <w:t>Contaminated</w:t>
      </w:r>
      <w:proofErr w:type="spellEnd"/>
      <w:r w:rsidR="00DB49D8" w:rsidRPr="00DB49D8">
        <w:rPr>
          <w:rFonts w:ascii="Tahoma" w:hAnsi="Tahoma" w:cs="Tahoma"/>
          <w:b/>
          <w:bCs/>
          <w:szCs w:val="20"/>
        </w:rPr>
        <w:t xml:space="preserve"> Product </w:t>
      </w:r>
      <w:proofErr w:type="spellStart"/>
      <w:r w:rsidR="00DB49D8" w:rsidRPr="00DB49D8">
        <w:rPr>
          <w:rFonts w:ascii="Tahoma" w:hAnsi="Tahoma" w:cs="Tahoma"/>
          <w:b/>
          <w:bCs/>
          <w:szCs w:val="20"/>
        </w:rPr>
        <w:t>Insurance</w:t>
      </w:r>
      <w:proofErr w:type="spellEnd"/>
      <w:r w:rsidR="00DB49D8">
        <w:rPr>
          <w:rFonts w:ascii="Tahoma" w:hAnsi="Tahoma" w:cs="Tahoma"/>
          <w:b/>
          <w:bCs/>
          <w:szCs w:val="20"/>
        </w:rPr>
        <w:t>).</w:t>
      </w:r>
    </w:p>
    <w:p w14:paraId="66A4E788" w14:textId="77777777" w:rsidR="009607DD" w:rsidRPr="008851ED" w:rsidRDefault="009607DD" w:rsidP="007D62BF">
      <w:pPr>
        <w:rPr>
          <w:rFonts w:cs="Tahoma"/>
          <w:szCs w:val="20"/>
        </w:rPr>
      </w:pPr>
    </w:p>
    <w:p w14:paraId="173F0A69" w14:textId="568BD169" w:rsidR="009607DD" w:rsidRPr="008851ED" w:rsidRDefault="009607DD" w:rsidP="007D62BF">
      <w:pPr>
        <w:jc w:val="both"/>
        <w:rPr>
          <w:rFonts w:cs="Tahoma"/>
          <w:szCs w:val="20"/>
        </w:rPr>
      </w:pPr>
      <w:r w:rsidRPr="008851ED">
        <w:rPr>
          <w:rFonts w:cs="Tahoma"/>
          <w:szCs w:val="20"/>
        </w:rPr>
        <w:t xml:space="preserve">Drobinki plastiku w mieszankach warzywnych, niebezpieczne bakterie w mleku modyfikowanym, pleśń w butelkach napojów czy antybiotyki w mięsie </w:t>
      </w:r>
      <w:r w:rsidR="0035784B">
        <w:rPr>
          <w:rFonts w:cs="Tahoma"/>
          <w:szCs w:val="20"/>
        </w:rPr>
        <w:t xml:space="preserve">– </w:t>
      </w:r>
      <w:r w:rsidRPr="008851ED">
        <w:rPr>
          <w:rFonts w:cs="Tahoma"/>
          <w:szCs w:val="20"/>
        </w:rPr>
        <w:t xml:space="preserve">sama myśl o takich zdarzeniach potrafi przyprawić o dreszcze. </w:t>
      </w:r>
      <w:r w:rsidR="007916C3" w:rsidRPr="008851ED">
        <w:rPr>
          <w:rFonts w:cs="Tahoma"/>
          <w:szCs w:val="20"/>
        </w:rPr>
        <w:t>Skażony produkt</w:t>
      </w:r>
      <w:r w:rsidRPr="008851ED">
        <w:rPr>
          <w:rFonts w:cs="Tahoma"/>
          <w:szCs w:val="20"/>
        </w:rPr>
        <w:t xml:space="preserve"> może zachwiać zaufaniem do marki lub nawet do całego przemysłu spożywczego. </w:t>
      </w:r>
      <w:r w:rsidR="00E52F72">
        <w:rPr>
          <w:rFonts w:cs="Tahoma"/>
          <w:szCs w:val="20"/>
        </w:rPr>
        <w:t>Ż</w:t>
      </w:r>
      <w:r w:rsidRPr="008851ED">
        <w:rPr>
          <w:rFonts w:cs="Tahoma"/>
          <w:szCs w:val="20"/>
        </w:rPr>
        <w:t xml:space="preserve">yjemy w </w:t>
      </w:r>
      <w:r w:rsidR="00E52F72">
        <w:rPr>
          <w:rFonts w:cs="Tahoma"/>
          <w:szCs w:val="20"/>
        </w:rPr>
        <w:t xml:space="preserve">coraz bardziej </w:t>
      </w:r>
      <w:r w:rsidRPr="008851ED">
        <w:rPr>
          <w:rFonts w:cs="Tahoma"/>
          <w:szCs w:val="20"/>
        </w:rPr>
        <w:t>bezpiecznej rzeczywistości, w której standardy sanitarne są regularnie podnoszone</w:t>
      </w:r>
      <w:r w:rsidR="0035784B">
        <w:rPr>
          <w:rFonts w:cs="Tahoma"/>
          <w:szCs w:val="20"/>
        </w:rPr>
        <w:t>,</w:t>
      </w:r>
      <w:r w:rsidRPr="008851ED">
        <w:rPr>
          <w:rFonts w:cs="Tahoma"/>
          <w:szCs w:val="20"/>
        </w:rPr>
        <w:t xml:space="preserve"> a technologia, która zabezpiecza nas przed skażeniem – sprawnie się rozwija. </w:t>
      </w:r>
      <w:r w:rsidR="00E52F72">
        <w:rPr>
          <w:rFonts w:cs="Tahoma"/>
          <w:szCs w:val="20"/>
        </w:rPr>
        <w:t>Czy to oznacza, że tego rodzaju zagrożenia odeszły już w zapomnienie</w:t>
      </w:r>
      <w:r w:rsidRPr="008851ED">
        <w:rPr>
          <w:rFonts w:cs="Tahoma"/>
          <w:szCs w:val="20"/>
        </w:rPr>
        <w:t>?</w:t>
      </w:r>
      <w:r w:rsidR="001477C2" w:rsidRPr="008851ED">
        <w:rPr>
          <w:rFonts w:cs="Tahoma"/>
          <w:szCs w:val="20"/>
        </w:rPr>
        <w:t xml:space="preserve"> </w:t>
      </w:r>
    </w:p>
    <w:p w14:paraId="2BD65A14" w14:textId="77777777" w:rsidR="001477C2" w:rsidRPr="008851ED" w:rsidRDefault="001477C2" w:rsidP="007D62BF">
      <w:pPr>
        <w:jc w:val="both"/>
        <w:rPr>
          <w:rFonts w:cs="Tahoma"/>
          <w:szCs w:val="20"/>
        </w:rPr>
      </w:pPr>
    </w:p>
    <w:p w14:paraId="1829C620" w14:textId="6AEA56C0" w:rsidR="001477C2" w:rsidRDefault="001477C2" w:rsidP="007D62BF">
      <w:pPr>
        <w:jc w:val="both"/>
        <w:rPr>
          <w:rFonts w:cs="Tahoma"/>
          <w:szCs w:val="20"/>
        </w:rPr>
      </w:pPr>
      <w:r w:rsidRPr="008851ED">
        <w:rPr>
          <w:rFonts w:cs="Tahoma"/>
          <w:szCs w:val="20"/>
        </w:rPr>
        <w:t>Dane gromadzone przez unijny system</w:t>
      </w:r>
      <w:r w:rsidR="00AA52B0" w:rsidRPr="008851ED">
        <w:rPr>
          <w:rFonts w:cs="Tahoma"/>
          <w:szCs w:val="20"/>
        </w:rPr>
        <w:t xml:space="preserve"> ostrzegania o </w:t>
      </w:r>
      <w:r w:rsidR="00CA7AB9" w:rsidRPr="008851ED">
        <w:rPr>
          <w:rFonts w:cs="Tahoma"/>
          <w:szCs w:val="20"/>
        </w:rPr>
        <w:t>zagrożeniach w żywności, paszach i produktach mających kontakt z żywnością</w:t>
      </w:r>
      <w:r w:rsidRPr="008851ED">
        <w:rPr>
          <w:rFonts w:cs="Tahoma"/>
          <w:szCs w:val="20"/>
        </w:rPr>
        <w:t xml:space="preserve"> </w:t>
      </w:r>
      <w:r w:rsidR="00080058" w:rsidRPr="008851ED">
        <w:rPr>
          <w:rFonts w:cs="Tahoma"/>
          <w:szCs w:val="20"/>
        </w:rPr>
        <w:t xml:space="preserve">– </w:t>
      </w:r>
      <w:r w:rsidRPr="008851ED">
        <w:rPr>
          <w:rFonts w:cs="Tahoma"/>
          <w:szCs w:val="20"/>
        </w:rPr>
        <w:t>RASFF (</w:t>
      </w:r>
      <w:r w:rsidR="002178BE" w:rsidRPr="008851ED">
        <w:rPr>
          <w:rFonts w:cs="Tahoma"/>
          <w:szCs w:val="20"/>
        </w:rPr>
        <w:t xml:space="preserve">ang. </w:t>
      </w:r>
      <w:proofErr w:type="spellStart"/>
      <w:r w:rsidR="0046588D" w:rsidRPr="008851ED">
        <w:rPr>
          <w:rFonts w:cs="Tahoma"/>
          <w:szCs w:val="20"/>
        </w:rPr>
        <w:t>Rapid</w:t>
      </w:r>
      <w:proofErr w:type="spellEnd"/>
      <w:r w:rsidR="0046588D" w:rsidRPr="008851ED">
        <w:rPr>
          <w:rFonts w:cs="Tahoma"/>
          <w:szCs w:val="20"/>
        </w:rPr>
        <w:t xml:space="preserve"> Alert System for Food and </w:t>
      </w:r>
      <w:proofErr w:type="spellStart"/>
      <w:r w:rsidR="0046588D" w:rsidRPr="008851ED">
        <w:rPr>
          <w:rFonts w:cs="Tahoma"/>
          <w:szCs w:val="20"/>
        </w:rPr>
        <w:t>Feed</w:t>
      </w:r>
      <w:proofErr w:type="spellEnd"/>
      <w:r w:rsidR="0046588D" w:rsidRPr="008851ED">
        <w:rPr>
          <w:rFonts w:cs="Tahoma"/>
          <w:szCs w:val="20"/>
        </w:rPr>
        <w:t>)</w:t>
      </w:r>
      <w:r w:rsidR="00080058" w:rsidRPr="008851ED">
        <w:rPr>
          <w:rFonts w:cs="Tahoma"/>
          <w:szCs w:val="20"/>
        </w:rPr>
        <w:t xml:space="preserve"> – </w:t>
      </w:r>
      <w:r w:rsidR="0046588D" w:rsidRPr="008851ED">
        <w:rPr>
          <w:rFonts w:cs="Tahoma"/>
          <w:szCs w:val="20"/>
        </w:rPr>
        <w:t xml:space="preserve">pokazują, że produkcja </w:t>
      </w:r>
      <w:r w:rsidR="008D61EE" w:rsidRPr="008851ED">
        <w:rPr>
          <w:rFonts w:cs="Tahoma"/>
          <w:szCs w:val="20"/>
        </w:rPr>
        <w:t xml:space="preserve">spożywcza nie jest wolna od wypadków i błędów. </w:t>
      </w:r>
      <w:r w:rsidR="00ED7002" w:rsidRPr="008851ED">
        <w:rPr>
          <w:rFonts w:cs="Tahoma"/>
          <w:szCs w:val="20"/>
        </w:rPr>
        <w:t>Co roku</w:t>
      </w:r>
      <w:r w:rsidR="00906F7D" w:rsidRPr="008851ED">
        <w:rPr>
          <w:rFonts w:cs="Tahoma"/>
          <w:szCs w:val="20"/>
        </w:rPr>
        <w:t xml:space="preserve"> w ramach systemu</w:t>
      </w:r>
      <w:r w:rsidR="00ED7002" w:rsidRPr="008851ED">
        <w:rPr>
          <w:rFonts w:cs="Tahoma"/>
          <w:szCs w:val="20"/>
        </w:rPr>
        <w:t xml:space="preserve"> </w:t>
      </w:r>
      <w:r w:rsidR="008F09E8" w:rsidRPr="008851ED">
        <w:rPr>
          <w:rFonts w:cs="Tahoma"/>
          <w:szCs w:val="20"/>
        </w:rPr>
        <w:t>wydawanych jest kilka tysięcy alertów. W 202</w:t>
      </w:r>
      <w:r w:rsidR="00295B0F">
        <w:rPr>
          <w:rFonts w:cs="Tahoma"/>
          <w:szCs w:val="20"/>
        </w:rPr>
        <w:t>2</w:t>
      </w:r>
      <w:r w:rsidR="008F09E8" w:rsidRPr="008851ED">
        <w:rPr>
          <w:rFonts w:cs="Tahoma"/>
          <w:szCs w:val="20"/>
        </w:rPr>
        <w:t xml:space="preserve"> r. było ich aż 4</w:t>
      </w:r>
      <w:r w:rsidR="00906F7D" w:rsidRPr="008851ED">
        <w:rPr>
          <w:rFonts w:cs="Tahoma"/>
          <w:szCs w:val="20"/>
        </w:rPr>
        <w:t> </w:t>
      </w:r>
      <w:r w:rsidR="00295B0F">
        <w:rPr>
          <w:rFonts w:cs="Tahoma"/>
          <w:szCs w:val="20"/>
        </w:rPr>
        <w:t>361</w:t>
      </w:r>
      <w:r w:rsidR="001A2786" w:rsidRPr="008851ED">
        <w:rPr>
          <w:rFonts w:cs="Tahoma"/>
          <w:szCs w:val="20"/>
        </w:rPr>
        <w:t>.</w:t>
      </w:r>
    </w:p>
    <w:p w14:paraId="7911E7F1" w14:textId="77777777" w:rsidR="0027311C" w:rsidRPr="008851ED" w:rsidRDefault="0027311C" w:rsidP="007D62BF">
      <w:pPr>
        <w:jc w:val="both"/>
        <w:rPr>
          <w:rFonts w:cs="Tahoma"/>
          <w:szCs w:val="20"/>
        </w:rPr>
      </w:pPr>
    </w:p>
    <w:p w14:paraId="674F32F7" w14:textId="54BB2882" w:rsidR="001A2786" w:rsidRPr="008851ED" w:rsidRDefault="001A2786" w:rsidP="00437100">
      <w:pPr>
        <w:jc w:val="both"/>
        <w:rPr>
          <w:rFonts w:cs="Tahoma"/>
          <w:szCs w:val="20"/>
        </w:rPr>
      </w:pPr>
      <w:r w:rsidRPr="008851ED">
        <w:rPr>
          <w:rFonts w:cs="Tahoma"/>
          <w:szCs w:val="20"/>
        </w:rPr>
        <w:t xml:space="preserve">Warto też spojrzeć na </w:t>
      </w:r>
      <w:r w:rsidR="00625CC5" w:rsidRPr="008851ED">
        <w:rPr>
          <w:rFonts w:cs="Tahoma"/>
          <w:szCs w:val="20"/>
        </w:rPr>
        <w:t>statystykę ostrzeżeń</w:t>
      </w:r>
      <w:r w:rsidRPr="008851ED">
        <w:rPr>
          <w:rFonts w:cs="Tahoma"/>
          <w:szCs w:val="20"/>
        </w:rPr>
        <w:t xml:space="preserve"> </w:t>
      </w:r>
      <w:r w:rsidR="00B54B8B" w:rsidRPr="008851ED">
        <w:rPr>
          <w:rFonts w:cs="Tahoma"/>
          <w:szCs w:val="20"/>
        </w:rPr>
        <w:t>wydawan</w:t>
      </w:r>
      <w:r w:rsidR="00625CC5" w:rsidRPr="008851ED">
        <w:rPr>
          <w:rFonts w:cs="Tahoma"/>
          <w:szCs w:val="20"/>
        </w:rPr>
        <w:t>ych</w:t>
      </w:r>
      <w:r w:rsidR="00B54B8B" w:rsidRPr="008851ED">
        <w:rPr>
          <w:rFonts w:cs="Tahoma"/>
          <w:szCs w:val="20"/>
        </w:rPr>
        <w:t xml:space="preserve"> przez Główny Inspektorat Sanitarny – w </w:t>
      </w:r>
      <w:r w:rsidR="00390CC9">
        <w:rPr>
          <w:rFonts w:cs="Tahoma"/>
          <w:szCs w:val="20"/>
        </w:rPr>
        <w:t>tym roku było ich już 1</w:t>
      </w:r>
      <w:r w:rsidR="00D5236D">
        <w:rPr>
          <w:rFonts w:cs="Tahoma"/>
          <w:szCs w:val="20"/>
        </w:rPr>
        <w:t>9</w:t>
      </w:r>
      <w:r w:rsidR="00390CC9">
        <w:rPr>
          <w:rFonts w:cs="Tahoma"/>
          <w:szCs w:val="20"/>
        </w:rPr>
        <w:t xml:space="preserve"> </w:t>
      </w:r>
      <w:r w:rsidR="00631118">
        <w:rPr>
          <w:rFonts w:cs="Tahoma"/>
          <w:szCs w:val="20"/>
        </w:rPr>
        <w:t>–</w:t>
      </w:r>
      <w:r w:rsidR="00390CC9">
        <w:rPr>
          <w:rFonts w:cs="Tahoma"/>
          <w:szCs w:val="20"/>
        </w:rPr>
        <w:t xml:space="preserve"> </w:t>
      </w:r>
      <w:r w:rsidR="00631118">
        <w:rPr>
          <w:rFonts w:cs="Tahoma"/>
          <w:szCs w:val="20"/>
        </w:rPr>
        <w:t>1</w:t>
      </w:r>
      <w:r w:rsidR="00D5236D">
        <w:rPr>
          <w:rFonts w:cs="Tahoma"/>
          <w:szCs w:val="20"/>
        </w:rPr>
        <w:t>7</w:t>
      </w:r>
      <w:r w:rsidR="00631118">
        <w:rPr>
          <w:rFonts w:cs="Tahoma"/>
          <w:szCs w:val="20"/>
        </w:rPr>
        <w:t xml:space="preserve"> dotyczyło żywności i po jednym dla produktów mających kontakt z żywnością i kosmetyków</w:t>
      </w:r>
      <w:r w:rsidR="008420FB" w:rsidRPr="008851ED">
        <w:rPr>
          <w:rFonts w:cs="Tahoma"/>
          <w:szCs w:val="20"/>
        </w:rPr>
        <w:t xml:space="preserve">. </w:t>
      </w:r>
      <w:r w:rsidR="00E468C1" w:rsidRPr="008851ED">
        <w:rPr>
          <w:rFonts w:cs="Tahoma"/>
          <w:szCs w:val="20"/>
        </w:rPr>
        <w:t xml:space="preserve">To </w:t>
      </w:r>
      <w:r w:rsidR="00235806" w:rsidRPr="008851ED">
        <w:rPr>
          <w:rFonts w:cs="Tahoma"/>
          <w:szCs w:val="20"/>
        </w:rPr>
        <w:t xml:space="preserve">średnio </w:t>
      </w:r>
      <w:r w:rsidR="00631118">
        <w:rPr>
          <w:rFonts w:cs="Tahoma"/>
          <w:szCs w:val="20"/>
        </w:rPr>
        <w:t xml:space="preserve">jedno </w:t>
      </w:r>
      <w:r w:rsidR="00E468C1" w:rsidRPr="008851ED">
        <w:rPr>
          <w:rFonts w:cs="Tahoma"/>
          <w:szCs w:val="20"/>
        </w:rPr>
        <w:t>ostrzeżeni</w:t>
      </w:r>
      <w:r w:rsidR="00631118">
        <w:rPr>
          <w:rFonts w:cs="Tahoma"/>
          <w:szCs w:val="20"/>
        </w:rPr>
        <w:t>e</w:t>
      </w:r>
      <w:r w:rsidR="00E468C1" w:rsidRPr="008851ED">
        <w:rPr>
          <w:rFonts w:cs="Tahoma"/>
          <w:szCs w:val="20"/>
        </w:rPr>
        <w:t xml:space="preserve"> tygodniowo!</w:t>
      </w:r>
    </w:p>
    <w:p w14:paraId="2467CD23" w14:textId="77777777" w:rsidR="00B00ECE" w:rsidRPr="008851ED" w:rsidRDefault="00B00ECE" w:rsidP="00437100">
      <w:pPr>
        <w:jc w:val="both"/>
        <w:rPr>
          <w:rFonts w:cs="Tahoma"/>
          <w:szCs w:val="20"/>
        </w:rPr>
      </w:pPr>
    </w:p>
    <w:p w14:paraId="49DBD4BE" w14:textId="02F6643E" w:rsidR="00B00ECE" w:rsidRPr="008851ED" w:rsidRDefault="00F93C1C" w:rsidP="00437100">
      <w:pPr>
        <w:jc w:val="both"/>
        <w:rPr>
          <w:rFonts w:cs="Tahoma"/>
          <w:szCs w:val="20"/>
        </w:rPr>
      </w:pPr>
      <w:r w:rsidRPr="008851ED">
        <w:rPr>
          <w:rFonts w:cs="Tahoma"/>
          <w:szCs w:val="20"/>
        </w:rPr>
        <w:t>–</w:t>
      </w:r>
      <w:r w:rsidR="00B00ECE" w:rsidRPr="008851ED">
        <w:rPr>
          <w:rFonts w:cs="Tahoma"/>
          <w:szCs w:val="20"/>
        </w:rPr>
        <w:t xml:space="preserve"> </w:t>
      </w:r>
      <w:r w:rsidR="00B00ECE" w:rsidRPr="008851ED">
        <w:rPr>
          <w:rFonts w:cs="Tahoma"/>
          <w:i/>
          <w:iCs/>
          <w:szCs w:val="20"/>
        </w:rPr>
        <w:t>Bezwzględnie warto, aby firmy doskonaliły się w zakresie bezpieczeństwa produktu. Dobre procedury, certyfikacja, montaż urządzeń takich</w:t>
      </w:r>
      <w:r w:rsidR="009D7970">
        <w:rPr>
          <w:rFonts w:cs="Tahoma"/>
          <w:i/>
          <w:iCs/>
          <w:szCs w:val="20"/>
        </w:rPr>
        <w:t>,</w:t>
      </w:r>
      <w:r w:rsidR="00B00ECE" w:rsidRPr="008851ED">
        <w:rPr>
          <w:rFonts w:cs="Tahoma"/>
          <w:i/>
          <w:iCs/>
          <w:szCs w:val="20"/>
        </w:rPr>
        <w:t xml:space="preserve"> jak sortery optyczne, laserowe, rentgenowskie, wykrywacze metali czy analiza laboratoryjna to dziś konieczność. Trzeba jednak mieć świadomość, że nawet świetna prewencja czasem zawodzi. A gdy zawiedzie, firma musi być </w:t>
      </w:r>
      <w:r w:rsidR="00EC6E50" w:rsidRPr="008851ED">
        <w:rPr>
          <w:rFonts w:cs="Tahoma"/>
          <w:i/>
          <w:iCs/>
          <w:szCs w:val="20"/>
        </w:rPr>
        <w:t>przygotowana</w:t>
      </w:r>
      <w:r w:rsidR="00B00ECE" w:rsidRPr="008851ED">
        <w:rPr>
          <w:rFonts w:cs="Tahoma"/>
          <w:i/>
          <w:iCs/>
          <w:szCs w:val="20"/>
        </w:rPr>
        <w:t xml:space="preserve"> na sytuację kryzysową. </w:t>
      </w:r>
      <w:r w:rsidR="00EC6E50" w:rsidRPr="008851ED">
        <w:rPr>
          <w:rFonts w:cs="Tahoma"/>
          <w:i/>
          <w:iCs/>
          <w:szCs w:val="20"/>
        </w:rPr>
        <w:t>Z</w:t>
      </w:r>
      <w:r w:rsidR="00B00ECE" w:rsidRPr="008851ED">
        <w:rPr>
          <w:rFonts w:cs="Tahoma"/>
          <w:i/>
          <w:iCs/>
          <w:szCs w:val="20"/>
        </w:rPr>
        <w:t>arówno organizacyjnie, jak i finansowo</w:t>
      </w:r>
      <w:r w:rsidR="00BB5AD3" w:rsidRPr="008851ED">
        <w:rPr>
          <w:rFonts w:cs="Tahoma"/>
          <w:szCs w:val="20"/>
        </w:rPr>
        <w:t xml:space="preserve"> – mówi </w:t>
      </w:r>
      <w:r w:rsidR="00F612BF" w:rsidRPr="008851ED">
        <w:rPr>
          <w:rFonts w:cs="Tahoma"/>
          <w:szCs w:val="20"/>
        </w:rPr>
        <w:t>Mateusz Kita, Manager ds. Rozwoju EIB SA.</w:t>
      </w:r>
    </w:p>
    <w:p w14:paraId="1AA17BA1" w14:textId="77777777" w:rsidR="00A55DA4" w:rsidRPr="008851ED" w:rsidRDefault="00A55DA4" w:rsidP="00437100">
      <w:pPr>
        <w:jc w:val="both"/>
        <w:rPr>
          <w:rFonts w:cs="Tahoma"/>
          <w:szCs w:val="20"/>
        </w:rPr>
      </w:pPr>
    </w:p>
    <w:p w14:paraId="485AA849" w14:textId="6BBEB24D" w:rsidR="00FC0AC9" w:rsidRPr="008851ED" w:rsidRDefault="00FC0AC9" w:rsidP="00437100">
      <w:pPr>
        <w:jc w:val="both"/>
        <w:rPr>
          <w:rFonts w:cs="Tahoma"/>
          <w:b/>
          <w:bCs/>
          <w:szCs w:val="20"/>
        </w:rPr>
      </w:pPr>
      <w:r w:rsidRPr="008851ED">
        <w:rPr>
          <w:rFonts w:cs="Tahoma"/>
          <w:b/>
          <w:bCs/>
          <w:szCs w:val="20"/>
        </w:rPr>
        <w:t>Ile „kosztuje” skażenie produktu?</w:t>
      </w:r>
    </w:p>
    <w:p w14:paraId="55158A74" w14:textId="770DA457" w:rsidR="00FC0AC9" w:rsidRPr="008851ED" w:rsidRDefault="00FC0AC9" w:rsidP="00437100">
      <w:pPr>
        <w:jc w:val="both"/>
        <w:rPr>
          <w:rFonts w:cs="Tahoma"/>
          <w:szCs w:val="20"/>
        </w:rPr>
      </w:pPr>
      <w:r w:rsidRPr="008851ED">
        <w:rPr>
          <w:rFonts w:cs="Tahoma"/>
          <w:szCs w:val="20"/>
        </w:rPr>
        <w:t xml:space="preserve">Szacuje się, że przeciętny koszt </w:t>
      </w:r>
      <w:r w:rsidR="009F1578">
        <w:rPr>
          <w:rFonts w:cs="Tahoma"/>
          <w:szCs w:val="20"/>
        </w:rPr>
        <w:t xml:space="preserve">poważnego </w:t>
      </w:r>
      <w:r w:rsidRPr="008851ED">
        <w:rPr>
          <w:rFonts w:cs="Tahoma"/>
          <w:szCs w:val="20"/>
        </w:rPr>
        <w:t>incydentu to kilka</w:t>
      </w:r>
      <w:r w:rsidR="006D545F">
        <w:rPr>
          <w:rFonts w:cs="Tahoma"/>
          <w:szCs w:val="20"/>
        </w:rPr>
        <w:t>-kilkanaście</w:t>
      </w:r>
      <w:r w:rsidRPr="008851ED">
        <w:rPr>
          <w:rFonts w:cs="Tahoma"/>
          <w:szCs w:val="20"/>
        </w:rPr>
        <w:t xml:space="preserve"> milionów </w:t>
      </w:r>
      <w:r w:rsidR="006D545F">
        <w:rPr>
          <w:rFonts w:cs="Tahoma"/>
          <w:szCs w:val="20"/>
        </w:rPr>
        <w:t>złotych</w:t>
      </w:r>
      <w:r w:rsidRPr="008851ED">
        <w:rPr>
          <w:rFonts w:cs="Tahoma"/>
          <w:szCs w:val="20"/>
        </w:rPr>
        <w:t xml:space="preserve">. Składowe tego kosztu są dość dobrze znane. </w:t>
      </w:r>
      <w:r w:rsidR="00411BAA" w:rsidRPr="008851ED">
        <w:rPr>
          <w:rFonts w:cs="Tahoma"/>
          <w:szCs w:val="20"/>
        </w:rPr>
        <w:t>Eksperci</w:t>
      </w:r>
      <w:r w:rsidRPr="008851ED">
        <w:rPr>
          <w:rFonts w:cs="Tahoma"/>
          <w:szCs w:val="20"/>
        </w:rPr>
        <w:t xml:space="preserve"> </w:t>
      </w:r>
      <w:r w:rsidR="0093242E" w:rsidRPr="008851ED">
        <w:rPr>
          <w:rFonts w:cs="Tahoma"/>
          <w:szCs w:val="20"/>
        </w:rPr>
        <w:t>oceniają</w:t>
      </w:r>
      <w:r w:rsidRPr="008851ED">
        <w:rPr>
          <w:rFonts w:cs="Tahoma"/>
          <w:szCs w:val="20"/>
        </w:rPr>
        <w:t xml:space="preserve">, że </w:t>
      </w:r>
      <w:r w:rsidR="0093242E" w:rsidRPr="008851ED">
        <w:rPr>
          <w:rFonts w:cs="Tahoma"/>
          <w:szCs w:val="20"/>
        </w:rPr>
        <w:t xml:space="preserve">rozkładają się one </w:t>
      </w:r>
      <w:r w:rsidRPr="008851ED">
        <w:rPr>
          <w:rFonts w:cs="Tahoma"/>
          <w:szCs w:val="20"/>
        </w:rPr>
        <w:t>następując</w:t>
      </w:r>
      <w:r w:rsidR="0035784B">
        <w:rPr>
          <w:rFonts w:cs="Tahoma"/>
          <w:szCs w:val="20"/>
        </w:rPr>
        <w:t>o</w:t>
      </w:r>
      <w:r w:rsidRPr="008851ED">
        <w:rPr>
          <w:rFonts w:cs="Tahoma"/>
          <w:szCs w:val="20"/>
        </w:rPr>
        <w:t>:</w:t>
      </w:r>
    </w:p>
    <w:p w14:paraId="366D573D" w14:textId="71DA0489" w:rsidR="00FC0AC9" w:rsidRPr="008851ED" w:rsidRDefault="00FC0AC9" w:rsidP="00437100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szCs w:val="20"/>
        </w:rPr>
      </w:pPr>
      <w:r w:rsidRPr="008851ED">
        <w:rPr>
          <w:rFonts w:ascii="Tahoma" w:hAnsi="Tahoma" w:cs="Tahoma"/>
          <w:szCs w:val="20"/>
        </w:rPr>
        <w:t>Wartość wycofanych produktów dotkniętych skażeniem – 42%</w:t>
      </w:r>
      <w:r w:rsidR="009D7970">
        <w:rPr>
          <w:rFonts w:ascii="Tahoma" w:hAnsi="Tahoma" w:cs="Tahoma"/>
          <w:szCs w:val="20"/>
        </w:rPr>
        <w:t>,</w:t>
      </w:r>
    </w:p>
    <w:p w14:paraId="1BB8837F" w14:textId="040BE5FD" w:rsidR="00FC0AC9" w:rsidRPr="008851ED" w:rsidRDefault="00FC0AC9" w:rsidP="00437100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szCs w:val="20"/>
        </w:rPr>
      </w:pPr>
      <w:r w:rsidRPr="008851ED">
        <w:rPr>
          <w:rFonts w:ascii="Tahoma" w:hAnsi="Tahoma" w:cs="Tahoma"/>
          <w:szCs w:val="20"/>
        </w:rPr>
        <w:t>Wartość produktów nieskażonych, a również objętych wycofaniem – 21%</w:t>
      </w:r>
      <w:r w:rsidR="009D7970">
        <w:rPr>
          <w:rFonts w:ascii="Tahoma" w:hAnsi="Tahoma" w:cs="Tahoma"/>
          <w:szCs w:val="20"/>
        </w:rPr>
        <w:t>,</w:t>
      </w:r>
    </w:p>
    <w:p w14:paraId="10996BCB" w14:textId="7A8AA6A3" w:rsidR="00FC0AC9" w:rsidRPr="008851ED" w:rsidRDefault="00FC0AC9" w:rsidP="00437100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szCs w:val="20"/>
        </w:rPr>
      </w:pPr>
      <w:r w:rsidRPr="008851ED">
        <w:rPr>
          <w:rFonts w:ascii="Tahoma" w:hAnsi="Tahoma" w:cs="Tahoma"/>
          <w:szCs w:val="20"/>
        </w:rPr>
        <w:t>Koszty zatrzymania produkcji – 21%</w:t>
      </w:r>
      <w:r w:rsidR="009D7970">
        <w:rPr>
          <w:rFonts w:ascii="Tahoma" w:hAnsi="Tahoma" w:cs="Tahoma"/>
          <w:szCs w:val="20"/>
        </w:rPr>
        <w:t>,</w:t>
      </w:r>
    </w:p>
    <w:p w14:paraId="68C8F740" w14:textId="041059CD" w:rsidR="00FC0AC9" w:rsidRPr="008851ED" w:rsidRDefault="00FC0AC9" w:rsidP="00437100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szCs w:val="20"/>
        </w:rPr>
      </w:pPr>
      <w:r w:rsidRPr="008851ED">
        <w:rPr>
          <w:rFonts w:ascii="Tahoma" w:hAnsi="Tahoma" w:cs="Tahoma"/>
          <w:szCs w:val="20"/>
        </w:rPr>
        <w:t>Utrata kontraktów – 4%</w:t>
      </w:r>
      <w:r w:rsidR="009D7970">
        <w:rPr>
          <w:rFonts w:ascii="Tahoma" w:hAnsi="Tahoma" w:cs="Tahoma"/>
          <w:szCs w:val="20"/>
        </w:rPr>
        <w:t>,</w:t>
      </w:r>
    </w:p>
    <w:p w14:paraId="00C24E69" w14:textId="1CBA4892" w:rsidR="00FC0AC9" w:rsidRPr="008851ED" w:rsidRDefault="00FC0AC9" w:rsidP="00437100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szCs w:val="20"/>
        </w:rPr>
      </w:pPr>
      <w:r w:rsidRPr="008851ED">
        <w:rPr>
          <w:rFonts w:ascii="Tahoma" w:hAnsi="Tahoma" w:cs="Tahoma"/>
          <w:szCs w:val="20"/>
        </w:rPr>
        <w:t>Pozostałe koszty, w tym przede wszystkim koszty powiadomienia, transportu, utylizacji, sortowania – 12%</w:t>
      </w:r>
      <w:r w:rsidR="0035784B">
        <w:rPr>
          <w:rFonts w:ascii="Tahoma" w:hAnsi="Tahoma" w:cs="Tahoma"/>
          <w:szCs w:val="20"/>
        </w:rPr>
        <w:t>.</w:t>
      </w:r>
    </w:p>
    <w:p w14:paraId="28200528" w14:textId="77777777" w:rsidR="0093242E" w:rsidRPr="008851ED" w:rsidRDefault="0093242E" w:rsidP="00437100">
      <w:pPr>
        <w:rPr>
          <w:rFonts w:cs="Tahoma"/>
          <w:szCs w:val="20"/>
        </w:rPr>
      </w:pPr>
    </w:p>
    <w:p w14:paraId="3946C4CC" w14:textId="3818BD39" w:rsidR="00FC0AC9" w:rsidRPr="008851ED" w:rsidRDefault="00FC0AC9" w:rsidP="00437100">
      <w:pPr>
        <w:jc w:val="both"/>
        <w:rPr>
          <w:rFonts w:cs="Tahoma"/>
          <w:szCs w:val="20"/>
        </w:rPr>
      </w:pPr>
      <w:r w:rsidRPr="008851ED">
        <w:rPr>
          <w:rFonts w:cs="Tahoma"/>
          <w:szCs w:val="20"/>
        </w:rPr>
        <w:t>Warto podkreślić, że powyższe dane nie obejmują kosztu szkód osobowych, do których może dojść w wyniku incydentu. Gdy do nich dochodzi – koszty rosną lawinowo i wywracają każdą statystykę do góry nogami.</w:t>
      </w:r>
    </w:p>
    <w:p w14:paraId="47E270FE" w14:textId="77777777" w:rsidR="00FC0AC9" w:rsidRPr="008851ED" w:rsidRDefault="00FC0AC9" w:rsidP="00437100">
      <w:pPr>
        <w:jc w:val="both"/>
        <w:rPr>
          <w:rFonts w:cs="Tahoma"/>
          <w:szCs w:val="20"/>
        </w:rPr>
      </w:pPr>
    </w:p>
    <w:p w14:paraId="0657F59B" w14:textId="7AB869AF" w:rsidR="00FD7E31" w:rsidRPr="008851ED" w:rsidRDefault="00FD7E31" w:rsidP="00437100">
      <w:pPr>
        <w:jc w:val="both"/>
        <w:rPr>
          <w:rFonts w:cs="Tahoma"/>
          <w:szCs w:val="20"/>
        </w:rPr>
      </w:pPr>
      <w:r w:rsidRPr="008851ED">
        <w:rPr>
          <w:rFonts w:cs="Tahoma"/>
          <w:szCs w:val="20"/>
        </w:rPr>
        <w:t>Aby zrozumieć</w:t>
      </w:r>
      <w:r w:rsidR="00437100" w:rsidRPr="008851ED">
        <w:rPr>
          <w:rFonts w:cs="Tahoma"/>
          <w:szCs w:val="20"/>
        </w:rPr>
        <w:t xml:space="preserve"> skalę problemu</w:t>
      </w:r>
      <w:r w:rsidRPr="008851ED">
        <w:rPr>
          <w:rFonts w:cs="Tahoma"/>
          <w:szCs w:val="20"/>
        </w:rPr>
        <w:t>, warto spojrzeć na kilka przykładów.</w:t>
      </w:r>
    </w:p>
    <w:p w14:paraId="7775F9F2" w14:textId="77777777" w:rsidR="00FD7E31" w:rsidRPr="008851ED" w:rsidRDefault="00FD7E31" w:rsidP="00437100">
      <w:pPr>
        <w:pStyle w:val="Akapitzlist"/>
        <w:numPr>
          <w:ilvl w:val="0"/>
          <w:numId w:val="3"/>
        </w:numPr>
        <w:tabs>
          <w:tab w:val="clear" w:pos="567"/>
        </w:tabs>
        <w:spacing w:after="0" w:line="240" w:lineRule="auto"/>
        <w:rPr>
          <w:rFonts w:ascii="Tahoma" w:hAnsi="Tahoma" w:cs="Tahoma"/>
          <w:szCs w:val="20"/>
        </w:rPr>
      </w:pPr>
      <w:r w:rsidRPr="008851ED">
        <w:rPr>
          <w:rFonts w:ascii="Tahoma" w:hAnsi="Tahoma" w:cs="Tahoma"/>
          <w:szCs w:val="20"/>
        </w:rPr>
        <w:t xml:space="preserve">Jeden z głośnych przykładów w ostatnich latach dotyczył skażenia kukurydzy spożywczej groźną bakterią, </w:t>
      </w:r>
      <w:proofErr w:type="spellStart"/>
      <w:r w:rsidRPr="008851ED">
        <w:rPr>
          <w:rFonts w:ascii="Tahoma" w:hAnsi="Tahoma" w:cs="Tahoma"/>
          <w:szCs w:val="20"/>
        </w:rPr>
        <w:t>listerią</w:t>
      </w:r>
      <w:proofErr w:type="spellEnd"/>
      <w:r w:rsidRPr="008851ED">
        <w:rPr>
          <w:rFonts w:ascii="Tahoma" w:hAnsi="Tahoma" w:cs="Tahoma"/>
          <w:szCs w:val="20"/>
        </w:rPr>
        <w:t xml:space="preserve">. Problem dotknął jednego zakładu produkcyjnego, ale ze względu na charakter produktu – nabrał ogromnych rozmiarów. Skażona kukurydza stała się częścią wielu innych produktów, m.in. mieszanek warzywnych – często stanowiąc jedynie niewielki procent ich masy czy wartości. Zdarzenie zakończyło się koniecznością wycofania ok. 350 różnych produktów licznych marek obecnych w wielu europejskich krajach. Łączny koszt zdarzenia oszacowany został na ok. 30 mln EUR. </w:t>
      </w:r>
    </w:p>
    <w:p w14:paraId="0402B36D" w14:textId="77777777" w:rsidR="00FD7E31" w:rsidRPr="008851ED" w:rsidRDefault="00FD7E31" w:rsidP="00437100">
      <w:pPr>
        <w:jc w:val="both"/>
        <w:rPr>
          <w:rFonts w:cs="Tahoma"/>
          <w:szCs w:val="20"/>
        </w:rPr>
      </w:pPr>
    </w:p>
    <w:p w14:paraId="76AA0F79" w14:textId="77777777" w:rsidR="00FD7E31" w:rsidRPr="008851ED" w:rsidRDefault="00FD7E31" w:rsidP="00437100">
      <w:pPr>
        <w:pStyle w:val="Akapitzlist"/>
        <w:numPr>
          <w:ilvl w:val="0"/>
          <w:numId w:val="3"/>
        </w:numPr>
        <w:tabs>
          <w:tab w:val="clear" w:pos="567"/>
        </w:tabs>
        <w:spacing w:after="0" w:line="240" w:lineRule="auto"/>
        <w:rPr>
          <w:rFonts w:ascii="Tahoma" w:hAnsi="Tahoma" w:cs="Tahoma"/>
          <w:szCs w:val="20"/>
        </w:rPr>
      </w:pPr>
      <w:r w:rsidRPr="008851ED">
        <w:rPr>
          <w:rFonts w:ascii="Tahoma" w:hAnsi="Tahoma" w:cs="Tahoma"/>
          <w:szCs w:val="20"/>
        </w:rPr>
        <w:lastRenderedPageBreak/>
        <w:t>Drugim z przykładów może być skażenie truskawek wirusem HAV, odpowiadającym za wirusowe zapalenie wątroby, z roku 2018. Owoce najprawdopodobniej importowane były z Polski i, zdaniem agencji rządowych Szwecji i Austrii, doprowadziły do zachorowania ok. 65 osób. Naturalnie zdarzeniu towarzyszyła akcja wycofania produktu z rynku w dwóch krajach oraz konieczność utylizacji znacznych ilości owoców, które stały się składnikiem ponad 60 produktów, które mogły znajdować się na rynkach 6 krajów. Koszty zdarzenia nie są znane, ale szacować można je na poziomie ok. 20.000 EUR na jednego poszkodowanego plus, naturalnie, koszty związane z produktem i jego wycofaniem.</w:t>
      </w:r>
    </w:p>
    <w:p w14:paraId="6A34CAE0" w14:textId="77777777" w:rsidR="00FD7E31" w:rsidRPr="008851ED" w:rsidRDefault="00FD7E31" w:rsidP="00437100">
      <w:pPr>
        <w:jc w:val="both"/>
        <w:rPr>
          <w:rFonts w:cs="Tahoma"/>
          <w:szCs w:val="20"/>
        </w:rPr>
      </w:pPr>
    </w:p>
    <w:p w14:paraId="6D43DEC0" w14:textId="71FC00E8" w:rsidR="00663B37" w:rsidRPr="008851ED" w:rsidRDefault="00663B37" w:rsidP="00437100">
      <w:pPr>
        <w:jc w:val="both"/>
        <w:rPr>
          <w:rFonts w:cs="Tahoma"/>
          <w:b/>
          <w:bCs/>
          <w:szCs w:val="20"/>
        </w:rPr>
      </w:pPr>
      <w:r w:rsidRPr="008851ED">
        <w:rPr>
          <w:rFonts w:cs="Tahoma"/>
          <w:b/>
          <w:bCs/>
          <w:szCs w:val="20"/>
        </w:rPr>
        <w:t>Czy firma może się ubezpieczyć od skutków skażenia produktu?</w:t>
      </w:r>
    </w:p>
    <w:p w14:paraId="23E50A5E" w14:textId="5033E469" w:rsidR="00663B37" w:rsidRPr="008851ED" w:rsidRDefault="00663B37" w:rsidP="00437100">
      <w:pPr>
        <w:jc w:val="both"/>
        <w:rPr>
          <w:rFonts w:cs="Tahoma"/>
          <w:szCs w:val="20"/>
        </w:rPr>
      </w:pPr>
      <w:r w:rsidRPr="008851ED">
        <w:rPr>
          <w:rFonts w:cs="Tahoma"/>
          <w:szCs w:val="20"/>
        </w:rPr>
        <w:t xml:space="preserve">Temat ryzyka związanego z jakością produktu jest bardzo dobrze znany, również </w:t>
      </w:r>
      <w:r w:rsidR="009421A1">
        <w:rPr>
          <w:rFonts w:cs="Tahoma"/>
          <w:szCs w:val="20"/>
        </w:rPr>
        <w:t>w Polsce</w:t>
      </w:r>
      <w:r w:rsidRPr="008851ED">
        <w:rPr>
          <w:rFonts w:cs="Tahoma"/>
          <w:szCs w:val="20"/>
        </w:rPr>
        <w:t xml:space="preserve">. Chyba nie ma już na </w:t>
      </w:r>
      <w:r w:rsidRPr="006F0673">
        <w:rPr>
          <w:rFonts w:cs="Tahoma"/>
          <w:szCs w:val="20"/>
        </w:rPr>
        <w:t>rynku</w:t>
      </w:r>
      <w:r w:rsidRPr="008851ED">
        <w:rPr>
          <w:rFonts w:cs="Tahoma"/>
          <w:szCs w:val="20"/>
        </w:rPr>
        <w:t xml:space="preserve"> szanującej się firmy, która nie zabezpieczałaby solidnie swojej odpowiedzialności cywilnej za produkt. W ostatnich latach jakość polis znacznie się poprawiła. Sumy gwarancyjne dynamicznie rosną, a zakres ubezpieczenia zdecydowanie wykracza poza typowe szkody osobowe i uszkodzenie mienia. To bardzo dobrze!</w:t>
      </w:r>
    </w:p>
    <w:p w14:paraId="3CAC9476" w14:textId="77777777" w:rsidR="00FD36F2" w:rsidRPr="008851ED" w:rsidRDefault="00FD36F2" w:rsidP="00437100">
      <w:pPr>
        <w:jc w:val="both"/>
        <w:rPr>
          <w:rFonts w:cs="Tahoma"/>
          <w:szCs w:val="20"/>
        </w:rPr>
      </w:pPr>
    </w:p>
    <w:p w14:paraId="24CB86AD" w14:textId="2075CE88" w:rsidR="00663B37" w:rsidRPr="008851ED" w:rsidRDefault="00F93C1C" w:rsidP="00437100">
      <w:pPr>
        <w:jc w:val="both"/>
        <w:rPr>
          <w:rFonts w:cs="Tahoma"/>
          <w:szCs w:val="20"/>
        </w:rPr>
      </w:pPr>
      <w:r w:rsidRPr="008851ED">
        <w:rPr>
          <w:rFonts w:cs="Tahoma"/>
          <w:szCs w:val="20"/>
        </w:rPr>
        <w:t>–</w:t>
      </w:r>
      <w:r w:rsidR="00FD36F2" w:rsidRPr="008851ED">
        <w:rPr>
          <w:rFonts w:cs="Tahoma"/>
          <w:szCs w:val="20"/>
        </w:rPr>
        <w:t xml:space="preserve"> </w:t>
      </w:r>
      <w:r w:rsidR="00663B37" w:rsidRPr="008851ED">
        <w:rPr>
          <w:rFonts w:cs="Tahoma"/>
          <w:i/>
          <w:iCs/>
          <w:szCs w:val="20"/>
        </w:rPr>
        <w:t>Praktycznie każda, rozsądnie zbudowana polisa</w:t>
      </w:r>
      <w:r w:rsidR="000A02A3">
        <w:rPr>
          <w:rFonts w:cs="Tahoma"/>
          <w:i/>
          <w:iCs/>
          <w:szCs w:val="20"/>
        </w:rPr>
        <w:t xml:space="preserve"> OC działalności</w:t>
      </w:r>
      <w:r w:rsidR="00663B37" w:rsidRPr="008851ED">
        <w:rPr>
          <w:rFonts w:cs="Tahoma"/>
          <w:i/>
          <w:iCs/>
          <w:szCs w:val="20"/>
        </w:rPr>
        <w:t xml:space="preserve">, </w:t>
      </w:r>
      <w:r w:rsidR="00663B37" w:rsidRPr="006F0673">
        <w:rPr>
          <w:rFonts w:cs="Tahoma"/>
          <w:i/>
          <w:iCs/>
          <w:szCs w:val="20"/>
        </w:rPr>
        <w:t>pokryje</w:t>
      </w:r>
      <w:r w:rsidR="00663B37" w:rsidRPr="008851ED">
        <w:rPr>
          <w:rFonts w:cs="Tahoma"/>
          <w:i/>
          <w:iCs/>
          <w:szCs w:val="20"/>
        </w:rPr>
        <w:t xml:space="preserve"> koszty roszczeń konsumentów, którzy ucierpią na skutek skażenia produktu. Wiele polis </w:t>
      </w:r>
      <w:r w:rsidR="006F0673">
        <w:rPr>
          <w:rFonts w:cs="Tahoma"/>
          <w:i/>
          <w:iCs/>
          <w:szCs w:val="20"/>
        </w:rPr>
        <w:t>uwzględnia</w:t>
      </w:r>
      <w:r w:rsidR="00663B37" w:rsidRPr="008851ED">
        <w:rPr>
          <w:rFonts w:cs="Tahoma"/>
          <w:i/>
          <w:iCs/>
          <w:szCs w:val="20"/>
        </w:rPr>
        <w:t xml:space="preserve"> też roszczenia kolejnych producentów i dystrybutorów, którzy kupili produkt dotknięty wadą. Niektóre polisy zapewnią </w:t>
      </w:r>
      <w:r w:rsidR="00D11413">
        <w:rPr>
          <w:rFonts w:cs="Tahoma"/>
          <w:i/>
          <w:iCs/>
          <w:szCs w:val="20"/>
        </w:rPr>
        <w:t>uznanie</w:t>
      </w:r>
      <w:r w:rsidR="00D11413" w:rsidRPr="008851ED">
        <w:rPr>
          <w:rFonts w:cs="Tahoma"/>
          <w:i/>
          <w:iCs/>
          <w:szCs w:val="20"/>
        </w:rPr>
        <w:t xml:space="preserve"> </w:t>
      </w:r>
      <w:r w:rsidR="00663B37" w:rsidRPr="008851ED">
        <w:rPr>
          <w:rFonts w:cs="Tahoma"/>
          <w:i/>
          <w:iCs/>
          <w:szCs w:val="20"/>
        </w:rPr>
        <w:t xml:space="preserve">kosztów odszukania wadliwego produktu, poinformowania konsumentów, transportu, sortowania i utylizacji. </w:t>
      </w:r>
      <w:r w:rsidR="00D11413">
        <w:rPr>
          <w:rFonts w:cs="Tahoma"/>
          <w:i/>
          <w:iCs/>
          <w:szCs w:val="20"/>
        </w:rPr>
        <w:t>Inne</w:t>
      </w:r>
      <w:r w:rsidR="00D11413" w:rsidRPr="008851ED">
        <w:rPr>
          <w:rFonts w:cs="Tahoma"/>
          <w:i/>
          <w:iCs/>
          <w:szCs w:val="20"/>
        </w:rPr>
        <w:t xml:space="preserve"> </w:t>
      </w:r>
      <w:r w:rsidR="00663B37" w:rsidRPr="00D11413">
        <w:rPr>
          <w:rFonts w:cs="Tahoma"/>
          <w:i/>
          <w:iCs/>
          <w:szCs w:val="20"/>
        </w:rPr>
        <w:t>pokryją</w:t>
      </w:r>
      <w:r w:rsidR="00663B37" w:rsidRPr="008851ED">
        <w:rPr>
          <w:rFonts w:cs="Tahoma"/>
          <w:i/>
          <w:iCs/>
          <w:szCs w:val="20"/>
        </w:rPr>
        <w:t xml:space="preserve"> nawet koszty pomocy w organizacji </w:t>
      </w:r>
      <w:r w:rsidR="00EB4144">
        <w:rPr>
          <w:rFonts w:cs="Tahoma"/>
          <w:i/>
          <w:iCs/>
          <w:szCs w:val="20"/>
        </w:rPr>
        <w:t xml:space="preserve">tego </w:t>
      </w:r>
      <w:r w:rsidR="00663B37" w:rsidRPr="008851ED">
        <w:rPr>
          <w:rFonts w:cs="Tahoma"/>
          <w:i/>
          <w:iCs/>
          <w:szCs w:val="20"/>
        </w:rPr>
        <w:t>procesu – bo przecież nie każda firma ma zasoby pozwalające na jego samodzielne i sprawne przeprowadzenie. To świetnie, że tego rodzaju ubezpieczenia są nie tylko dostępne, ale i wdrożone w prawie każdej firmie</w:t>
      </w:r>
      <w:r w:rsidR="00FD36F2" w:rsidRPr="008851ED">
        <w:rPr>
          <w:rFonts w:cs="Tahoma"/>
          <w:szCs w:val="20"/>
        </w:rPr>
        <w:t xml:space="preserve"> – zauważa Mateusz Kita z EIB SA</w:t>
      </w:r>
      <w:r w:rsidR="00663B37" w:rsidRPr="008851ED">
        <w:rPr>
          <w:rFonts w:cs="Tahoma"/>
          <w:szCs w:val="20"/>
        </w:rPr>
        <w:t>.</w:t>
      </w:r>
    </w:p>
    <w:p w14:paraId="18931A04" w14:textId="77777777" w:rsidR="00FD36F2" w:rsidRPr="008851ED" w:rsidRDefault="00FD36F2" w:rsidP="00437100">
      <w:pPr>
        <w:jc w:val="both"/>
        <w:rPr>
          <w:rFonts w:cs="Tahoma"/>
          <w:szCs w:val="20"/>
        </w:rPr>
      </w:pPr>
    </w:p>
    <w:p w14:paraId="4EFCF7DF" w14:textId="1805131D" w:rsidR="004E2FF4" w:rsidRPr="008851ED" w:rsidRDefault="00663B37" w:rsidP="004E2FF4">
      <w:pPr>
        <w:jc w:val="both"/>
        <w:rPr>
          <w:rFonts w:cs="Tahoma"/>
          <w:szCs w:val="20"/>
        </w:rPr>
      </w:pPr>
      <w:r w:rsidRPr="008851ED">
        <w:rPr>
          <w:rFonts w:cs="Tahoma"/>
          <w:szCs w:val="20"/>
        </w:rPr>
        <w:t xml:space="preserve">A co z wartością skażonych produktów? Jak </w:t>
      </w:r>
      <w:r w:rsidR="00216081" w:rsidRPr="008851ED">
        <w:rPr>
          <w:rFonts w:cs="Tahoma"/>
          <w:szCs w:val="20"/>
        </w:rPr>
        <w:t>widać powyżej</w:t>
      </w:r>
      <w:r w:rsidRPr="008851ED">
        <w:rPr>
          <w:rFonts w:cs="Tahoma"/>
          <w:szCs w:val="20"/>
        </w:rPr>
        <w:t>, to ponad 60% całej szkody. No cóż… ubezpieczyciel odpowiedzialności cywilnej powie, że to koszty reklamacji, które stanowią ryzyko biznesowe.</w:t>
      </w:r>
      <w:r w:rsidR="00216081" w:rsidRPr="008851ED">
        <w:rPr>
          <w:rFonts w:cs="Tahoma"/>
          <w:szCs w:val="20"/>
        </w:rPr>
        <w:t xml:space="preserve"> </w:t>
      </w:r>
      <w:r w:rsidRPr="008851ED">
        <w:rPr>
          <w:rFonts w:cs="Tahoma"/>
          <w:szCs w:val="20"/>
        </w:rPr>
        <w:t>Co więc z utratą reputacji, zerwaniem kontraktów i ograniczeniem sprzedaży w przyszłości? Niestety, tu również ubezpieczonego spotka rozczarowanie. To koszty własne, nie podlegające ubezpieczeniu odpowiedzialności cywilnej.</w:t>
      </w:r>
      <w:r w:rsidR="009A3A31" w:rsidRPr="008851ED">
        <w:rPr>
          <w:rFonts w:cs="Tahoma"/>
          <w:szCs w:val="20"/>
        </w:rPr>
        <w:t xml:space="preserve"> Nie oznacza to jednak, że tych kosztów nie można ubezpieczyć.</w:t>
      </w:r>
      <w:r w:rsidR="004E2FF4" w:rsidRPr="008851ED">
        <w:rPr>
          <w:rFonts w:cs="Tahoma"/>
          <w:szCs w:val="20"/>
        </w:rPr>
        <w:t xml:space="preserve"> </w:t>
      </w:r>
      <w:r w:rsidRPr="008851ED">
        <w:rPr>
          <w:rFonts w:cs="Tahoma"/>
          <w:szCs w:val="20"/>
        </w:rPr>
        <w:t>Podchodząc poważnie do przeniesienia ryzyka skażenia produktu na rynek ubezpieczeniowy</w:t>
      </w:r>
      <w:r w:rsidR="003A66AA">
        <w:rPr>
          <w:rFonts w:cs="Tahoma"/>
          <w:szCs w:val="20"/>
        </w:rPr>
        <w:t>,</w:t>
      </w:r>
      <w:r w:rsidRPr="008851ED">
        <w:rPr>
          <w:rFonts w:cs="Tahoma"/>
          <w:szCs w:val="20"/>
        </w:rPr>
        <w:t xml:space="preserve"> warto uzupełnić rozwiązania standardowe bardziej specjalistycznymi. Rozwiązaniem </w:t>
      </w:r>
      <w:r w:rsidR="000A02A3">
        <w:rPr>
          <w:rFonts w:cs="Tahoma"/>
          <w:szCs w:val="20"/>
        </w:rPr>
        <w:t xml:space="preserve">jest </w:t>
      </w:r>
      <w:r w:rsidRPr="008851ED">
        <w:rPr>
          <w:rFonts w:cs="Tahoma"/>
          <w:szCs w:val="20"/>
        </w:rPr>
        <w:t xml:space="preserve"> ubezpieczenie skażenia produktu (CPI – </w:t>
      </w:r>
      <w:proofErr w:type="spellStart"/>
      <w:r w:rsidRPr="008851ED">
        <w:rPr>
          <w:rFonts w:cs="Tahoma"/>
          <w:szCs w:val="20"/>
        </w:rPr>
        <w:t>Contaminated</w:t>
      </w:r>
      <w:proofErr w:type="spellEnd"/>
      <w:r w:rsidRPr="008851ED">
        <w:rPr>
          <w:rFonts w:cs="Tahoma"/>
          <w:szCs w:val="20"/>
        </w:rPr>
        <w:t xml:space="preserve"> Product </w:t>
      </w:r>
      <w:proofErr w:type="spellStart"/>
      <w:r w:rsidRPr="008851ED">
        <w:rPr>
          <w:rFonts w:cs="Tahoma"/>
          <w:szCs w:val="20"/>
        </w:rPr>
        <w:t>Insurance</w:t>
      </w:r>
      <w:proofErr w:type="spellEnd"/>
      <w:r w:rsidRPr="008851ED">
        <w:rPr>
          <w:rFonts w:cs="Tahoma"/>
          <w:szCs w:val="20"/>
        </w:rPr>
        <w:t>), dedykowane podmiotom z branży spożywczej, ale i farmaceutycznej czy kosmetycznej</w:t>
      </w:r>
      <w:r w:rsidR="004E2FF4" w:rsidRPr="008851ED">
        <w:rPr>
          <w:rFonts w:cs="Tahoma"/>
          <w:szCs w:val="20"/>
        </w:rPr>
        <w:t>.</w:t>
      </w:r>
      <w:r w:rsidR="00F321C7" w:rsidRPr="008851ED">
        <w:rPr>
          <w:rFonts w:cs="Tahoma"/>
          <w:szCs w:val="20"/>
        </w:rPr>
        <w:t xml:space="preserve"> </w:t>
      </w:r>
    </w:p>
    <w:p w14:paraId="672475DA" w14:textId="77777777" w:rsidR="004E2FF4" w:rsidRPr="008851ED" w:rsidRDefault="004E2FF4" w:rsidP="004E2FF4">
      <w:pPr>
        <w:jc w:val="both"/>
        <w:rPr>
          <w:rFonts w:cs="Tahoma"/>
          <w:szCs w:val="20"/>
        </w:rPr>
      </w:pPr>
    </w:p>
    <w:p w14:paraId="20245117" w14:textId="401D41E7" w:rsidR="001C641D" w:rsidRPr="008851ED" w:rsidRDefault="004E2FF4" w:rsidP="00437100">
      <w:pPr>
        <w:jc w:val="both"/>
        <w:rPr>
          <w:rFonts w:cs="Tahoma"/>
          <w:szCs w:val="20"/>
        </w:rPr>
      </w:pPr>
      <w:r w:rsidRPr="008851ED">
        <w:rPr>
          <w:rFonts w:cs="Tahoma"/>
          <w:szCs w:val="20"/>
        </w:rPr>
        <w:t>–</w:t>
      </w:r>
      <w:r w:rsidR="00DA71B8" w:rsidRPr="008851ED">
        <w:rPr>
          <w:rFonts w:cs="Tahoma"/>
          <w:szCs w:val="20"/>
        </w:rPr>
        <w:t xml:space="preserve"> </w:t>
      </w:r>
      <w:r w:rsidRPr="008851ED">
        <w:rPr>
          <w:rFonts w:cs="Tahoma"/>
          <w:i/>
          <w:iCs/>
          <w:szCs w:val="20"/>
        </w:rPr>
        <w:t>Jest to ubezpieczenie, które pozwala pokryć wartość skażonego produktu i koszty obrony reputacji marki. Kompensuje też utracone kontrakty i zysk, który nie zostanie wypracowany w momencie czasowego zamknięcia zakładu lub jego części przez władze. Potrafi pokryć również negatywny wpływ na wielkość zdarzenia w przyszłości. Z własnego doświadczenia mogę z całą stanowczością powiedzieć: są to elementy, które mogą decydować o przetrwaniu firmy. Ubezpieczenie CPI powinno być traktowane jako standard w branży spożywczej. W Polsce takie umowy funkcjonują już od ponad 10 lat i stopniowo popularyzują się też wśród mniejszych firm</w:t>
      </w:r>
      <w:r w:rsidR="00DA71B8" w:rsidRPr="008851ED">
        <w:rPr>
          <w:rFonts w:cs="Tahoma"/>
          <w:szCs w:val="20"/>
        </w:rPr>
        <w:t xml:space="preserve"> </w:t>
      </w:r>
      <w:r w:rsidR="00F321C7" w:rsidRPr="008851ED">
        <w:rPr>
          <w:rFonts w:cs="Tahoma"/>
          <w:szCs w:val="20"/>
        </w:rPr>
        <w:t>– mówi Mateusz Kita z EIB SA</w:t>
      </w:r>
      <w:r w:rsidR="00663B37" w:rsidRPr="008851ED">
        <w:rPr>
          <w:rFonts w:cs="Tahoma"/>
          <w:szCs w:val="20"/>
        </w:rPr>
        <w:t xml:space="preserve">. </w:t>
      </w:r>
    </w:p>
    <w:p w14:paraId="3D761834" w14:textId="154F9CCB" w:rsidR="007D62BF" w:rsidRPr="008851ED" w:rsidRDefault="007D62BF" w:rsidP="00437100">
      <w:pPr>
        <w:jc w:val="both"/>
        <w:rPr>
          <w:rFonts w:cs="Tahoma"/>
          <w:szCs w:val="20"/>
        </w:rPr>
      </w:pPr>
    </w:p>
    <w:p w14:paraId="2A3EE1ED" w14:textId="3CB553B8" w:rsidR="007D62BF" w:rsidRPr="008851ED" w:rsidRDefault="007D62BF" w:rsidP="007D62BF">
      <w:pPr>
        <w:jc w:val="right"/>
        <w:rPr>
          <w:rFonts w:cs="Tahoma"/>
          <w:szCs w:val="20"/>
        </w:rPr>
      </w:pPr>
      <w:r w:rsidRPr="008851ED">
        <w:rPr>
          <w:rFonts w:cs="Tahoma"/>
          <w:szCs w:val="20"/>
        </w:rPr>
        <w:t>Źródło: EIB SA.</w:t>
      </w:r>
    </w:p>
    <w:p w14:paraId="55EC0C98" w14:textId="77777777" w:rsidR="001C641D" w:rsidRPr="008851ED" w:rsidRDefault="001C641D" w:rsidP="00437100">
      <w:pPr>
        <w:jc w:val="both"/>
        <w:rPr>
          <w:rFonts w:cs="Tahoma"/>
          <w:szCs w:val="20"/>
        </w:rPr>
      </w:pPr>
    </w:p>
    <w:p w14:paraId="66421D34" w14:textId="77777777" w:rsidR="004E2FF4" w:rsidRPr="008851ED" w:rsidRDefault="004E2FF4">
      <w:pPr>
        <w:jc w:val="both"/>
        <w:rPr>
          <w:rFonts w:cs="Tahoma"/>
          <w:szCs w:val="20"/>
        </w:rPr>
      </w:pPr>
    </w:p>
    <w:sectPr w:rsidR="004E2FF4" w:rsidRPr="0088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E5322" w14:textId="77777777" w:rsidR="004D6C24" w:rsidRDefault="004D6C24" w:rsidP="007D62BF">
      <w:r>
        <w:separator/>
      </w:r>
    </w:p>
  </w:endnote>
  <w:endnote w:type="continuationSeparator" w:id="0">
    <w:p w14:paraId="3D0A7BA1" w14:textId="77777777" w:rsidR="004D6C24" w:rsidRDefault="004D6C24" w:rsidP="007D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D5CFA" w14:textId="77777777" w:rsidR="004D6C24" w:rsidRDefault="004D6C24" w:rsidP="007D62BF">
      <w:r>
        <w:separator/>
      </w:r>
    </w:p>
  </w:footnote>
  <w:footnote w:type="continuationSeparator" w:id="0">
    <w:p w14:paraId="07F8CE7C" w14:textId="77777777" w:rsidR="004D6C24" w:rsidRDefault="004D6C24" w:rsidP="007D6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35B0"/>
    <w:multiLevelType w:val="hybridMultilevel"/>
    <w:tmpl w:val="A8380F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5E2DC4"/>
    <w:multiLevelType w:val="hybridMultilevel"/>
    <w:tmpl w:val="5BAE9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F2684"/>
    <w:multiLevelType w:val="hybridMultilevel"/>
    <w:tmpl w:val="7CD8E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F2231"/>
    <w:multiLevelType w:val="hybridMultilevel"/>
    <w:tmpl w:val="F2B48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620774">
    <w:abstractNumId w:val="2"/>
  </w:num>
  <w:num w:numId="2" w16cid:durableId="296184976">
    <w:abstractNumId w:val="0"/>
  </w:num>
  <w:num w:numId="3" w16cid:durableId="232352936">
    <w:abstractNumId w:val="1"/>
  </w:num>
  <w:num w:numId="4" w16cid:durableId="1154645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09"/>
    <w:rsid w:val="000557CF"/>
    <w:rsid w:val="00080058"/>
    <w:rsid w:val="000822A3"/>
    <w:rsid w:val="000A02A3"/>
    <w:rsid w:val="000C38FC"/>
    <w:rsid w:val="001477C2"/>
    <w:rsid w:val="00170A73"/>
    <w:rsid w:val="001A09B1"/>
    <w:rsid w:val="001A2786"/>
    <w:rsid w:val="001C641D"/>
    <w:rsid w:val="001F1369"/>
    <w:rsid w:val="00216081"/>
    <w:rsid w:val="002178BE"/>
    <w:rsid w:val="00235806"/>
    <w:rsid w:val="0027311C"/>
    <w:rsid w:val="00295B0F"/>
    <w:rsid w:val="002A0A18"/>
    <w:rsid w:val="002D446B"/>
    <w:rsid w:val="003304AE"/>
    <w:rsid w:val="0033124A"/>
    <w:rsid w:val="0035784B"/>
    <w:rsid w:val="00375158"/>
    <w:rsid w:val="00390CC9"/>
    <w:rsid w:val="0039769E"/>
    <w:rsid w:val="003A5186"/>
    <w:rsid w:val="003A66AA"/>
    <w:rsid w:val="00411BAA"/>
    <w:rsid w:val="00423DEC"/>
    <w:rsid w:val="00437100"/>
    <w:rsid w:val="0046588D"/>
    <w:rsid w:val="004C0409"/>
    <w:rsid w:val="004D6628"/>
    <w:rsid w:val="004D6C24"/>
    <w:rsid w:val="004E2FF4"/>
    <w:rsid w:val="00500667"/>
    <w:rsid w:val="00564964"/>
    <w:rsid w:val="00591B54"/>
    <w:rsid w:val="0059794F"/>
    <w:rsid w:val="005D3266"/>
    <w:rsid w:val="005F17F7"/>
    <w:rsid w:val="0060691C"/>
    <w:rsid w:val="00617F67"/>
    <w:rsid w:val="00622B34"/>
    <w:rsid w:val="00622ECF"/>
    <w:rsid w:val="00625CC5"/>
    <w:rsid w:val="00631118"/>
    <w:rsid w:val="00663B37"/>
    <w:rsid w:val="00683034"/>
    <w:rsid w:val="006A1F59"/>
    <w:rsid w:val="006C0326"/>
    <w:rsid w:val="006C7302"/>
    <w:rsid w:val="006D545F"/>
    <w:rsid w:val="006F0673"/>
    <w:rsid w:val="00711A7D"/>
    <w:rsid w:val="007372A9"/>
    <w:rsid w:val="00773A12"/>
    <w:rsid w:val="007916C3"/>
    <w:rsid w:val="007B1A3B"/>
    <w:rsid w:val="007D62BF"/>
    <w:rsid w:val="008420FB"/>
    <w:rsid w:val="0086130E"/>
    <w:rsid w:val="00866D54"/>
    <w:rsid w:val="00881FEF"/>
    <w:rsid w:val="008851ED"/>
    <w:rsid w:val="008D61EE"/>
    <w:rsid w:val="008F09E8"/>
    <w:rsid w:val="00906F7D"/>
    <w:rsid w:val="0093242E"/>
    <w:rsid w:val="00935EB8"/>
    <w:rsid w:val="009421A1"/>
    <w:rsid w:val="009607DD"/>
    <w:rsid w:val="009A3A31"/>
    <w:rsid w:val="009C35DD"/>
    <w:rsid w:val="009D7970"/>
    <w:rsid w:val="009F1578"/>
    <w:rsid w:val="00A0379A"/>
    <w:rsid w:val="00A4002B"/>
    <w:rsid w:val="00A55DA4"/>
    <w:rsid w:val="00A76BD2"/>
    <w:rsid w:val="00A86A8A"/>
    <w:rsid w:val="00AA52B0"/>
    <w:rsid w:val="00AC703F"/>
    <w:rsid w:val="00B00ECE"/>
    <w:rsid w:val="00B54B8B"/>
    <w:rsid w:val="00B95E96"/>
    <w:rsid w:val="00BB5AD3"/>
    <w:rsid w:val="00BF7D95"/>
    <w:rsid w:val="00C50D84"/>
    <w:rsid w:val="00CA7AB9"/>
    <w:rsid w:val="00CC6A67"/>
    <w:rsid w:val="00D11413"/>
    <w:rsid w:val="00D17DC0"/>
    <w:rsid w:val="00D5041D"/>
    <w:rsid w:val="00D5236D"/>
    <w:rsid w:val="00D75592"/>
    <w:rsid w:val="00D806F2"/>
    <w:rsid w:val="00D8239F"/>
    <w:rsid w:val="00DA71B8"/>
    <w:rsid w:val="00DB49D8"/>
    <w:rsid w:val="00DE7A71"/>
    <w:rsid w:val="00E468C1"/>
    <w:rsid w:val="00E52F72"/>
    <w:rsid w:val="00E5436D"/>
    <w:rsid w:val="00EB4144"/>
    <w:rsid w:val="00EC6E50"/>
    <w:rsid w:val="00ED7002"/>
    <w:rsid w:val="00F321C7"/>
    <w:rsid w:val="00F32C19"/>
    <w:rsid w:val="00F33889"/>
    <w:rsid w:val="00F612BF"/>
    <w:rsid w:val="00F93C1C"/>
    <w:rsid w:val="00FC0AC9"/>
    <w:rsid w:val="00FD36F2"/>
    <w:rsid w:val="00FD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761F"/>
  <w15:chartTrackingRefBased/>
  <w15:docId w15:val="{597C2EC4-E05F-4B95-A4F4-E8BF032F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BD2"/>
    <w:pPr>
      <w:spacing w:after="0" w:line="240" w:lineRule="auto"/>
    </w:pPr>
    <w:rPr>
      <w:rFonts w:ascii="Tahoma" w:hAnsi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AC9"/>
    <w:pPr>
      <w:tabs>
        <w:tab w:val="left" w:pos="567"/>
      </w:tabs>
      <w:spacing w:after="120" w:line="288" w:lineRule="auto"/>
      <w:ind w:left="720" w:firstLine="567"/>
      <w:contextualSpacing/>
      <w:jc w:val="both"/>
    </w:pPr>
    <w:rPr>
      <w:rFonts w:ascii="Open Sans" w:hAnsi="Open San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2BF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2BF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2B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B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B5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1B54"/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B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B54"/>
    <w:rPr>
      <w:rFonts w:ascii="Tahoma" w:hAnsi="Tahoma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5784B"/>
    <w:pPr>
      <w:spacing w:after="0" w:line="240" w:lineRule="auto"/>
    </w:pPr>
    <w:rPr>
      <w:rFonts w:ascii="Tahoma" w:hAnsi="Tahom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4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45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7D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7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Luty</dc:creator>
  <cp:keywords/>
  <dc:description/>
  <cp:lastModifiedBy>Tomasz Luty</cp:lastModifiedBy>
  <cp:revision>25</cp:revision>
  <dcterms:created xsi:type="dcterms:W3CDTF">2023-04-17T09:47:00Z</dcterms:created>
  <dcterms:modified xsi:type="dcterms:W3CDTF">2023-05-10T08:59:00Z</dcterms:modified>
</cp:coreProperties>
</file>