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C383" w14:textId="392AA40D" w:rsidR="00D824D3" w:rsidRPr="00FC43CA" w:rsidRDefault="00F65CEF">
      <w:pPr>
        <w:tabs>
          <w:tab w:val="left" w:pos="905"/>
          <w:tab w:val="right" w:pos="9298"/>
        </w:tabs>
        <w:spacing w:after="0" w:line="360" w:lineRule="auto"/>
        <w:jc w:val="right"/>
        <w:rPr>
          <w:rFonts w:ascii="Tahoma" w:eastAsia="Tahoma" w:hAnsi="Tahoma" w:cs="Tahoma"/>
          <w:color w:val="808080"/>
          <w:sz w:val="20"/>
          <w:szCs w:val="20"/>
          <w:highlight w:val="red"/>
        </w:rPr>
      </w:pPr>
      <w:r>
        <w:rPr>
          <w:rFonts w:ascii="Tahoma" w:hAnsi="Tahoma"/>
          <w:color w:val="808080"/>
          <w:sz w:val="20"/>
        </w:rPr>
        <w:tab/>
      </w:r>
      <w:r>
        <w:rPr>
          <w:rFonts w:ascii="Tahoma" w:hAnsi="Tahoma"/>
          <w:color w:val="808080"/>
          <w:sz w:val="20"/>
        </w:rPr>
        <w:tab/>
        <w:t>Warsaw, 10 May 2023</w:t>
      </w:r>
    </w:p>
    <w:p w14:paraId="09B71CDC" w14:textId="77D19649" w:rsidR="00D824D3" w:rsidRDefault="00B63B5B">
      <w:pPr>
        <w:spacing w:line="360" w:lineRule="auto"/>
        <w:jc w:val="center"/>
        <w:rPr>
          <w:rFonts w:ascii="Tahoma" w:eastAsia="Tahoma" w:hAnsi="Tahoma" w:cs="Tahoma"/>
          <w:b/>
          <w:color w:val="FFC000"/>
        </w:rPr>
      </w:pPr>
      <w:r>
        <w:rPr>
          <w:noProof/>
        </w:rPr>
        <w:drawing>
          <wp:anchor distT="0" distB="0" distL="114300" distR="114300" simplePos="0" relativeHeight="251658240" behindDoc="0" locked="0" layoutInCell="1" hidden="0" allowOverlap="1" wp14:anchorId="2629EEB8" wp14:editId="2D5C56E0">
            <wp:simplePos x="0" y="0"/>
            <wp:positionH relativeFrom="column">
              <wp:posOffset>4765040</wp:posOffset>
            </wp:positionH>
            <wp:positionV relativeFrom="paragraph">
              <wp:posOffset>27305</wp:posOffset>
            </wp:positionV>
            <wp:extent cx="290830" cy="290830"/>
            <wp:effectExtent l="0" t="0" r="0" b="0"/>
            <wp:wrapNone/>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0830" cy="2908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1035CC" wp14:editId="09ECC946">
            <wp:simplePos x="0" y="0"/>
            <wp:positionH relativeFrom="column">
              <wp:posOffset>4370705</wp:posOffset>
            </wp:positionH>
            <wp:positionV relativeFrom="paragraph">
              <wp:posOffset>27305</wp:posOffset>
            </wp:positionV>
            <wp:extent cx="262890" cy="262890"/>
            <wp:effectExtent l="0" t="0" r="0" b="0"/>
            <wp:wrapNone/>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2890" cy="2628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F24723" wp14:editId="789FF934">
            <wp:simplePos x="0" y="0"/>
            <wp:positionH relativeFrom="column">
              <wp:posOffset>5180965</wp:posOffset>
            </wp:positionH>
            <wp:positionV relativeFrom="paragraph">
              <wp:posOffset>41275</wp:posOffset>
            </wp:positionV>
            <wp:extent cx="248920" cy="248920"/>
            <wp:effectExtent l="0" t="0" r="0" b="0"/>
            <wp:wrapNone/>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48920" cy="248920"/>
                    </a:xfrm>
                    <a:prstGeom prst="rect">
                      <a:avLst/>
                    </a:prstGeom>
                    <a:ln/>
                  </pic:spPr>
                </pic:pic>
              </a:graphicData>
            </a:graphic>
          </wp:anchor>
        </w:drawing>
      </w:r>
    </w:p>
    <w:tbl>
      <w:tblPr>
        <w:tblStyle w:val="a8"/>
        <w:tblW w:w="10277"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111"/>
        <w:gridCol w:w="3166"/>
      </w:tblGrid>
      <w:tr w:rsidR="00D824D3" w:rsidRPr="00775CAB" w14:paraId="18FE4A91" w14:textId="77777777" w:rsidTr="00A96B52">
        <w:tc>
          <w:tcPr>
            <w:tcW w:w="7111" w:type="dxa"/>
          </w:tcPr>
          <w:p w14:paraId="50DAD41A" w14:textId="5A044020" w:rsidR="00D824D3" w:rsidRPr="00C02D68" w:rsidRDefault="00F65CEF">
            <w:pPr>
              <w:spacing w:line="360" w:lineRule="auto"/>
              <w:rPr>
                <w:rFonts w:ascii="Tahoma" w:eastAsia="Tahoma" w:hAnsi="Tahoma" w:cs="Tahoma"/>
                <w:bCs/>
                <w:color w:val="7F7F7F"/>
                <w:sz w:val="24"/>
                <w:szCs w:val="24"/>
              </w:rPr>
            </w:pPr>
            <w:r>
              <w:rPr>
                <w:rFonts w:ascii="Tahoma" w:hAnsi="Tahoma"/>
                <w:color w:val="7F7F7F"/>
                <w:sz w:val="24"/>
              </w:rPr>
              <w:t xml:space="preserve">#financialresults </w:t>
            </w:r>
          </w:p>
          <w:p w14:paraId="7607BB6A" w14:textId="77777777" w:rsidR="00D824D3" w:rsidRPr="00C02D68" w:rsidRDefault="00D824D3">
            <w:pPr>
              <w:spacing w:line="360" w:lineRule="auto"/>
              <w:jc w:val="both"/>
              <w:rPr>
                <w:rFonts w:ascii="Tahoma" w:eastAsia="Tahoma" w:hAnsi="Tahoma" w:cs="Tahoma"/>
                <w:bCs/>
                <w:color w:val="7F7F7F"/>
                <w:sz w:val="24"/>
                <w:szCs w:val="24"/>
              </w:rPr>
            </w:pPr>
          </w:p>
          <w:p w14:paraId="3D71A51E" w14:textId="44072B44" w:rsidR="00D51FBF" w:rsidRPr="00C02D68" w:rsidRDefault="00775CA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r>
              <w:rPr>
                <w:rFonts w:ascii="Tahoma" w:hAnsi="Tahoma"/>
                <w:b/>
                <w:color w:val="7F7F7F" w:themeColor="text1" w:themeTint="80"/>
              </w:rPr>
              <w:t>Comment by President of the Management Board of Budimex SA</w:t>
            </w:r>
          </w:p>
          <w:p w14:paraId="4136047E" w14:textId="4475F46E" w:rsidR="00D51FBF" w:rsidRPr="00C02D68" w:rsidRDefault="00AA6F3B" w:rsidP="00D51FBF">
            <w:pPr>
              <w:pBdr>
                <w:top w:val="nil"/>
                <w:left w:val="nil"/>
                <w:bottom w:val="nil"/>
                <w:right w:val="nil"/>
                <w:between w:val="nil"/>
              </w:pBdr>
              <w:spacing w:line="360" w:lineRule="auto"/>
              <w:jc w:val="center"/>
              <w:rPr>
                <w:rFonts w:ascii="Tahoma" w:eastAsia="Tahoma" w:hAnsi="Tahoma" w:cs="Tahoma"/>
                <w:b/>
                <w:color w:val="7F7F7F" w:themeColor="text1" w:themeTint="80"/>
              </w:rPr>
            </w:pPr>
            <w:r>
              <w:rPr>
                <w:rFonts w:ascii="Tahoma" w:hAnsi="Tahoma"/>
                <w:b/>
                <w:color w:val="7F7F7F" w:themeColor="text1" w:themeTint="80"/>
              </w:rPr>
              <w:t>Artur Popko</w:t>
            </w:r>
          </w:p>
          <w:p w14:paraId="1F08E350" w14:textId="58064BFB" w:rsidR="009A2A41" w:rsidRPr="00D51FBF" w:rsidRDefault="009A2A41" w:rsidP="009A2A41">
            <w:pPr>
              <w:pBdr>
                <w:top w:val="nil"/>
                <w:left w:val="nil"/>
                <w:bottom w:val="nil"/>
                <w:right w:val="nil"/>
                <w:between w:val="nil"/>
              </w:pBdr>
              <w:spacing w:line="360" w:lineRule="auto"/>
              <w:jc w:val="center"/>
              <w:rPr>
                <w:rFonts w:ascii="Tahoma" w:eastAsia="Tahoma" w:hAnsi="Tahoma" w:cs="Tahoma"/>
                <w:b/>
                <w:color w:val="FFC000"/>
              </w:rPr>
            </w:pPr>
            <w:r>
              <w:rPr>
                <w:rFonts w:ascii="Tahoma" w:hAnsi="Tahoma"/>
                <w:b/>
                <w:color w:val="FFC000"/>
              </w:rPr>
              <w:t xml:space="preserve">to the financial data of the Budimex Group </w:t>
            </w:r>
            <w:r>
              <w:rPr>
                <w:rFonts w:ascii="Tahoma" w:hAnsi="Tahoma"/>
                <w:b/>
                <w:color w:val="FFC000"/>
              </w:rPr>
              <w:br/>
              <w:t>for Q1 2023</w:t>
            </w:r>
          </w:p>
          <w:p w14:paraId="2D0A5BC2" w14:textId="77777777" w:rsidR="00A9414D" w:rsidRPr="00B84905" w:rsidRDefault="00A9414D" w:rsidP="00B84905">
            <w:pPr>
              <w:pBdr>
                <w:top w:val="nil"/>
                <w:left w:val="nil"/>
                <w:bottom w:val="nil"/>
                <w:right w:val="nil"/>
                <w:between w:val="nil"/>
              </w:pBdr>
              <w:spacing w:line="360" w:lineRule="auto"/>
              <w:jc w:val="center"/>
              <w:rPr>
                <w:rFonts w:ascii="Tahoma" w:eastAsia="Tahoma" w:hAnsi="Tahoma" w:cs="Tahoma"/>
                <w:b/>
                <w:color w:val="FFC000"/>
              </w:rPr>
            </w:pPr>
          </w:p>
          <w:p w14:paraId="46075F24" w14:textId="63F615BA" w:rsidR="009A2A41" w:rsidRPr="006670FF" w:rsidRDefault="009A2A41"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In Q1 2023, sales revenues of the Budimex Group amounted to PLN 1,939 million (+21.3% y/y) and net</w:t>
            </w:r>
            <w:r w:rsidR="0072600F" w:rsidRPr="0072600F">
              <w:rPr>
                <w:rFonts w:ascii="Tahoma" w:hAnsi="Tahoma"/>
                <w:color w:val="808080"/>
                <w:sz w:val="18"/>
                <w:vertAlign w:val="superscript"/>
              </w:rPr>
              <w:t>1</w:t>
            </w:r>
            <w:r>
              <w:rPr>
                <w:rFonts w:ascii="Tahoma" w:hAnsi="Tahoma"/>
                <w:color w:val="808080"/>
                <w:sz w:val="18"/>
              </w:rPr>
              <w:t xml:space="preserve"> profit reached PLN 106 million, which amounts to an increase in the amount of PLN 50 million (+88.6%).</w:t>
            </w:r>
          </w:p>
          <w:p w14:paraId="0FA5051D" w14:textId="79EFEFDC" w:rsidR="000C0857" w:rsidRPr="006670FF" w:rsidRDefault="009A2A41" w:rsidP="000C0857">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The Group's operating margin improved significantly compared to the same period last year and reached the level of 5.3% (compared to 3.6% in Q1 2022), with a construction segment profitability of 4.7%.</w:t>
            </w:r>
          </w:p>
          <w:p w14:paraId="1D88B709" w14:textId="04D1D6E4" w:rsidR="004151F3" w:rsidRPr="005525D3" w:rsidRDefault="00B60995" w:rsidP="009A2A41">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Group gross profitability was 7.4% compared to 3.9% in Q1 2022</w:t>
            </w:r>
          </w:p>
          <w:p w14:paraId="12251ACB" w14:textId="5C002450" w:rsidR="00115989" w:rsidRPr="00115989" w:rsidRDefault="00115989" w:rsidP="00115989">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Budimex Group's contract portfolio at the end of March 2023 amounted to PLN 12.6 billion and secures the work front for the entire current year and offers the prospect of maintaining high sales levels for the years 2024-2025.</w:t>
            </w:r>
          </w:p>
          <w:p w14:paraId="35C368AD" w14:textId="1CFC705A" w:rsidR="009A2A41" w:rsidRPr="008166BC" w:rsidRDefault="00C1683A" w:rsidP="008230DA">
            <w:pPr>
              <w:numPr>
                <w:ilvl w:val="0"/>
                <w:numId w:val="5"/>
              </w:numPr>
              <w:pBdr>
                <w:top w:val="nil"/>
                <w:left w:val="nil"/>
                <w:bottom w:val="nil"/>
                <w:right w:val="nil"/>
                <w:between w:val="nil"/>
              </w:pBdr>
              <w:spacing w:line="360" w:lineRule="auto"/>
              <w:jc w:val="both"/>
              <w:rPr>
                <w:rFonts w:ascii="Tahoma" w:eastAsia="Tahoma" w:hAnsi="Tahoma" w:cs="Tahoma"/>
                <w:bCs/>
                <w:iCs/>
                <w:color w:val="808080"/>
                <w:sz w:val="18"/>
                <w:szCs w:val="18"/>
              </w:rPr>
            </w:pPr>
            <w:r>
              <w:rPr>
                <w:rFonts w:ascii="Tahoma" w:hAnsi="Tahoma"/>
                <w:color w:val="808080"/>
                <w:sz w:val="18"/>
              </w:rPr>
              <w:t>Budimex Group has consistently implemented its dividend policy and its high</w:t>
            </w:r>
            <w:r w:rsidR="008A4B32">
              <w:rPr>
                <w:rFonts w:ascii="Tahoma" w:hAnsi="Tahoma"/>
                <w:color w:val="808080"/>
                <w:sz w:val="18"/>
              </w:rPr>
              <w:t xml:space="preserve"> </w:t>
            </w:r>
            <w:r>
              <w:rPr>
                <w:rFonts w:ascii="Tahoma" w:hAnsi="Tahoma"/>
                <w:color w:val="808080"/>
                <w:sz w:val="18"/>
              </w:rPr>
              <w:t>net</w:t>
            </w:r>
            <w:r w:rsidR="008A4B32">
              <w:rPr>
                <w:rFonts w:ascii="Tahoma" w:hAnsi="Tahoma"/>
                <w:color w:val="808080"/>
                <w:sz w:val="18"/>
              </w:rPr>
              <w:t xml:space="preserve"> </w:t>
            </w:r>
            <w:r>
              <w:rPr>
                <w:rFonts w:ascii="Tahoma" w:hAnsi="Tahoma"/>
                <w:color w:val="808080"/>
                <w:sz w:val="18"/>
              </w:rPr>
              <w:t>cash position of PLN 3.3 billion</w:t>
            </w:r>
            <w:r w:rsidR="008A4B32">
              <w:rPr>
                <w:rFonts w:ascii="Tahoma" w:hAnsi="Tahoma"/>
                <w:color w:val="808080"/>
                <w:sz w:val="18"/>
              </w:rPr>
              <w:t xml:space="preserve"> </w:t>
            </w:r>
            <w:r>
              <w:rPr>
                <w:rFonts w:ascii="Tahoma" w:hAnsi="Tahoma"/>
                <w:color w:val="808080"/>
                <w:sz w:val="18"/>
              </w:rPr>
              <w:t xml:space="preserve">allows us to recommend a dividend payment of PLN 459 million, PLN 17.99 per share. </w:t>
            </w:r>
          </w:p>
          <w:p w14:paraId="3C9D00EF" w14:textId="77777777" w:rsidR="00C32C83" w:rsidRPr="00032F3D" w:rsidRDefault="00C32C83">
            <w:pPr>
              <w:spacing w:line="360" w:lineRule="auto"/>
              <w:jc w:val="both"/>
              <w:rPr>
                <w:rFonts w:ascii="Tahoma" w:eastAsia="Tahoma" w:hAnsi="Tahoma" w:cs="Tahoma"/>
                <w:bCs/>
                <w:color w:val="747678"/>
                <w:sz w:val="18"/>
                <w:szCs w:val="18"/>
              </w:rPr>
            </w:pPr>
          </w:p>
          <w:p w14:paraId="428679F8" w14:textId="588BA546" w:rsidR="004C1457" w:rsidRDefault="00FE712E" w:rsidP="005B039B">
            <w:pPr>
              <w:spacing w:line="360" w:lineRule="auto"/>
              <w:jc w:val="both"/>
              <w:rPr>
                <w:rFonts w:ascii="Tahoma" w:eastAsia="Tahoma" w:hAnsi="Tahoma" w:cs="Tahoma"/>
                <w:b/>
                <w:color w:val="808080"/>
                <w:sz w:val="18"/>
                <w:szCs w:val="18"/>
              </w:rPr>
            </w:pPr>
            <w:r>
              <w:rPr>
                <w:rFonts w:ascii="Tahoma" w:hAnsi="Tahoma"/>
                <w:b/>
                <w:color w:val="808080"/>
                <w:sz w:val="18"/>
              </w:rPr>
              <w:t xml:space="preserve">We consider the first quarter of 2023 to be very good. Profitability at every level of the achieved result improved, demonstrating the Budimex Group's stable position and providing even better prospects for further responsible growth, due to its increasing involvement in the renewable energy sector. </w:t>
            </w:r>
          </w:p>
          <w:p w14:paraId="61886233" w14:textId="77777777" w:rsidR="00C47A3A" w:rsidRPr="00FC43CA" w:rsidRDefault="00C47A3A" w:rsidP="005B039B">
            <w:pPr>
              <w:spacing w:line="360" w:lineRule="auto"/>
              <w:jc w:val="both"/>
              <w:rPr>
                <w:rFonts w:ascii="Tahoma" w:eastAsia="Tahoma" w:hAnsi="Tahoma" w:cs="Tahoma"/>
                <w:bCs/>
                <w:color w:val="808080"/>
                <w:sz w:val="18"/>
                <w:szCs w:val="18"/>
                <w:highlight w:val="green"/>
              </w:rPr>
            </w:pPr>
          </w:p>
          <w:p w14:paraId="4F2359A2" w14:textId="42463C3D" w:rsidR="005030B7" w:rsidRDefault="00184033" w:rsidP="005B039B">
            <w:pPr>
              <w:spacing w:line="360" w:lineRule="auto"/>
              <w:jc w:val="both"/>
              <w:rPr>
                <w:rFonts w:ascii="Tahoma" w:eastAsia="Tahoma" w:hAnsi="Tahoma" w:cs="Tahoma"/>
                <w:bCs/>
                <w:color w:val="808080"/>
                <w:sz w:val="18"/>
                <w:szCs w:val="18"/>
              </w:rPr>
            </w:pPr>
            <w:r>
              <w:rPr>
                <w:rFonts w:ascii="Tahoma" w:hAnsi="Tahoma"/>
                <w:color w:val="808080"/>
                <w:sz w:val="18"/>
              </w:rPr>
              <w:t xml:space="preserve">Budimex Group generated an operational profit of PLN 102 million (compared to PLN 57 million in Q1 2022) while recording an increase in profitability from 3.6% to 5.3%. Group revenue increased by 21.3% which, while maintaining cost discipline, improved gross margin profitability. </w:t>
            </w:r>
          </w:p>
          <w:p w14:paraId="5A7B81AE" w14:textId="77777777" w:rsidR="00F61211" w:rsidRPr="00FC43CA" w:rsidRDefault="00F61211" w:rsidP="005B039B">
            <w:pPr>
              <w:spacing w:line="360" w:lineRule="auto"/>
              <w:jc w:val="both"/>
              <w:rPr>
                <w:rFonts w:ascii="Tahoma" w:eastAsia="Tahoma" w:hAnsi="Tahoma" w:cs="Tahoma"/>
                <w:bCs/>
                <w:color w:val="808080"/>
                <w:sz w:val="18"/>
                <w:szCs w:val="18"/>
                <w:highlight w:val="green"/>
              </w:rPr>
            </w:pPr>
          </w:p>
          <w:p w14:paraId="511BAC17" w14:textId="71525807" w:rsidR="00DF6A22" w:rsidRPr="00FE00A1" w:rsidRDefault="00DF6A22" w:rsidP="005B039B">
            <w:pPr>
              <w:spacing w:line="360" w:lineRule="auto"/>
              <w:jc w:val="both"/>
              <w:rPr>
                <w:rFonts w:ascii="Tahoma" w:eastAsia="Tahoma" w:hAnsi="Tahoma" w:cs="Tahoma"/>
                <w:bCs/>
                <w:color w:val="808080"/>
                <w:sz w:val="18"/>
                <w:szCs w:val="18"/>
              </w:rPr>
            </w:pPr>
            <w:r>
              <w:rPr>
                <w:rFonts w:ascii="Tahoma" w:hAnsi="Tahoma"/>
                <w:color w:val="808080"/>
                <w:sz w:val="18"/>
              </w:rPr>
              <w:t xml:space="preserve">Gross profit of the Budimex Group amounted to PLN 143 million with profitability of 7.4% compared to 3.9% in the first quarter of the previous year. Profitability at the level of gross profit was supported by significant improvement in financial results, which resulted from higher financial revenues from interest. </w:t>
            </w:r>
          </w:p>
          <w:p w14:paraId="3AB1B746" w14:textId="77777777" w:rsidR="000B4EAD" w:rsidRPr="00FE00A1" w:rsidRDefault="00FD14F3" w:rsidP="005B039B">
            <w:pPr>
              <w:spacing w:line="360" w:lineRule="auto"/>
              <w:jc w:val="both"/>
              <w:rPr>
                <w:rFonts w:ascii="Tahoma" w:eastAsia="Tahoma" w:hAnsi="Tahoma" w:cs="Tahoma"/>
                <w:bCs/>
                <w:color w:val="808080"/>
                <w:sz w:val="18"/>
                <w:szCs w:val="18"/>
              </w:rPr>
            </w:pPr>
            <w:r>
              <w:rPr>
                <w:rFonts w:ascii="Tahoma" w:hAnsi="Tahoma"/>
                <w:color w:val="808080"/>
                <w:sz w:val="18"/>
              </w:rPr>
              <w:t xml:space="preserve"> </w:t>
            </w:r>
          </w:p>
          <w:tbl>
            <w:tblPr>
              <w:tblW w:w="7416" w:type="dxa"/>
              <w:tblLayout w:type="fixed"/>
              <w:tblCellMar>
                <w:left w:w="70" w:type="dxa"/>
                <w:right w:w="70" w:type="dxa"/>
              </w:tblCellMar>
              <w:tblLook w:val="04A0" w:firstRow="1" w:lastRow="0" w:firstColumn="1" w:lastColumn="0" w:noHBand="0" w:noVBand="1"/>
            </w:tblPr>
            <w:tblGrid>
              <w:gridCol w:w="3164"/>
              <w:gridCol w:w="1276"/>
              <w:gridCol w:w="1275"/>
              <w:gridCol w:w="1701"/>
            </w:tblGrid>
            <w:tr w:rsidR="000B4EAD" w:rsidRPr="000B4EAD" w14:paraId="34EFD85A" w14:textId="77777777" w:rsidTr="000B4EAD">
              <w:trPr>
                <w:trHeight w:val="349"/>
              </w:trPr>
              <w:tc>
                <w:tcPr>
                  <w:tcW w:w="3164" w:type="dxa"/>
                  <w:vMerge w:val="restart"/>
                  <w:tcBorders>
                    <w:top w:val="nil"/>
                    <w:left w:val="single" w:sz="4" w:space="0" w:color="000000"/>
                    <w:bottom w:val="single" w:sz="8" w:space="0" w:color="000000"/>
                    <w:right w:val="nil"/>
                  </w:tcBorders>
                  <w:shd w:val="clear" w:color="000000" w:fill="595959"/>
                  <w:vAlign w:val="center"/>
                  <w:hideMark/>
                </w:tcPr>
                <w:p w14:paraId="4ED0DA49" w14:textId="632EAC06" w:rsidR="000B4EAD" w:rsidRPr="000B4EAD" w:rsidRDefault="000B4EAD" w:rsidP="000B4EAD">
                  <w:pPr>
                    <w:spacing w:after="0" w:line="240" w:lineRule="auto"/>
                    <w:rPr>
                      <w:rFonts w:ascii="Tahoma" w:eastAsia="Times New Roman" w:hAnsi="Tahoma" w:cs="Tahoma"/>
                      <w:b/>
                      <w:bCs/>
                      <w:color w:val="F2F2F2"/>
                    </w:rPr>
                  </w:pPr>
                  <w:r>
                    <w:rPr>
                      <w:rFonts w:ascii="Tahoma" w:hAnsi="Tahoma"/>
                      <w:b/>
                      <w:color w:val="F2F2F2"/>
                    </w:rPr>
                    <w:lastRenderedPageBreak/>
                    <w:t>Budimex Group</w:t>
                  </w:r>
                  <w:r>
                    <w:rPr>
                      <w:rFonts w:ascii="Tahoma" w:hAnsi="Tahoma"/>
                      <w:b/>
                      <w:color w:val="F2F2F2"/>
                    </w:rPr>
                    <w:cr/>
                  </w:r>
                  <w:r>
                    <w:rPr>
                      <w:rFonts w:ascii="Tahoma" w:hAnsi="Tahoma"/>
                      <w:b/>
                      <w:color w:val="F2F2F2"/>
                    </w:rPr>
                    <w:br/>
                    <w:t>(PLN million)</w:t>
                  </w:r>
                </w:p>
              </w:tc>
              <w:tc>
                <w:tcPr>
                  <w:tcW w:w="4252" w:type="dxa"/>
                  <w:gridSpan w:val="3"/>
                  <w:tcBorders>
                    <w:top w:val="nil"/>
                    <w:left w:val="nil"/>
                    <w:bottom w:val="single" w:sz="4" w:space="0" w:color="000000"/>
                    <w:right w:val="nil"/>
                  </w:tcBorders>
                  <w:shd w:val="clear" w:color="000000" w:fill="BFBFBF"/>
                  <w:noWrap/>
                  <w:vAlign w:val="center"/>
                  <w:hideMark/>
                </w:tcPr>
                <w:p w14:paraId="3D5304E7" w14:textId="77777777" w:rsidR="000B4EAD" w:rsidRPr="000B4EAD" w:rsidRDefault="000B4EAD" w:rsidP="000B4EAD">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0B4EAD" w:rsidRPr="000B4EAD" w14:paraId="2D8ED29F" w14:textId="77777777" w:rsidTr="000B4EAD">
              <w:trPr>
                <w:trHeight w:val="540"/>
              </w:trPr>
              <w:tc>
                <w:tcPr>
                  <w:tcW w:w="3164" w:type="dxa"/>
                  <w:vMerge/>
                  <w:tcBorders>
                    <w:top w:val="nil"/>
                    <w:left w:val="single" w:sz="4" w:space="0" w:color="000000"/>
                    <w:bottom w:val="single" w:sz="8" w:space="0" w:color="000000"/>
                    <w:right w:val="nil"/>
                  </w:tcBorders>
                  <w:vAlign w:val="center"/>
                  <w:hideMark/>
                </w:tcPr>
                <w:p w14:paraId="704BC4A4" w14:textId="77777777" w:rsidR="000B4EAD" w:rsidRPr="000B4EAD" w:rsidRDefault="000B4EAD" w:rsidP="000B4EAD">
                  <w:pPr>
                    <w:spacing w:after="0" w:line="240" w:lineRule="auto"/>
                    <w:rPr>
                      <w:rFonts w:ascii="Tahoma" w:eastAsia="Times New Roman" w:hAnsi="Tahoma" w:cs="Tahoma"/>
                      <w:b/>
                      <w:bCs/>
                      <w:color w:val="F2F2F2"/>
                    </w:rPr>
                  </w:pPr>
                </w:p>
              </w:tc>
              <w:tc>
                <w:tcPr>
                  <w:tcW w:w="1276" w:type="dxa"/>
                  <w:tcBorders>
                    <w:top w:val="nil"/>
                    <w:left w:val="nil"/>
                    <w:bottom w:val="nil"/>
                    <w:right w:val="nil"/>
                  </w:tcBorders>
                  <w:shd w:val="clear" w:color="000000" w:fill="BFBFBF"/>
                  <w:vAlign w:val="center"/>
                  <w:hideMark/>
                </w:tcPr>
                <w:p w14:paraId="25C3C084" w14:textId="77777777" w:rsidR="000B4EAD" w:rsidRPr="000B4EAD" w:rsidRDefault="000B4EAD" w:rsidP="000B4EAD">
                  <w:pPr>
                    <w:spacing w:after="0" w:line="240" w:lineRule="auto"/>
                    <w:jc w:val="center"/>
                    <w:rPr>
                      <w:rFonts w:ascii="Tahoma" w:eastAsia="Times New Roman" w:hAnsi="Tahoma" w:cs="Tahoma"/>
                      <w:color w:val="000000"/>
                    </w:rPr>
                  </w:pPr>
                  <w:r>
                    <w:rPr>
                      <w:rFonts w:ascii="Tahoma" w:hAnsi="Tahoma"/>
                      <w:color w:val="000000"/>
                    </w:rPr>
                    <w:t>Q1 2023</w:t>
                  </w:r>
                </w:p>
              </w:tc>
              <w:tc>
                <w:tcPr>
                  <w:tcW w:w="1275" w:type="dxa"/>
                  <w:tcBorders>
                    <w:top w:val="nil"/>
                    <w:left w:val="single" w:sz="4" w:space="0" w:color="000000"/>
                    <w:bottom w:val="single" w:sz="8" w:space="0" w:color="000000"/>
                    <w:right w:val="single" w:sz="4" w:space="0" w:color="000000"/>
                  </w:tcBorders>
                  <w:shd w:val="clear" w:color="000000" w:fill="BFBFBF"/>
                  <w:vAlign w:val="center"/>
                  <w:hideMark/>
                </w:tcPr>
                <w:p w14:paraId="61BD4205" w14:textId="77777777" w:rsidR="000B4EAD" w:rsidRPr="000B4EAD" w:rsidRDefault="000B4EAD" w:rsidP="000B4EAD">
                  <w:pPr>
                    <w:spacing w:after="0" w:line="240" w:lineRule="auto"/>
                    <w:jc w:val="center"/>
                    <w:rPr>
                      <w:rFonts w:ascii="Tahoma" w:eastAsia="Times New Roman" w:hAnsi="Tahoma" w:cs="Tahoma"/>
                      <w:color w:val="000000"/>
                    </w:rPr>
                  </w:pPr>
                  <w:r>
                    <w:rPr>
                      <w:rFonts w:ascii="Tahoma" w:hAnsi="Tahoma"/>
                      <w:color w:val="000000"/>
                    </w:rPr>
                    <w:t>Q1 2022</w:t>
                  </w:r>
                </w:p>
              </w:tc>
              <w:tc>
                <w:tcPr>
                  <w:tcW w:w="1701" w:type="dxa"/>
                  <w:tcBorders>
                    <w:top w:val="nil"/>
                    <w:left w:val="nil"/>
                    <w:bottom w:val="single" w:sz="8" w:space="0" w:color="000000"/>
                    <w:right w:val="nil"/>
                  </w:tcBorders>
                  <w:shd w:val="clear" w:color="000000" w:fill="BFBFBF"/>
                  <w:noWrap/>
                  <w:vAlign w:val="center"/>
                  <w:hideMark/>
                </w:tcPr>
                <w:p w14:paraId="349AB141" w14:textId="56AB8B3F" w:rsidR="000B4EAD" w:rsidRPr="000B4EAD" w:rsidRDefault="000B4EAD" w:rsidP="000B4EAD">
                  <w:pPr>
                    <w:spacing w:after="0" w:line="240" w:lineRule="auto"/>
                    <w:ind w:left="-73" w:firstLine="73"/>
                    <w:rPr>
                      <w:rFonts w:ascii="Tahoma" w:eastAsia="Times New Roman" w:hAnsi="Tahoma" w:cs="Tahoma"/>
                      <w:color w:val="000000"/>
                    </w:rPr>
                  </w:pPr>
                  <w:r>
                    <w:rPr>
                      <w:rFonts w:ascii="Tahoma" w:hAnsi="Tahoma"/>
                      <w:color w:val="000000"/>
                    </w:rPr>
                    <w:t xml:space="preserve">    y/y</w:t>
                  </w:r>
                </w:p>
              </w:tc>
            </w:tr>
            <w:tr w:rsidR="000B4EAD" w:rsidRPr="000B4EAD" w14:paraId="663070A9" w14:textId="77777777" w:rsidTr="000B4EAD">
              <w:trPr>
                <w:trHeight w:val="420"/>
              </w:trPr>
              <w:tc>
                <w:tcPr>
                  <w:tcW w:w="3164" w:type="dxa"/>
                  <w:tcBorders>
                    <w:top w:val="nil"/>
                    <w:left w:val="single" w:sz="8" w:space="0" w:color="FFC000"/>
                    <w:bottom w:val="single" w:sz="8" w:space="0" w:color="auto"/>
                    <w:right w:val="nil"/>
                  </w:tcBorders>
                  <w:shd w:val="clear" w:color="000000" w:fill="FFC000"/>
                  <w:noWrap/>
                  <w:vAlign w:val="center"/>
                  <w:hideMark/>
                </w:tcPr>
                <w:p w14:paraId="5B32E697"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Sale</w:t>
                  </w:r>
                </w:p>
              </w:tc>
              <w:tc>
                <w:tcPr>
                  <w:tcW w:w="1276" w:type="dxa"/>
                  <w:tcBorders>
                    <w:top w:val="single" w:sz="8" w:space="0" w:color="000000"/>
                    <w:left w:val="nil"/>
                    <w:bottom w:val="single" w:sz="8" w:space="0" w:color="000000"/>
                    <w:right w:val="nil"/>
                  </w:tcBorders>
                  <w:shd w:val="clear" w:color="000000" w:fill="FFC000"/>
                  <w:noWrap/>
                  <w:vAlign w:val="center"/>
                  <w:hideMark/>
                </w:tcPr>
                <w:p w14:paraId="4AC51DF9"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1,939</w:t>
                  </w:r>
                </w:p>
              </w:tc>
              <w:tc>
                <w:tcPr>
                  <w:tcW w:w="1275" w:type="dxa"/>
                  <w:tcBorders>
                    <w:top w:val="nil"/>
                    <w:left w:val="nil"/>
                    <w:bottom w:val="single" w:sz="8" w:space="0" w:color="000000"/>
                    <w:right w:val="nil"/>
                  </w:tcBorders>
                  <w:shd w:val="clear" w:color="000000" w:fill="FFC000"/>
                  <w:noWrap/>
                  <w:vAlign w:val="center"/>
                  <w:hideMark/>
                </w:tcPr>
                <w:p w14:paraId="071BC19C"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1,599</w:t>
                  </w:r>
                </w:p>
              </w:tc>
              <w:tc>
                <w:tcPr>
                  <w:tcW w:w="1701" w:type="dxa"/>
                  <w:tcBorders>
                    <w:top w:val="nil"/>
                    <w:left w:val="nil"/>
                    <w:bottom w:val="single" w:sz="8" w:space="0" w:color="000000"/>
                    <w:right w:val="single" w:sz="8" w:space="0" w:color="FFC000"/>
                  </w:tcBorders>
                  <w:shd w:val="clear" w:color="000000" w:fill="FFC000"/>
                  <w:noWrap/>
                  <w:vAlign w:val="center"/>
                  <w:hideMark/>
                </w:tcPr>
                <w:p w14:paraId="4EDF4394"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21.3%</w:t>
                  </w:r>
                </w:p>
              </w:tc>
            </w:tr>
            <w:tr w:rsidR="000B4EAD" w:rsidRPr="000B4EAD" w14:paraId="2AC92EE3" w14:textId="77777777" w:rsidTr="000B4EAD">
              <w:trPr>
                <w:trHeight w:val="420"/>
              </w:trPr>
              <w:tc>
                <w:tcPr>
                  <w:tcW w:w="3164" w:type="dxa"/>
                  <w:tcBorders>
                    <w:top w:val="single" w:sz="4" w:space="0" w:color="000000"/>
                    <w:left w:val="nil"/>
                    <w:bottom w:val="nil"/>
                    <w:right w:val="nil"/>
                  </w:tcBorders>
                  <w:shd w:val="clear" w:color="000000" w:fill="F2F2F2"/>
                  <w:noWrap/>
                  <w:vAlign w:val="center"/>
                  <w:hideMark/>
                </w:tcPr>
                <w:p w14:paraId="6B5EF2D0"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Operational profit</w:t>
                  </w:r>
                </w:p>
              </w:tc>
              <w:tc>
                <w:tcPr>
                  <w:tcW w:w="1276" w:type="dxa"/>
                  <w:tcBorders>
                    <w:top w:val="nil"/>
                    <w:left w:val="nil"/>
                    <w:bottom w:val="nil"/>
                    <w:right w:val="nil"/>
                  </w:tcBorders>
                  <w:shd w:val="clear" w:color="000000" w:fill="F2F2F2"/>
                  <w:noWrap/>
                  <w:vAlign w:val="center"/>
                  <w:hideMark/>
                </w:tcPr>
                <w:p w14:paraId="3495F339"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102</w:t>
                  </w:r>
                </w:p>
              </w:tc>
              <w:tc>
                <w:tcPr>
                  <w:tcW w:w="1275" w:type="dxa"/>
                  <w:tcBorders>
                    <w:top w:val="nil"/>
                    <w:left w:val="nil"/>
                    <w:bottom w:val="nil"/>
                    <w:right w:val="nil"/>
                  </w:tcBorders>
                  <w:shd w:val="clear" w:color="000000" w:fill="F2F2F2"/>
                  <w:noWrap/>
                  <w:vAlign w:val="center"/>
                  <w:hideMark/>
                </w:tcPr>
                <w:p w14:paraId="77A0ADA4"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57</w:t>
                  </w:r>
                </w:p>
              </w:tc>
              <w:tc>
                <w:tcPr>
                  <w:tcW w:w="1701" w:type="dxa"/>
                  <w:tcBorders>
                    <w:top w:val="single" w:sz="4" w:space="0" w:color="000000"/>
                    <w:left w:val="nil"/>
                    <w:bottom w:val="nil"/>
                    <w:right w:val="nil"/>
                  </w:tcBorders>
                  <w:shd w:val="clear" w:color="000000" w:fill="F2F2F2"/>
                  <w:noWrap/>
                  <w:vAlign w:val="center"/>
                  <w:hideMark/>
                </w:tcPr>
                <w:p w14:paraId="6A3267E8"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78.1%</w:t>
                  </w:r>
                </w:p>
              </w:tc>
            </w:tr>
            <w:tr w:rsidR="000B4EAD" w:rsidRPr="000B4EAD" w14:paraId="3B045BD9" w14:textId="77777777" w:rsidTr="000B4EAD">
              <w:trPr>
                <w:trHeight w:val="252"/>
              </w:trPr>
              <w:tc>
                <w:tcPr>
                  <w:tcW w:w="3164" w:type="dxa"/>
                  <w:tcBorders>
                    <w:top w:val="nil"/>
                    <w:left w:val="nil"/>
                    <w:bottom w:val="nil"/>
                    <w:right w:val="nil"/>
                  </w:tcBorders>
                  <w:shd w:val="clear" w:color="000000" w:fill="F2F2F2"/>
                  <w:noWrap/>
                  <w:vAlign w:val="center"/>
                  <w:hideMark/>
                </w:tcPr>
                <w:p w14:paraId="03187AC2"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of sales</w:t>
                  </w:r>
                </w:p>
              </w:tc>
              <w:tc>
                <w:tcPr>
                  <w:tcW w:w="1276" w:type="dxa"/>
                  <w:tcBorders>
                    <w:top w:val="nil"/>
                    <w:left w:val="nil"/>
                    <w:bottom w:val="nil"/>
                    <w:right w:val="nil"/>
                  </w:tcBorders>
                  <w:shd w:val="clear" w:color="000000" w:fill="F2F2F2"/>
                  <w:noWrap/>
                  <w:vAlign w:val="center"/>
                  <w:hideMark/>
                </w:tcPr>
                <w:p w14:paraId="5D2A121B"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5.3%</w:t>
                  </w:r>
                </w:p>
              </w:tc>
              <w:tc>
                <w:tcPr>
                  <w:tcW w:w="1275" w:type="dxa"/>
                  <w:tcBorders>
                    <w:top w:val="nil"/>
                    <w:left w:val="nil"/>
                    <w:bottom w:val="nil"/>
                    <w:right w:val="nil"/>
                  </w:tcBorders>
                  <w:shd w:val="clear" w:color="000000" w:fill="F2F2F2"/>
                  <w:noWrap/>
                  <w:vAlign w:val="center"/>
                  <w:hideMark/>
                </w:tcPr>
                <w:p w14:paraId="32058767"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3.6%</w:t>
                  </w:r>
                </w:p>
              </w:tc>
              <w:tc>
                <w:tcPr>
                  <w:tcW w:w="1701" w:type="dxa"/>
                  <w:tcBorders>
                    <w:top w:val="nil"/>
                    <w:left w:val="nil"/>
                    <w:bottom w:val="nil"/>
                    <w:right w:val="nil"/>
                  </w:tcBorders>
                  <w:shd w:val="clear" w:color="000000" w:fill="F2F2F2"/>
                  <w:noWrap/>
                  <w:vAlign w:val="center"/>
                  <w:hideMark/>
                </w:tcPr>
                <w:p w14:paraId="192852FC" w14:textId="1C66D030"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1.7 pp</w:t>
                  </w:r>
                </w:p>
              </w:tc>
            </w:tr>
            <w:tr w:rsidR="000B4EAD" w:rsidRPr="000B4EAD" w14:paraId="17222011" w14:textId="77777777" w:rsidTr="000B4EAD">
              <w:trPr>
                <w:trHeight w:val="420"/>
              </w:trPr>
              <w:tc>
                <w:tcPr>
                  <w:tcW w:w="3164" w:type="dxa"/>
                  <w:tcBorders>
                    <w:top w:val="single" w:sz="4" w:space="0" w:color="000000"/>
                    <w:left w:val="nil"/>
                    <w:bottom w:val="nil"/>
                    <w:right w:val="nil"/>
                  </w:tcBorders>
                  <w:shd w:val="clear" w:color="000000" w:fill="F2F2F2"/>
                  <w:noWrap/>
                  <w:vAlign w:val="center"/>
                  <w:hideMark/>
                </w:tcPr>
                <w:p w14:paraId="3144668E"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Gross profit</w:t>
                  </w:r>
                </w:p>
              </w:tc>
              <w:tc>
                <w:tcPr>
                  <w:tcW w:w="1276" w:type="dxa"/>
                  <w:tcBorders>
                    <w:top w:val="single" w:sz="4" w:space="0" w:color="000000"/>
                    <w:left w:val="nil"/>
                    <w:bottom w:val="nil"/>
                    <w:right w:val="nil"/>
                  </w:tcBorders>
                  <w:shd w:val="clear" w:color="000000" w:fill="F2F2F2"/>
                  <w:noWrap/>
                  <w:vAlign w:val="center"/>
                  <w:hideMark/>
                </w:tcPr>
                <w:p w14:paraId="281F1D72"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143</w:t>
                  </w:r>
                </w:p>
              </w:tc>
              <w:tc>
                <w:tcPr>
                  <w:tcW w:w="1275" w:type="dxa"/>
                  <w:tcBorders>
                    <w:top w:val="single" w:sz="4" w:space="0" w:color="000000"/>
                    <w:left w:val="nil"/>
                    <w:bottom w:val="nil"/>
                    <w:right w:val="nil"/>
                  </w:tcBorders>
                  <w:shd w:val="clear" w:color="000000" w:fill="F2F2F2"/>
                  <w:noWrap/>
                  <w:vAlign w:val="center"/>
                  <w:hideMark/>
                </w:tcPr>
                <w:p w14:paraId="4CB9594F"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63</w:t>
                  </w:r>
                </w:p>
              </w:tc>
              <w:tc>
                <w:tcPr>
                  <w:tcW w:w="1701" w:type="dxa"/>
                  <w:tcBorders>
                    <w:top w:val="single" w:sz="4" w:space="0" w:color="000000"/>
                    <w:left w:val="nil"/>
                    <w:bottom w:val="nil"/>
                    <w:right w:val="nil"/>
                  </w:tcBorders>
                  <w:shd w:val="clear" w:color="000000" w:fill="F2F2F2"/>
                  <w:noWrap/>
                  <w:vAlign w:val="center"/>
                  <w:hideMark/>
                </w:tcPr>
                <w:p w14:paraId="7DA3FCB1"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128.6%</w:t>
                  </w:r>
                </w:p>
              </w:tc>
            </w:tr>
            <w:tr w:rsidR="000B4EAD" w:rsidRPr="000B4EAD" w14:paraId="527C005E" w14:textId="77777777" w:rsidTr="000B4EAD">
              <w:trPr>
                <w:trHeight w:val="252"/>
              </w:trPr>
              <w:tc>
                <w:tcPr>
                  <w:tcW w:w="3164" w:type="dxa"/>
                  <w:tcBorders>
                    <w:top w:val="nil"/>
                    <w:left w:val="nil"/>
                    <w:bottom w:val="nil"/>
                    <w:right w:val="nil"/>
                  </w:tcBorders>
                  <w:shd w:val="clear" w:color="000000" w:fill="F2F2F2"/>
                  <w:noWrap/>
                  <w:vAlign w:val="center"/>
                  <w:hideMark/>
                </w:tcPr>
                <w:p w14:paraId="1334F921"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of sales</w:t>
                  </w:r>
                </w:p>
              </w:tc>
              <w:tc>
                <w:tcPr>
                  <w:tcW w:w="1276" w:type="dxa"/>
                  <w:tcBorders>
                    <w:top w:val="nil"/>
                    <w:left w:val="nil"/>
                    <w:bottom w:val="nil"/>
                    <w:right w:val="nil"/>
                  </w:tcBorders>
                  <w:shd w:val="clear" w:color="000000" w:fill="F2F2F2"/>
                  <w:noWrap/>
                  <w:vAlign w:val="center"/>
                  <w:hideMark/>
                </w:tcPr>
                <w:p w14:paraId="72462F5E"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7.4%</w:t>
                  </w:r>
                </w:p>
              </w:tc>
              <w:tc>
                <w:tcPr>
                  <w:tcW w:w="1275" w:type="dxa"/>
                  <w:tcBorders>
                    <w:top w:val="nil"/>
                    <w:left w:val="nil"/>
                    <w:bottom w:val="nil"/>
                    <w:right w:val="nil"/>
                  </w:tcBorders>
                  <w:shd w:val="clear" w:color="000000" w:fill="F2F2F2"/>
                  <w:noWrap/>
                  <w:vAlign w:val="center"/>
                  <w:hideMark/>
                </w:tcPr>
                <w:p w14:paraId="099414D3"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3.9%</w:t>
                  </w:r>
                </w:p>
              </w:tc>
              <w:tc>
                <w:tcPr>
                  <w:tcW w:w="1701" w:type="dxa"/>
                  <w:tcBorders>
                    <w:top w:val="nil"/>
                    <w:left w:val="nil"/>
                    <w:bottom w:val="nil"/>
                    <w:right w:val="nil"/>
                  </w:tcBorders>
                  <w:shd w:val="clear" w:color="000000" w:fill="F2F2F2"/>
                  <w:noWrap/>
                  <w:vAlign w:val="center"/>
                  <w:hideMark/>
                </w:tcPr>
                <w:p w14:paraId="10EF96E1"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3.5% pp.</w:t>
                  </w:r>
                </w:p>
              </w:tc>
            </w:tr>
            <w:tr w:rsidR="000B4EAD" w:rsidRPr="000B4EAD" w14:paraId="73B4D6CB" w14:textId="77777777" w:rsidTr="000B4EAD">
              <w:trPr>
                <w:trHeight w:val="525"/>
              </w:trPr>
              <w:tc>
                <w:tcPr>
                  <w:tcW w:w="3164" w:type="dxa"/>
                  <w:tcBorders>
                    <w:top w:val="single" w:sz="4" w:space="0" w:color="000000"/>
                    <w:left w:val="nil"/>
                    <w:bottom w:val="nil"/>
                    <w:right w:val="nil"/>
                  </w:tcBorders>
                  <w:shd w:val="clear" w:color="000000" w:fill="F2F2F2"/>
                  <w:vAlign w:val="center"/>
                  <w:hideMark/>
                </w:tcPr>
                <w:p w14:paraId="7A26ECB0" w14:textId="108A4DB4"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 xml:space="preserve">Net profit* </w:t>
                  </w:r>
                  <w:r>
                    <w:rPr>
                      <w:rFonts w:ascii="Tahoma" w:hAnsi="Tahoma"/>
                      <w:b/>
                      <w:color w:val="404040"/>
                    </w:rPr>
                    <w:br/>
                  </w:r>
                </w:p>
              </w:tc>
              <w:tc>
                <w:tcPr>
                  <w:tcW w:w="1276" w:type="dxa"/>
                  <w:tcBorders>
                    <w:top w:val="single" w:sz="4" w:space="0" w:color="000000"/>
                    <w:left w:val="nil"/>
                    <w:bottom w:val="nil"/>
                    <w:right w:val="nil"/>
                  </w:tcBorders>
                  <w:shd w:val="clear" w:color="000000" w:fill="F2F2F2"/>
                  <w:noWrap/>
                  <w:vAlign w:val="center"/>
                  <w:hideMark/>
                </w:tcPr>
                <w:p w14:paraId="42531446"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106</w:t>
                  </w:r>
                </w:p>
              </w:tc>
              <w:tc>
                <w:tcPr>
                  <w:tcW w:w="1275" w:type="dxa"/>
                  <w:tcBorders>
                    <w:top w:val="single" w:sz="4" w:space="0" w:color="000000"/>
                    <w:left w:val="nil"/>
                    <w:bottom w:val="nil"/>
                    <w:right w:val="nil"/>
                  </w:tcBorders>
                  <w:shd w:val="clear" w:color="000000" w:fill="F2F2F2"/>
                  <w:noWrap/>
                  <w:vAlign w:val="center"/>
                  <w:hideMark/>
                </w:tcPr>
                <w:p w14:paraId="083D907C"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56</w:t>
                  </w:r>
                </w:p>
              </w:tc>
              <w:tc>
                <w:tcPr>
                  <w:tcW w:w="1701" w:type="dxa"/>
                  <w:tcBorders>
                    <w:top w:val="single" w:sz="4" w:space="0" w:color="000000"/>
                    <w:left w:val="nil"/>
                    <w:bottom w:val="nil"/>
                    <w:right w:val="nil"/>
                  </w:tcBorders>
                  <w:shd w:val="clear" w:color="000000" w:fill="F2F2F2"/>
                  <w:noWrap/>
                  <w:vAlign w:val="center"/>
                  <w:hideMark/>
                </w:tcPr>
                <w:p w14:paraId="3CDC8A5D" w14:textId="77777777" w:rsidR="000B4EAD" w:rsidRPr="000B4EAD" w:rsidRDefault="000B4EAD" w:rsidP="000B4EAD">
                  <w:pPr>
                    <w:spacing w:after="0" w:line="240" w:lineRule="auto"/>
                    <w:rPr>
                      <w:rFonts w:ascii="Tahoma" w:eastAsia="Times New Roman" w:hAnsi="Tahoma" w:cs="Tahoma"/>
                      <w:b/>
                      <w:bCs/>
                      <w:color w:val="404040"/>
                    </w:rPr>
                  </w:pPr>
                  <w:r>
                    <w:rPr>
                      <w:rFonts w:ascii="Tahoma" w:hAnsi="Tahoma"/>
                      <w:b/>
                      <w:color w:val="404040"/>
                    </w:rPr>
                    <w:t>88.6%</w:t>
                  </w:r>
                </w:p>
              </w:tc>
            </w:tr>
            <w:tr w:rsidR="000B4EAD" w:rsidRPr="000B4EAD" w14:paraId="6EE039E6" w14:textId="77777777" w:rsidTr="000B4EAD">
              <w:trPr>
                <w:trHeight w:val="252"/>
              </w:trPr>
              <w:tc>
                <w:tcPr>
                  <w:tcW w:w="3164" w:type="dxa"/>
                  <w:tcBorders>
                    <w:top w:val="nil"/>
                    <w:left w:val="nil"/>
                    <w:bottom w:val="nil"/>
                    <w:right w:val="nil"/>
                  </w:tcBorders>
                  <w:shd w:val="clear" w:color="000000" w:fill="F2F2F2"/>
                  <w:noWrap/>
                  <w:vAlign w:val="center"/>
                  <w:hideMark/>
                </w:tcPr>
                <w:p w14:paraId="7BA10EBF"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of sales</w:t>
                  </w:r>
                </w:p>
              </w:tc>
              <w:tc>
                <w:tcPr>
                  <w:tcW w:w="1276" w:type="dxa"/>
                  <w:tcBorders>
                    <w:top w:val="nil"/>
                    <w:left w:val="nil"/>
                    <w:bottom w:val="nil"/>
                    <w:right w:val="nil"/>
                  </w:tcBorders>
                  <w:shd w:val="clear" w:color="000000" w:fill="F2F2F2"/>
                  <w:noWrap/>
                  <w:vAlign w:val="center"/>
                  <w:hideMark/>
                </w:tcPr>
                <w:p w14:paraId="6CBFAFE4"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5.5%</w:t>
                  </w:r>
                </w:p>
              </w:tc>
              <w:tc>
                <w:tcPr>
                  <w:tcW w:w="1275" w:type="dxa"/>
                  <w:tcBorders>
                    <w:top w:val="nil"/>
                    <w:left w:val="nil"/>
                    <w:bottom w:val="nil"/>
                    <w:right w:val="nil"/>
                  </w:tcBorders>
                  <w:shd w:val="clear" w:color="000000" w:fill="F2F2F2"/>
                  <w:noWrap/>
                  <w:vAlign w:val="center"/>
                  <w:hideMark/>
                </w:tcPr>
                <w:p w14:paraId="10CBBD6F"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3.5%</w:t>
                  </w:r>
                </w:p>
              </w:tc>
              <w:tc>
                <w:tcPr>
                  <w:tcW w:w="1701" w:type="dxa"/>
                  <w:tcBorders>
                    <w:top w:val="nil"/>
                    <w:left w:val="nil"/>
                    <w:bottom w:val="nil"/>
                    <w:right w:val="nil"/>
                  </w:tcBorders>
                  <w:shd w:val="clear" w:color="000000" w:fill="F2F2F2"/>
                  <w:noWrap/>
                  <w:vAlign w:val="center"/>
                  <w:hideMark/>
                </w:tcPr>
                <w:p w14:paraId="732F0BAF" w14:textId="2F4D877F"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2.0 pp</w:t>
                  </w:r>
                </w:p>
              </w:tc>
            </w:tr>
            <w:tr w:rsidR="000B4EAD" w:rsidRPr="000B4EAD" w14:paraId="197093C6" w14:textId="77777777" w:rsidTr="000B4EAD">
              <w:trPr>
                <w:trHeight w:val="255"/>
              </w:trPr>
              <w:tc>
                <w:tcPr>
                  <w:tcW w:w="3164" w:type="dxa"/>
                  <w:tcBorders>
                    <w:top w:val="single" w:sz="4" w:space="0" w:color="000000"/>
                    <w:left w:val="single" w:sz="4" w:space="0" w:color="FFFFFF"/>
                    <w:bottom w:val="nil"/>
                    <w:right w:val="single" w:sz="4" w:space="0" w:color="FFFFFF"/>
                  </w:tcBorders>
                  <w:shd w:val="clear" w:color="auto" w:fill="auto"/>
                  <w:noWrap/>
                  <w:hideMark/>
                </w:tcPr>
                <w:p w14:paraId="2B1A1A2D" w14:textId="77777777" w:rsidR="000B4EAD" w:rsidRPr="000B4EAD" w:rsidRDefault="000B4EAD" w:rsidP="000B4EAD">
                  <w:pPr>
                    <w:spacing w:after="0" w:line="240" w:lineRule="auto"/>
                    <w:rPr>
                      <w:rFonts w:ascii="Tahoma" w:eastAsia="Times New Roman" w:hAnsi="Tahoma" w:cs="Tahoma"/>
                      <w:i/>
                      <w:iCs/>
                      <w:color w:val="404040"/>
                      <w:sz w:val="14"/>
                      <w:szCs w:val="14"/>
                    </w:rPr>
                  </w:pPr>
                  <w:r>
                    <w:rPr>
                      <w:rFonts w:ascii="Tahoma" w:hAnsi="Tahoma"/>
                      <w:i/>
                      <w:color w:val="404040"/>
                      <w:sz w:val="14"/>
                    </w:rPr>
                    <w:t>*attributable to shareholders of the Parent Company</w:t>
                  </w:r>
                </w:p>
              </w:tc>
              <w:tc>
                <w:tcPr>
                  <w:tcW w:w="1276" w:type="dxa"/>
                  <w:tcBorders>
                    <w:top w:val="single" w:sz="4" w:space="0" w:color="000000"/>
                    <w:left w:val="nil"/>
                    <w:bottom w:val="nil"/>
                    <w:right w:val="single" w:sz="4" w:space="0" w:color="FFFFFF"/>
                  </w:tcBorders>
                  <w:shd w:val="clear" w:color="auto" w:fill="auto"/>
                  <w:noWrap/>
                  <w:vAlign w:val="center"/>
                  <w:hideMark/>
                </w:tcPr>
                <w:p w14:paraId="236B004C"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w:t>
                  </w:r>
                </w:p>
              </w:tc>
              <w:tc>
                <w:tcPr>
                  <w:tcW w:w="1275" w:type="dxa"/>
                  <w:tcBorders>
                    <w:top w:val="single" w:sz="4" w:space="0" w:color="000000"/>
                    <w:left w:val="nil"/>
                    <w:bottom w:val="nil"/>
                    <w:right w:val="single" w:sz="4" w:space="0" w:color="FFFFFF"/>
                  </w:tcBorders>
                  <w:shd w:val="clear" w:color="auto" w:fill="auto"/>
                  <w:noWrap/>
                  <w:vAlign w:val="center"/>
                  <w:hideMark/>
                </w:tcPr>
                <w:p w14:paraId="5AF7362E"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w:t>
                  </w:r>
                </w:p>
              </w:tc>
              <w:tc>
                <w:tcPr>
                  <w:tcW w:w="1701" w:type="dxa"/>
                  <w:tcBorders>
                    <w:top w:val="single" w:sz="4" w:space="0" w:color="000000"/>
                    <w:left w:val="nil"/>
                    <w:bottom w:val="nil"/>
                    <w:right w:val="single" w:sz="4" w:space="0" w:color="FFFFFF"/>
                  </w:tcBorders>
                  <w:shd w:val="clear" w:color="auto" w:fill="auto"/>
                  <w:noWrap/>
                  <w:vAlign w:val="center"/>
                  <w:hideMark/>
                </w:tcPr>
                <w:p w14:paraId="58E662FE" w14:textId="77777777" w:rsidR="000B4EAD" w:rsidRPr="000B4EAD" w:rsidRDefault="000B4EAD" w:rsidP="000B4EAD">
                  <w:pPr>
                    <w:spacing w:after="0" w:line="240" w:lineRule="auto"/>
                    <w:rPr>
                      <w:rFonts w:ascii="Tahoma" w:eastAsia="Times New Roman" w:hAnsi="Tahoma" w:cs="Tahoma"/>
                      <w:color w:val="404040"/>
                    </w:rPr>
                  </w:pPr>
                  <w:r>
                    <w:rPr>
                      <w:rFonts w:ascii="Tahoma" w:hAnsi="Tahoma"/>
                      <w:color w:val="404040"/>
                    </w:rPr>
                    <w:t> </w:t>
                  </w:r>
                </w:p>
              </w:tc>
            </w:tr>
          </w:tbl>
          <w:p w14:paraId="47448682" w14:textId="62E307DE" w:rsidR="00EF28BA" w:rsidRPr="00FE00A1" w:rsidRDefault="00EF28BA" w:rsidP="005B039B">
            <w:pPr>
              <w:spacing w:line="360" w:lineRule="auto"/>
              <w:jc w:val="both"/>
              <w:rPr>
                <w:rFonts w:ascii="Tahoma" w:eastAsia="Tahoma" w:hAnsi="Tahoma" w:cs="Tahoma"/>
                <w:bCs/>
                <w:color w:val="808080"/>
                <w:sz w:val="18"/>
                <w:szCs w:val="18"/>
              </w:rPr>
            </w:pPr>
          </w:p>
          <w:p w14:paraId="123EC875" w14:textId="17C227D0" w:rsidR="0023777F" w:rsidRPr="00FE00A1" w:rsidRDefault="0023777F" w:rsidP="00CE063A">
            <w:pPr>
              <w:spacing w:line="360" w:lineRule="auto"/>
              <w:jc w:val="center"/>
              <w:rPr>
                <w:rFonts w:ascii="Tahoma" w:eastAsia="Tahoma" w:hAnsi="Tahoma" w:cs="Tahoma"/>
                <w:color w:val="808080"/>
                <w:sz w:val="18"/>
                <w:szCs w:val="18"/>
              </w:rPr>
            </w:pPr>
          </w:p>
          <w:p w14:paraId="56892A2B" w14:textId="3BABDE1B" w:rsidR="00BF116E" w:rsidRPr="00FE00A1" w:rsidRDefault="00FD14F3" w:rsidP="00BF116E">
            <w:pPr>
              <w:spacing w:line="360" w:lineRule="auto"/>
              <w:jc w:val="both"/>
              <w:rPr>
                <w:rFonts w:ascii="Tahoma" w:eastAsia="Tahoma" w:hAnsi="Tahoma" w:cs="Tahoma"/>
                <w:bCs/>
                <w:color w:val="808080"/>
                <w:sz w:val="18"/>
                <w:szCs w:val="18"/>
              </w:rPr>
            </w:pPr>
            <w:r>
              <w:rPr>
                <w:rFonts w:ascii="Tahoma" w:hAnsi="Tahoma"/>
                <w:color w:val="808080"/>
                <w:sz w:val="18"/>
              </w:rPr>
              <w:t xml:space="preserve">We recorded significant growth in the Group's sales revenues, both in the construction segment (+20.1%) and in the services segment (+31.1%). </w:t>
            </w:r>
          </w:p>
          <w:p w14:paraId="500BB3FF" w14:textId="3BD11930" w:rsidR="00E122F1" w:rsidRPr="005743C9" w:rsidRDefault="007143D6" w:rsidP="00417A3F">
            <w:pPr>
              <w:spacing w:line="360" w:lineRule="auto"/>
              <w:jc w:val="both"/>
              <w:rPr>
                <w:rFonts w:ascii="Tahoma" w:eastAsia="Tahoma" w:hAnsi="Tahoma" w:cs="Tahoma"/>
                <w:bCs/>
                <w:color w:val="808080"/>
                <w:sz w:val="18"/>
                <w:szCs w:val="18"/>
              </w:rPr>
            </w:pPr>
            <w:r>
              <w:rPr>
                <w:rFonts w:ascii="Tahoma" w:hAnsi="Tahoma"/>
                <w:color w:val="808080"/>
                <w:sz w:val="18"/>
              </w:rPr>
              <w:br/>
            </w:r>
            <w:r>
              <w:rPr>
                <w:rFonts w:ascii="Tahoma" w:hAnsi="Tahoma"/>
                <w:b/>
                <w:color w:val="808080"/>
                <w:sz w:val="18"/>
              </w:rPr>
              <w:t>Construction and installation production in Q1 2023</w:t>
            </w:r>
            <w:r>
              <w:rPr>
                <w:rFonts w:ascii="Tahoma" w:hAnsi="Tahoma"/>
                <w:color w:val="808080"/>
                <w:sz w:val="18"/>
              </w:rPr>
              <w:t xml:space="preserve"> (at current prices)</w:t>
            </w:r>
            <w:r>
              <w:rPr>
                <w:rFonts w:ascii="Tahoma" w:hAnsi="Tahoma"/>
                <w:b/>
                <w:color w:val="808080"/>
                <w:sz w:val="18"/>
              </w:rPr>
              <w:t xml:space="preserve"> increased year-on-year basis by 16.2% from PLN 23.4 billion to PLN 27.2 billion. In the buildings segment, production sold</w:t>
            </w:r>
            <w:r>
              <w:rPr>
                <w:rFonts w:ascii="Tahoma" w:hAnsi="Tahoma"/>
                <w:color w:val="808080"/>
                <w:sz w:val="18"/>
              </w:rPr>
              <w:t xml:space="preserve"> increased by 6.6%, while in the infrastructure segment the increase was as high as 29.7%.</w:t>
            </w:r>
          </w:p>
          <w:tbl>
            <w:tblPr>
              <w:tblW w:w="6844" w:type="dxa"/>
              <w:tblLayout w:type="fixed"/>
              <w:tblCellMar>
                <w:left w:w="70" w:type="dxa"/>
                <w:right w:w="70" w:type="dxa"/>
              </w:tblCellMar>
              <w:tblLook w:val="04A0" w:firstRow="1" w:lastRow="0" w:firstColumn="1" w:lastColumn="0" w:noHBand="0" w:noVBand="1"/>
            </w:tblPr>
            <w:tblGrid>
              <w:gridCol w:w="3301"/>
              <w:gridCol w:w="1275"/>
              <w:gridCol w:w="1276"/>
              <w:gridCol w:w="992"/>
            </w:tblGrid>
            <w:tr w:rsidR="00CD799E" w:rsidRPr="00CD799E" w14:paraId="3BDFAD3E" w14:textId="77777777" w:rsidTr="005743C9">
              <w:trPr>
                <w:trHeight w:val="349"/>
              </w:trPr>
              <w:tc>
                <w:tcPr>
                  <w:tcW w:w="3301" w:type="dxa"/>
                  <w:vMerge w:val="restart"/>
                  <w:tcBorders>
                    <w:top w:val="nil"/>
                    <w:left w:val="single" w:sz="4" w:space="0" w:color="000000"/>
                    <w:bottom w:val="single" w:sz="8" w:space="0" w:color="000000"/>
                    <w:right w:val="nil"/>
                  </w:tcBorders>
                  <w:shd w:val="clear" w:color="000000" w:fill="595959"/>
                  <w:vAlign w:val="center"/>
                  <w:hideMark/>
                </w:tcPr>
                <w:p w14:paraId="6DFBA66A" w14:textId="77777777" w:rsidR="00CD799E" w:rsidRPr="00CD799E" w:rsidRDefault="00CD799E" w:rsidP="00CD799E">
                  <w:pPr>
                    <w:spacing w:after="0" w:line="240" w:lineRule="auto"/>
                    <w:rPr>
                      <w:rFonts w:ascii="Tahoma" w:eastAsia="Times New Roman" w:hAnsi="Tahoma" w:cs="Tahoma"/>
                      <w:b/>
                      <w:bCs/>
                      <w:color w:val="F2F2F2"/>
                    </w:rPr>
                  </w:pPr>
                  <w:r>
                    <w:rPr>
                      <w:rFonts w:ascii="Tahoma" w:hAnsi="Tahoma"/>
                      <w:b/>
                      <w:color w:val="F2F2F2"/>
                    </w:rPr>
                    <w:t>Construction sector</w:t>
                  </w:r>
                </w:p>
              </w:tc>
              <w:tc>
                <w:tcPr>
                  <w:tcW w:w="3543" w:type="dxa"/>
                  <w:gridSpan w:val="3"/>
                  <w:tcBorders>
                    <w:top w:val="nil"/>
                    <w:left w:val="nil"/>
                    <w:bottom w:val="nil"/>
                    <w:right w:val="nil"/>
                  </w:tcBorders>
                  <w:shd w:val="clear" w:color="000000" w:fill="BFBFBF"/>
                  <w:noWrap/>
                  <w:vAlign w:val="center"/>
                  <w:hideMark/>
                </w:tcPr>
                <w:p w14:paraId="6A2C2DA3" w14:textId="77777777" w:rsidR="00CD799E" w:rsidRPr="00CD799E" w:rsidRDefault="00CD799E" w:rsidP="00CD799E">
                  <w:pPr>
                    <w:spacing w:after="0" w:line="240" w:lineRule="auto"/>
                    <w:jc w:val="center"/>
                    <w:rPr>
                      <w:rFonts w:ascii="Tahoma" w:eastAsia="Times New Roman" w:hAnsi="Tahoma" w:cs="Tahoma"/>
                      <w:b/>
                      <w:bCs/>
                      <w:color w:val="000000"/>
                    </w:rPr>
                  </w:pPr>
                  <w:r>
                    <w:rPr>
                      <w:rFonts w:ascii="Tahoma" w:hAnsi="Tahoma"/>
                      <w:b/>
                      <w:color w:val="000000"/>
                    </w:rPr>
                    <w:t>Statistical data</w:t>
                  </w:r>
                  <w:r>
                    <w:rPr>
                      <w:rFonts w:ascii="Tahoma" w:hAnsi="Tahoma"/>
                      <w:color w:val="000000"/>
                    </w:rPr>
                    <w:t xml:space="preserve"> (PLN billion)</w:t>
                  </w:r>
                </w:p>
              </w:tc>
            </w:tr>
            <w:tr w:rsidR="00CD799E" w:rsidRPr="00CD799E" w14:paraId="12FE7BC3" w14:textId="77777777" w:rsidTr="005743C9">
              <w:trPr>
                <w:trHeight w:val="540"/>
              </w:trPr>
              <w:tc>
                <w:tcPr>
                  <w:tcW w:w="3301" w:type="dxa"/>
                  <w:vMerge/>
                  <w:tcBorders>
                    <w:top w:val="nil"/>
                    <w:left w:val="single" w:sz="4" w:space="0" w:color="000000"/>
                    <w:bottom w:val="single" w:sz="8" w:space="0" w:color="000000"/>
                    <w:right w:val="nil"/>
                  </w:tcBorders>
                  <w:vAlign w:val="center"/>
                  <w:hideMark/>
                </w:tcPr>
                <w:p w14:paraId="0F05F400" w14:textId="77777777" w:rsidR="00CD799E" w:rsidRPr="00CD799E" w:rsidRDefault="00CD799E" w:rsidP="00CD799E">
                  <w:pPr>
                    <w:spacing w:after="0" w:line="240" w:lineRule="auto"/>
                    <w:rPr>
                      <w:rFonts w:ascii="Tahoma" w:eastAsia="Times New Roman" w:hAnsi="Tahoma" w:cs="Tahoma"/>
                      <w:b/>
                      <w:bCs/>
                      <w:color w:val="F2F2F2"/>
                    </w:rPr>
                  </w:pPr>
                </w:p>
              </w:tc>
              <w:tc>
                <w:tcPr>
                  <w:tcW w:w="1275" w:type="dxa"/>
                  <w:tcBorders>
                    <w:top w:val="single" w:sz="4" w:space="0" w:color="auto"/>
                    <w:left w:val="nil"/>
                    <w:bottom w:val="single" w:sz="8" w:space="0" w:color="auto"/>
                    <w:right w:val="single" w:sz="4" w:space="0" w:color="000000"/>
                  </w:tcBorders>
                  <w:shd w:val="clear" w:color="000000" w:fill="BFBFBF"/>
                  <w:vAlign w:val="center"/>
                  <w:hideMark/>
                </w:tcPr>
                <w:p w14:paraId="726E5A9F" w14:textId="67B9250E" w:rsidR="00CD799E" w:rsidRPr="00CD799E" w:rsidRDefault="00CD799E" w:rsidP="00CD799E">
                  <w:pPr>
                    <w:spacing w:after="0" w:line="240" w:lineRule="auto"/>
                    <w:rPr>
                      <w:rFonts w:ascii="Tahoma" w:eastAsia="Times New Roman" w:hAnsi="Tahoma" w:cs="Tahoma"/>
                      <w:color w:val="000000"/>
                    </w:rPr>
                  </w:pPr>
                  <w:r>
                    <w:rPr>
                      <w:rFonts w:ascii="Tahoma" w:hAnsi="Tahoma"/>
                      <w:color w:val="000000"/>
                    </w:rPr>
                    <w:t>Q1 2023</w:t>
                  </w:r>
                </w:p>
              </w:tc>
              <w:tc>
                <w:tcPr>
                  <w:tcW w:w="1276" w:type="dxa"/>
                  <w:tcBorders>
                    <w:top w:val="single" w:sz="4" w:space="0" w:color="000000"/>
                    <w:left w:val="nil"/>
                    <w:bottom w:val="single" w:sz="8" w:space="0" w:color="000000"/>
                    <w:right w:val="single" w:sz="4" w:space="0" w:color="000000"/>
                  </w:tcBorders>
                  <w:shd w:val="clear" w:color="000000" w:fill="BFBFBF"/>
                  <w:vAlign w:val="center"/>
                  <w:hideMark/>
                </w:tcPr>
                <w:p w14:paraId="0E976F90" w14:textId="44CF662C" w:rsidR="00CD799E" w:rsidRPr="00CD799E" w:rsidRDefault="00CD799E" w:rsidP="00CD799E">
                  <w:pPr>
                    <w:spacing w:after="0" w:line="240" w:lineRule="auto"/>
                    <w:jc w:val="center"/>
                    <w:rPr>
                      <w:rFonts w:ascii="Tahoma" w:eastAsia="Times New Roman" w:hAnsi="Tahoma" w:cs="Tahoma"/>
                      <w:color w:val="000000"/>
                    </w:rPr>
                  </w:pPr>
                  <w:r>
                    <w:rPr>
                      <w:rFonts w:ascii="Tahoma" w:hAnsi="Tahoma"/>
                      <w:color w:val="000000"/>
                    </w:rPr>
                    <w:t>Q1 2022</w:t>
                  </w:r>
                </w:p>
              </w:tc>
              <w:tc>
                <w:tcPr>
                  <w:tcW w:w="992" w:type="dxa"/>
                  <w:tcBorders>
                    <w:top w:val="single" w:sz="4" w:space="0" w:color="000000"/>
                    <w:left w:val="nil"/>
                    <w:bottom w:val="single" w:sz="8" w:space="0" w:color="000000"/>
                    <w:right w:val="nil"/>
                  </w:tcBorders>
                  <w:shd w:val="clear" w:color="000000" w:fill="BFBFBF"/>
                  <w:noWrap/>
                  <w:vAlign w:val="center"/>
                  <w:hideMark/>
                </w:tcPr>
                <w:p w14:paraId="629FAD12" w14:textId="77777777" w:rsidR="00CD799E" w:rsidRPr="00CD799E" w:rsidRDefault="00CD799E" w:rsidP="00CD799E">
                  <w:pPr>
                    <w:spacing w:after="0" w:line="240" w:lineRule="auto"/>
                    <w:jc w:val="center"/>
                    <w:rPr>
                      <w:rFonts w:ascii="Tahoma" w:eastAsia="Times New Roman" w:hAnsi="Tahoma" w:cs="Tahoma"/>
                      <w:color w:val="000000"/>
                    </w:rPr>
                  </w:pPr>
                  <w:r>
                    <w:rPr>
                      <w:rFonts w:ascii="Tahoma" w:hAnsi="Tahoma"/>
                      <w:color w:val="000000"/>
                    </w:rPr>
                    <w:t>y/y</w:t>
                  </w:r>
                </w:p>
              </w:tc>
            </w:tr>
            <w:tr w:rsidR="00CD799E" w:rsidRPr="00CD799E" w14:paraId="3E170495" w14:textId="77777777" w:rsidTr="005743C9">
              <w:trPr>
                <w:trHeight w:val="660"/>
              </w:trPr>
              <w:tc>
                <w:tcPr>
                  <w:tcW w:w="3301" w:type="dxa"/>
                  <w:tcBorders>
                    <w:top w:val="nil"/>
                    <w:left w:val="single" w:sz="8" w:space="0" w:color="FFC000"/>
                    <w:bottom w:val="single" w:sz="8" w:space="0" w:color="auto"/>
                    <w:right w:val="nil"/>
                  </w:tcBorders>
                  <w:shd w:val="clear" w:color="000000" w:fill="FFC000"/>
                  <w:vAlign w:val="center"/>
                  <w:hideMark/>
                </w:tcPr>
                <w:p w14:paraId="243F24CD"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 xml:space="preserve">Sold </w:t>
                  </w:r>
                  <w:r>
                    <w:rPr>
                      <w:rFonts w:ascii="Tahoma" w:hAnsi="Tahoma"/>
                      <w:b/>
                      <w:color w:val="404040"/>
                    </w:rPr>
                    <w:br/>
                    <w:t>production</w:t>
                  </w:r>
                </w:p>
              </w:tc>
              <w:tc>
                <w:tcPr>
                  <w:tcW w:w="1275" w:type="dxa"/>
                  <w:tcBorders>
                    <w:top w:val="nil"/>
                    <w:left w:val="nil"/>
                    <w:bottom w:val="single" w:sz="8" w:space="0" w:color="000000"/>
                    <w:right w:val="nil"/>
                  </w:tcBorders>
                  <w:shd w:val="clear" w:color="000000" w:fill="FFC000"/>
                  <w:noWrap/>
                  <w:vAlign w:val="center"/>
                  <w:hideMark/>
                </w:tcPr>
                <w:p w14:paraId="25738306"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27.2</w:t>
                  </w:r>
                </w:p>
              </w:tc>
              <w:tc>
                <w:tcPr>
                  <w:tcW w:w="1276" w:type="dxa"/>
                  <w:tcBorders>
                    <w:top w:val="nil"/>
                    <w:left w:val="nil"/>
                    <w:bottom w:val="single" w:sz="8" w:space="0" w:color="000000"/>
                    <w:right w:val="nil"/>
                  </w:tcBorders>
                  <w:shd w:val="clear" w:color="000000" w:fill="FFC000"/>
                  <w:noWrap/>
                  <w:vAlign w:val="center"/>
                  <w:hideMark/>
                </w:tcPr>
                <w:p w14:paraId="5B7639A5"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23.4</w:t>
                  </w:r>
                </w:p>
              </w:tc>
              <w:tc>
                <w:tcPr>
                  <w:tcW w:w="992" w:type="dxa"/>
                  <w:tcBorders>
                    <w:top w:val="nil"/>
                    <w:left w:val="nil"/>
                    <w:bottom w:val="single" w:sz="8" w:space="0" w:color="000000"/>
                    <w:right w:val="nil"/>
                  </w:tcBorders>
                  <w:shd w:val="clear" w:color="000000" w:fill="FFC000"/>
                  <w:noWrap/>
                  <w:vAlign w:val="center"/>
                  <w:hideMark/>
                </w:tcPr>
                <w:p w14:paraId="618E5F2F"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16.2%</w:t>
                  </w:r>
                </w:p>
              </w:tc>
            </w:tr>
            <w:tr w:rsidR="00CD799E" w:rsidRPr="00CD799E" w14:paraId="02BA4E42" w14:textId="77777777" w:rsidTr="005743C9">
              <w:trPr>
                <w:trHeight w:val="405"/>
              </w:trPr>
              <w:tc>
                <w:tcPr>
                  <w:tcW w:w="3301" w:type="dxa"/>
                  <w:tcBorders>
                    <w:top w:val="nil"/>
                    <w:left w:val="nil"/>
                    <w:bottom w:val="nil"/>
                    <w:right w:val="nil"/>
                  </w:tcBorders>
                  <w:shd w:val="clear" w:color="000000" w:fill="F2F2F2"/>
                  <w:noWrap/>
                  <w:vAlign w:val="center"/>
                  <w:hideMark/>
                </w:tcPr>
                <w:p w14:paraId="7BBD0736" w14:textId="77777777" w:rsidR="00CD799E" w:rsidRPr="00CD799E" w:rsidRDefault="00CD799E" w:rsidP="00CD799E">
                  <w:pPr>
                    <w:spacing w:after="0" w:line="240" w:lineRule="auto"/>
                    <w:outlineLvl w:val="0"/>
                    <w:rPr>
                      <w:rFonts w:ascii="Tahoma" w:eastAsia="Times New Roman" w:hAnsi="Tahoma" w:cs="Tahoma"/>
                      <w:b/>
                      <w:bCs/>
                      <w:color w:val="404040"/>
                    </w:rPr>
                  </w:pPr>
                  <w:r>
                    <w:rPr>
                      <w:rFonts w:ascii="Tahoma" w:hAnsi="Tahoma"/>
                      <w:b/>
                      <w:color w:val="404040"/>
                    </w:rPr>
                    <w:t>Buildings</w:t>
                  </w:r>
                </w:p>
              </w:tc>
              <w:tc>
                <w:tcPr>
                  <w:tcW w:w="1275" w:type="dxa"/>
                  <w:tcBorders>
                    <w:top w:val="nil"/>
                    <w:left w:val="nil"/>
                    <w:bottom w:val="nil"/>
                    <w:right w:val="nil"/>
                  </w:tcBorders>
                  <w:shd w:val="clear" w:color="000000" w:fill="F2F2F2"/>
                  <w:noWrap/>
                  <w:vAlign w:val="center"/>
                  <w:hideMark/>
                </w:tcPr>
                <w:p w14:paraId="1DCA9423" w14:textId="77777777" w:rsidR="00CD799E" w:rsidRPr="00CD799E" w:rsidRDefault="00CD799E" w:rsidP="00CD799E">
                  <w:pPr>
                    <w:spacing w:after="0" w:line="240" w:lineRule="auto"/>
                    <w:outlineLvl w:val="0"/>
                    <w:rPr>
                      <w:rFonts w:ascii="Tahoma" w:eastAsia="Times New Roman" w:hAnsi="Tahoma" w:cs="Tahoma"/>
                      <w:b/>
                      <w:bCs/>
                      <w:color w:val="404040"/>
                    </w:rPr>
                  </w:pPr>
                  <w:r>
                    <w:rPr>
                      <w:rFonts w:ascii="Tahoma" w:hAnsi="Tahoma"/>
                      <w:b/>
                      <w:color w:val="404040"/>
                    </w:rPr>
                    <w:t>14.6</w:t>
                  </w:r>
                </w:p>
              </w:tc>
              <w:tc>
                <w:tcPr>
                  <w:tcW w:w="1276" w:type="dxa"/>
                  <w:tcBorders>
                    <w:top w:val="nil"/>
                    <w:left w:val="nil"/>
                    <w:bottom w:val="nil"/>
                    <w:right w:val="nil"/>
                  </w:tcBorders>
                  <w:shd w:val="clear" w:color="000000" w:fill="F2F2F2"/>
                  <w:noWrap/>
                  <w:vAlign w:val="center"/>
                  <w:hideMark/>
                </w:tcPr>
                <w:p w14:paraId="7FA1BD61" w14:textId="77777777" w:rsidR="00CD799E" w:rsidRPr="00CD799E" w:rsidRDefault="00CD799E" w:rsidP="00CD799E">
                  <w:pPr>
                    <w:spacing w:after="0" w:line="240" w:lineRule="auto"/>
                    <w:outlineLvl w:val="0"/>
                    <w:rPr>
                      <w:rFonts w:ascii="Tahoma" w:eastAsia="Times New Roman" w:hAnsi="Tahoma" w:cs="Tahoma"/>
                      <w:b/>
                      <w:bCs/>
                      <w:color w:val="404040"/>
                    </w:rPr>
                  </w:pPr>
                  <w:r>
                    <w:rPr>
                      <w:rFonts w:ascii="Tahoma" w:hAnsi="Tahoma"/>
                      <w:b/>
                      <w:color w:val="404040"/>
                    </w:rPr>
                    <w:t>13.7</w:t>
                  </w:r>
                </w:p>
              </w:tc>
              <w:tc>
                <w:tcPr>
                  <w:tcW w:w="992" w:type="dxa"/>
                  <w:tcBorders>
                    <w:top w:val="nil"/>
                    <w:left w:val="nil"/>
                    <w:bottom w:val="nil"/>
                    <w:right w:val="nil"/>
                  </w:tcBorders>
                  <w:shd w:val="clear" w:color="000000" w:fill="F2F2F2"/>
                  <w:noWrap/>
                  <w:vAlign w:val="center"/>
                  <w:hideMark/>
                </w:tcPr>
                <w:p w14:paraId="7AEB3B0E" w14:textId="77777777" w:rsidR="00CD799E" w:rsidRPr="00CD799E" w:rsidRDefault="00CD799E" w:rsidP="00CD799E">
                  <w:pPr>
                    <w:spacing w:after="0" w:line="240" w:lineRule="auto"/>
                    <w:outlineLvl w:val="0"/>
                    <w:rPr>
                      <w:rFonts w:ascii="Tahoma" w:eastAsia="Times New Roman" w:hAnsi="Tahoma" w:cs="Tahoma"/>
                      <w:b/>
                      <w:bCs/>
                      <w:color w:val="404040"/>
                    </w:rPr>
                  </w:pPr>
                  <w:r>
                    <w:rPr>
                      <w:rFonts w:ascii="Tahoma" w:hAnsi="Tahoma"/>
                      <w:b/>
                      <w:color w:val="404040"/>
                    </w:rPr>
                    <w:t>6.6%</w:t>
                  </w:r>
                </w:p>
              </w:tc>
            </w:tr>
            <w:tr w:rsidR="00CD799E" w:rsidRPr="00CD799E" w14:paraId="5DA31724" w14:textId="77777777" w:rsidTr="005743C9">
              <w:trPr>
                <w:trHeight w:val="285"/>
              </w:trPr>
              <w:tc>
                <w:tcPr>
                  <w:tcW w:w="3301" w:type="dxa"/>
                  <w:tcBorders>
                    <w:top w:val="nil"/>
                    <w:left w:val="nil"/>
                    <w:bottom w:val="nil"/>
                    <w:right w:val="nil"/>
                  </w:tcBorders>
                  <w:shd w:val="clear" w:color="000000" w:fill="F2F2F2"/>
                  <w:noWrap/>
                  <w:vAlign w:val="center"/>
                  <w:hideMark/>
                </w:tcPr>
                <w:p w14:paraId="5DB2E5D6" w14:textId="77777777" w:rsidR="00CD799E" w:rsidRPr="00CD799E" w:rsidRDefault="00CD799E" w:rsidP="00CD799E">
                  <w:pPr>
                    <w:spacing w:after="0" w:line="240" w:lineRule="auto"/>
                    <w:outlineLvl w:val="0"/>
                    <w:rPr>
                      <w:rFonts w:ascii="Tahoma" w:eastAsia="Times New Roman" w:hAnsi="Tahoma" w:cs="Tahoma"/>
                      <w:color w:val="404040"/>
                    </w:rPr>
                  </w:pPr>
                  <w:r>
                    <w:rPr>
                      <w:rFonts w:ascii="Tahoma" w:hAnsi="Tahoma"/>
                      <w:color w:val="404040"/>
                    </w:rPr>
                    <w:t>share</w:t>
                  </w:r>
                </w:p>
              </w:tc>
              <w:tc>
                <w:tcPr>
                  <w:tcW w:w="1275" w:type="dxa"/>
                  <w:tcBorders>
                    <w:top w:val="nil"/>
                    <w:left w:val="nil"/>
                    <w:bottom w:val="single" w:sz="4" w:space="0" w:color="000000"/>
                    <w:right w:val="nil"/>
                  </w:tcBorders>
                  <w:shd w:val="clear" w:color="000000" w:fill="F2F2F2"/>
                  <w:noWrap/>
                  <w:vAlign w:val="center"/>
                  <w:hideMark/>
                </w:tcPr>
                <w:p w14:paraId="33283AC7" w14:textId="77777777" w:rsidR="00CD799E" w:rsidRPr="00CD799E" w:rsidRDefault="00CD799E" w:rsidP="00CD799E">
                  <w:pPr>
                    <w:spacing w:after="0" w:line="240" w:lineRule="auto"/>
                    <w:outlineLvl w:val="0"/>
                    <w:rPr>
                      <w:rFonts w:ascii="Tahoma" w:eastAsia="Times New Roman" w:hAnsi="Tahoma" w:cs="Tahoma"/>
                      <w:color w:val="404040"/>
                    </w:rPr>
                  </w:pPr>
                  <w:r>
                    <w:rPr>
                      <w:rFonts w:ascii="Tahoma" w:hAnsi="Tahoma"/>
                      <w:color w:val="404040"/>
                    </w:rPr>
                    <w:t>53.8%</w:t>
                  </w:r>
                </w:p>
              </w:tc>
              <w:tc>
                <w:tcPr>
                  <w:tcW w:w="1276" w:type="dxa"/>
                  <w:tcBorders>
                    <w:top w:val="nil"/>
                    <w:left w:val="nil"/>
                    <w:bottom w:val="single" w:sz="4" w:space="0" w:color="000000"/>
                    <w:right w:val="nil"/>
                  </w:tcBorders>
                  <w:shd w:val="clear" w:color="000000" w:fill="F2F2F2"/>
                  <w:noWrap/>
                  <w:vAlign w:val="center"/>
                  <w:hideMark/>
                </w:tcPr>
                <w:p w14:paraId="2963BDAF" w14:textId="77777777" w:rsidR="00CD799E" w:rsidRPr="00CD799E" w:rsidRDefault="00CD799E" w:rsidP="00CD799E">
                  <w:pPr>
                    <w:spacing w:after="0" w:line="240" w:lineRule="auto"/>
                    <w:outlineLvl w:val="0"/>
                    <w:rPr>
                      <w:rFonts w:ascii="Tahoma" w:eastAsia="Times New Roman" w:hAnsi="Tahoma" w:cs="Tahoma"/>
                      <w:color w:val="404040"/>
                    </w:rPr>
                  </w:pPr>
                  <w:r>
                    <w:rPr>
                      <w:rFonts w:ascii="Tahoma" w:hAnsi="Tahoma"/>
                      <w:color w:val="404040"/>
                    </w:rPr>
                    <w:t>58.6%</w:t>
                  </w:r>
                </w:p>
              </w:tc>
              <w:tc>
                <w:tcPr>
                  <w:tcW w:w="992" w:type="dxa"/>
                  <w:tcBorders>
                    <w:top w:val="nil"/>
                    <w:left w:val="nil"/>
                    <w:bottom w:val="single" w:sz="4" w:space="0" w:color="000000"/>
                    <w:right w:val="nil"/>
                  </w:tcBorders>
                  <w:shd w:val="clear" w:color="000000" w:fill="F2F2F2"/>
                  <w:noWrap/>
                  <w:vAlign w:val="center"/>
                  <w:hideMark/>
                </w:tcPr>
                <w:p w14:paraId="7270B0CC" w14:textId="77777777" w:rsidR="00CD799E" w:rsidRPr="00CD799E" w:rsidRDefault="00CD799E" w:rsidP="00CD799E">
                  <w:pPr>
                    <w:spacing w:after="0" w:line="240" w:lineRule="auto"/>
                    <w:outlineLvl w:val="0"/>
                    <w:rPr>
                      <w:rFonts w:ascii="Tahoma" w:eastAsia="Times New Roman" w:hAnsi="Tahoma" w:cs="Tahoma"/>
                      <w:color w:val="404040"/>
                    </w:rPr>
                  </w:pPr>
                  <w:r>
                    <w:rPr>
                      <w:rFonts w:ascii="Tahoma" w:hAnsi="Tahoma"/>
                      <w:color w:val="404040"/>
                    </w:rPr>
                    <w:t>-4.8%</w:t>
                  </w:r>
                </w:p>
              </w:tc>
            </w:tr>
            <w:tr w:rsidR="00CD799E" w:rsidRPr="00CD799E" w14:paraId="712B2C20" w14:textId="77777777" w:rsidTr="005743C9">
              <w:trPr>
                <w:trHeight w:val="405"/>
              </w:trPr>
              <w:tc>
                <w:tcPr>
                  <w:tcW w:w="3301" w:type="dxa"/>
                  <w:tcBorders>
                    <w:top w:val="single" w:sz="4" w:space="0" w:color="000000"/>
                    <w:left w:val="nil"/>
                    <w:bottom w:val="dashed" w:sz="4" w:space="0" w:color="000000"/>
                    <w:right w:val="nil"/>
                  </w:tcBorders>
                  <w:shd w:val="clear" w:color="000000" w:fill="F2F2F2"/>
                  <w:noWrap/>
                  <w:vAlign w:val="center"/>
                  <w:hideMark/>
                </w:tcPr>
                <w:p w14:paraId="4BE6A11F"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Engineering</w:t>
                  </w:r>
                </w:p>
              </w:tc>
              <w:tc>
                <w:tcPr>
                  <w:tcW w:w="1275" w:type="dxa"/>
                  <w:tcBorders>
                    <w:top w:val="nil"/>
                    <w:left w:val="nil"/>
                    <w:bottom w:val="dashed" w:sz="4" w:space="0" w:color="000000"/>
                    <w:right w:val="nil"/>
                  </w:tcBorders>
                  <w:shd w:val="clear" w:color="000000" w:fill="F2F2F2"/>
                  <w:noWrap/>
                  <w:vAlign w:val="center"/>
                  <w:hideMark/>
                </w:tcPr>
                <w:p w14:paraId="69C00A1C"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12.6</w:t>
                  </w:r>
                </w:p>
              </w:tc>
              <w:tc>
                <w:tcPr>
                  <w:tcW w:w="1276" w:type="dxa"/>
                  <w:tcBorders>
                    <w:top w:val="nil"/>
                    <w:left w:val="nil"/>
                    <w:bottom w:val="dashed" w:sz="4" w:space="0" w:color="000000"/>
                    <w:right w:val="nil"/>
                  </w:tcBorders>
                  <w:shd w:val="clear" w:color="000000" w:fill="F2F2F2"/>
                  <w:noWrap/>
                  <w:vAlign w:val="center"/>
                  <w:hideMark/>
                </w:tcPr>
                <w:p w14:paraId="0750CAF0"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9.7</w:t>
                  </w:r>
                </w:p>
              </w:tc>
              <w:tc>
                <w:tcPr>
                  <w:tcW w:w="992" w:type="dxa"/>
                  <w:tcBorders>
                    <w:top w:val="nil"/>
                    <w:left w:val="nil"/>
                    <w:bottom w:val="dashed" w:sz="4" w:space="0" w:color="000000"/>
                    <w:right w:val="nil"/>
                  </w:tcBorders>
                  <w:shd w:val="clear" w:color="000000" w:fill="F2F2F2"/>
                  <w:noWrap/>
                  <w:vAlign w:val="center"/>
                  <w:hideMark/>
                </w:tcPr>
                <w:p w14:paraId="418608D8" w14:textId="77777777" w:rsidR="00CD799E" w:rsidRPr="00CD799E" w:rsidRDefault="00CD799E" w:rsidP="00CD799E">
                  <w:pPr>
                    <w:spacing w:after="0" w:line="240" w:lineRule="auto"/>
                    <w:rPr>
                      <w:rFonts w:ascii="Tahoma" w:eastAsia="Times New Roman" w:hAnsi="Tahoma" w:cs="Tahoma"/>
                      <w:b/>
                      <w:bCs/>
                      <w:color w:val="404040"/>
                    </w:rPr>
                  </w:pPr>
                  <w:r>
                    <w:rPr>
                      <w:rFonts w:ascii="Tahoma" w:hAnsi="Tahoma"/>
                      <w:b/>
                      <w:color w:val="404040"/>
                    </w:rPr>
                    <w:t>29.7%</w:t>
                  </w:r>
                </w:p>
              </w:tc>
            </w:tr>
            <w:tr w:rsidR="00CD799E" w:rsidRPr="00CD799E" w14:paraId="2D793046" w14:textId="77777777" w:rsidTr="005743C9">
              <w:trPr>
                <w:trHeight w:val="330"/>
              </w:trPr>
              <w:tc>
                <w:tcPr>
                  <w:tcW w:w="3301" w:type="dxa"/>
                  <w:tcBorders>
                    <w:top w:val="nil"/>
                    <w:left w:val="nil"/>
                    <w:bottom w:val="dotted" w:sz="4" w:space="0" w:color="808080"/>
                    <w:right w:val="nil"/>
                  </w:tcBorders>
                  <w:shd w:val="clear" w:color="000000" w:fill="F9F9F9"/>
                  <w:noWrap/>
                  <w:vAlign w:val="center"/>
                  <w:hideMark/>
                </w:tcPr>
                <w:p w14:paraId="0C3CE7EE"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including: roads</w:t>
                  </w:r>
                </w:p>
              </w:tc>
              <w:tc>
                <w:tcPr>
                  <w:tcW w:w="1275" w:type="dxa"/>
                  <w:tcBorders>
                    <w:top w:val="nil"/>
                    <w:left w:val="nil"/>
                    <w:bottom w:val="dotted" w:sz="4" w:space="0" w:color="808080"/>
                    <w:right w:val="nil"/>
                  </w:tcBorders>
                  <w:shd w:val="clear" w:color="000000" w:fill="F9F9F9"/>
                  <w:noWrap/>
                  <w:vAlign w:val="center"/>
                  <w:hideMark/>
                </w:tcPr>
                <w:p w14:paraId="179A5095"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3.4</w:t>
                  </w:r>
                </w:p>
              </w:tc>
              <w:tc>
                <w:tcPr>
                  <w:tcW w:w="1276" w:type="dxa"/>
                  <w:tcBorders>
                    <w:top w:val="nil"/>
                    <w:left w:val="nil"/>
                    <w:bottom w:val="dotted" w:sz="4" w:space="0" w:color="808080"/>
                    <w:right w:val="nil"/>
                  </w:tcBorders>
                  <w:shd w:val="clear" w:color="000000" w:fill="F9F9F9"/>
                  <w:noWrap/>
                  <w:vAlign w:val="center"/>
                  <w:hideMark/>
                </w:tcPr>
                <w:p w14:paraId="161223AC"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2.5</w:t>
                  </w:r>
                </w:p>
              </w:tc>
              <w:tc>
                <w:tcPr>
                  <w:tcW w:w="992" w:type="dxa"/>
                  <w:tcBorders>
                    <w:top w:val="nil"/>
                    <w:left w:val="nil"/>
                    <w:bottom w:val="dotted" w:sz="4" w:space="0" w:color="808080"/>
                    <w:right w:val="nil"/>
                  </w:tcBorders>
                  <w:shd w:val="clear" w:color="000000" w:fill="F9F9F9"/>
                  <w:noWrap/>
                  <w:vAlign w:val="center"/>
                  <w:hideMark/>
                </w:tcPr>
                <w:p w14:paraId="50EF3229"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33.8%</w:t>
                  </w:r>
                </w:p>
              </w:tc>
            </w:tr>
            <w:tr w:rsidR="00CD799E" w:rsidRPr="00CD799E" w14:paraId="5AAE5AD6" w14:textId="77777777" w:rsidTr="005743C9">
              <w:trPr>
                <w:trHeight w:val="330"/>
              </w:trPr>
              <w:tc>
                <w:tcPr>
                  <w:tcW w:w="3301" w:type="dxa"/>
                  <w:tcBorders>
                    <w:top w:val="nil"/>
                    <w:left w:val="nil"/>
                    <w:bottom w:val="dotted" w:sz="4" w:space="0" w:color="808080"/>
                    <w:right w:val="nil"/>
                  </w:tcBorders>
                  <w:shd w:val="clear" w:color="000000" w:fill="F9F9F9"/>
                  <w:noWrap/>
                  <w:vAlign w:val="center"/>
                  <w:hideMark/>
                </w:tcPr>
                <w:p w14:paraId="32B83A46"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including: railways</w:t>
                  </w:r>
                </w:p>
              </w:tc>
              <w:tc>
                <w:tcPr>
                  <w:tcW w:w="1275" w:type="dxa"/>
                  <w:tcBorders>
                    <w:top w:val="nil"/>
                    <w:left w:val="nil"/>
                    <w:bottom w:val="dotted" w:sz="4" w:space="0" w:color="808080"/>
                    <w:right w:val="nil"/>
                  </w:tcBorders>
                  <w:shd w:val="clear" w:color="000000" w:fill="F9F9F9"/>
                  <w:noWrap/>
                  <w:vAlign w:val="center"/>
                  <w:hideMark/>
                </w:tcPr>
                <w:p w14:paraId="60A063A6"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1.6</w:t>
                  </w:r>
                </w:p>
              </w:tc>
              <w:tc>
                <w:tcPr>
                  <w:tcW w:w="1276" w:type="dxa"/>
                  <w:tcBorders>
                    <w:top w:val="nil"/>
                    <w:left w:val="nil"/>
                    <w:bottom w:val="dotted" w:sz="4" w:space="0" w:color="808080"/>
                    <w:right w:val="nil"/>
                  </w:tcBorders>
                  <w:shd w:val="clear" w:color="000000" w:fill="F9F9F9"/>
                  <w:noWrap/>
                  <w:vAlign w:val="center"/>
                  <w:hideMark/>
                </w:tcPr>
                <w:p w14:paraId="041BB771"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1.3</w:t>
                  </w:r>
                </w:p>
              </w:tc>
              <w:tc>
                <w:tcPr>
                  <w:tcW w:w="992" w:type="dxa"/>
                  <w:tcBorders>
                    <w:top w:val="nil"/>
                    <w:left w:val="nil"/>
                    <w:bottom w:val="dotted" w:sz="4" w:space="0" w:color="808080"/>
                    <w:right w:val="nil"/>
                  </w:tcBorders>
                  <w:shd w:val="clear" w:color="000000" w:fill="F9F9F9"/>
                  <w:noWrap/>
                  <w:vAlign w:val="center"/>
                  <w:hideMark/>
                </w:tcPr>
                <w:p w14:paraId="36591F40" w14:textId="77777777" w:rsidR="00CD799E" w:rsidRPr="00CD799E" w:rsidRDefault="00CD799E" w:rsidP="00CD799E">
                  <w:pPr>
                    <w:spacing w:after="0" w:line="240" w:lineRule="auto"/>
                    <w:rPr>
                      <w:rFonts w:ascii="Tahoma" w:eastAsia="Times New Roman" w:hAnsi="Tahoma" w:cs="Tahoma"/>
                      <w:i/>
                      <w:iCs/>
                      <w:color w:val="404040"/>
                      <w:sz w:val="20"/>
                      <w:szCs w:val="20"/>
                    </w:rPr>
                  </w:pPr>
                  <w:r>
                    <w:rPr>
                      <w:rFonts w:ascii="Tahoma" w:hAnsi="Tahoma"/>
                      <w:i/>
                      <w:color w:val="404040"/>
                      <w:sz w:val="20"/>
                    </w:rPr>
                    <w:t>20.8%</w:t>
                  </w:r>
                </w:p>
              </w:tc>
            </w:tr>
            <w:tr w:rsidR="00CD799E" w:rsidRPr="00CD799E" w14:paraId="2AC89F76" w14:textId="77777777" w:rsidTr="005743C9">
              <w:trPr>
                <w:trHeight w:val="285"/>
              </w:trPr>
              <w:tc>
                <w:tcPr>
                  <w:tcW w:w="3301" w:type="dxa"/>
                  <w:tcBorders>
                    <w:top w:val="nil"/>
                    <w:left w:val="nil"/>
                    <w:bottom w:val="nil"/>
                    <w:right w:val="nil"/>
                  </w:tcBorders>
                  <w:shd w:val="clear" w:color="000000" w:fill="F2F2F2"/>
                  <w:noWrap/>
                  <w:vAlign w:val="center"/>
                  <w:hideMark/>
                </w:tcPr>
                <w:p w14:paraId="5FA5EA5B" w14:textId="77777777" w:rsidR="00CD799E" w:rsidRPr="00CD799E" w:rsidRDefault="00CD799E" w:rsidP="00CD799E">
                  <w:pPr>
                    <w:spacing w:after="0" w:line="240" w:lineRule="auto"/>
                    <w:rPr>
                      <w:rFonts w:ascii="Tahoma" w:eastAsia="Times New Roman" w:hAnsi="Tahoma" w:cs="Tahoma"/>
                      <w:color w:val="404040"/>
                    </w:rPr>
                  </w:pPr>
                  <w:r>
                    <w:rPr>
                      <w:rFonts w:ascii="Tahoma" w:hAnsi="Tahoma"/>
                      <w:color w:val="404040"/>
                    </w:rPr>
                    <w:t>share</w:t>
                  </w:r>
                </w:p>
              </w:tc>
              <w:tc>
                <w:tcPr>
                  <w:tcW w:w="1275" w:type="dxa"/>
                  <w:tcBorders>
                    <w:top w:val="nil"/>
                    <w:left w:val="nil"/>
                    <w:bottom w:val="nil"/>
                    <w:right w:val="nil"/>
                  </w:tcBorders>
                  <w:shd w:val="clear" w:color="000000" w:fill="F2F2F2"/>
                  <w:noWrap/>
                  <w:vAlign w:val="center"/>
                  <w:hideMark/>
                </w:tcPr>
                <w:p w14:paraId="7B1C7BE6" w14:textId="77777777" w:rsidR="00CD799E" w:rsidRPr="00CD799E" w:rsidRDefault="00CD799E" w:rsidP="00CD799E">
                  <w:pPr>
                    <w:spacing w:after="0" w:line="240" w:lineRule="auto"/>
                    <w:rPr>
                      <w:rFonts w:ascii="Tahoma" w:eastAsia="Times New Roman" w:hAnsi="Tahoma" w:cs="Tahoma"/>
                      <w:color w:val="404040"/>
                    </w:rPr>
                  </w:pPr>
                  <w:r>
                    <w:rPr>
                      <w:rFonts w:ascii="Tahoma" w:hAnsi="Tahoma"/>
                      <w:color w:val="404040"/>
                    </w:rPr>
                    <w:t>46.2%</w:t>
                  </w:r>
                </w:p>
              </w:tc>
              <w:tc>
                <w:tcPr>
                  <w:tcW w:w="1276" w:type="dxa"/>
                  <w:tcBorders>
                    <w:top w:val="nil"/>
                    <w:left w:val="nil"/>
                    <w:bottom w:val="nil"/>
                    <w:right w:val="nil"/>
                  </w:tcBorders>
                  <w:shd w:val="clear" w:color="000000" w:fill="F2F2F2"/>
                  <w:noWrap/>
                  <w:vAlign w:val="center"/>
                  <w:hideMark/>
                </w:tcPr>
                <w:p w14:paraId="0ECA1467" w14:textId="77777777" w:rsidR="00CD799E" w:rsidRPr="00CD799E" w:rsidRDefault="00CD799E" w:rsidP="00CD799E">
                  <w:pPr>
                    <w:spacing w:after="0" w:line="240" w:lineRule="auto"/>
                    <w:rPr>
                      <w:rFonts w:ascii="Tahoma" w:eastAsia="Times New Roman" w:hAnsi="Tahoma" w:cs="Tahoma"/>
                      <w:color w:val="404040"/>
                    </w:rPr>
                  </w:pPr>
                  <w:r>
                    <w:rPr>
                      <w:rFonts w:ascii="Tahoma" w:hAnsi="Tahoma"/>
                      <w:color w:val="404040"/>
                    </w:rPr>
                    <w:t>41.4%</w:t>
                  </w:r>
                </w:p>
              </w:tc>
              <w:tc>
                <w:tcPr>
                  <w:tcW w:w="992" w:type="dxa"/>
                  <w:tcBorders>
                    <w:top w:val="nil"/>
                    <w:left w:val="nil"/>
                    <w:bottom w:val="nil"/>
                    <w:right w:val="nil"/>
                  </w:tcBorders>
                  <w:shd w:val="clear" w:color="000000" w:fill="F2F2F2"/>
                  <w:noWrap/>
                  <w:vAlign w:val="center"/>
                  <w:hideMark/>
                </w:tcPr>
                <w:p w14:paraId="797D71FB" w14:textId="77777777" w:rsidR="00CD799E" w:rsidRPr="00CD799E" w:rsidRDefault="00CD799E" w:rsidP="00CD799E">
                  <w:pPr>
                    <w:spacing w:after="0" w:line="240" w:lineRule="auto"/>
                    <w:rPr>
                      <w:rFonts w:ascii="Tahoma" w:eastAsia="Times New Roman" w:hAnsi="Tahoma" w:cs="Tahoma"/>
                      <w:color w:val="404040"/>
                    </w:rPr>
                  </w:pPr>
                  <w:r>
                    <w:rPr>
                      <w:rFonts w:ascii="Tahoma" w:hAnsi="Tahoma"/>
                      <w:color w:val="404040"/>
                    </w:rPr>
                    <w:t>4.8%</w:t>
                  </w:r>
                </w:p>
              </w:tc>
            </w:tr>
          </w:tbl>
          <w:p w14:paraId="5DAA4255" w14:textId="77777777" w:rsidR="00CD799E" w:rsidRDefault="00CD799E" w:rsidP="00417A3F">
            <w:pPr>
              <w:spacing w:line="360" w:lineRule="auto"/>
              <w:jc w:val="both"/>
              <w:rPr>
                <w:rFonts w:ascii="Tahoma" w:eastAsia="Tahoma" w:hAnsi="Tahoma" w:cs="Tahoma"/>
                <w:bCs/>
                <w:color w:val="808080"/>
                <w:sz w:val="18"/>
                <w:szCs w:val="18"/>
                <w:highlight w:val="green"/>
              </w:rPr>
            </w:pPr>
          </w:p>
          <w:p w14:paraId="253CEDD0" w14:textId="77777777" w:rsidR="00F243DA" w:rsidRPr="00FC43CA" w:rsidRDefault="00F243DA" w:rsidP="00417A3F">
            <w:pPr>
              <w:spacing w:line="360" w:lineRule="auto"/>
              <w:jc w:val="both"/>
              <w:rPr>
                <w:rFonts w:ascii="Tahoma" w:eastAsia="Tahoma" w:hAnsi="Tahoma" w:cs="Tahoma"/>
                <w:b/>
                <w:color w:val="808080"/>
                <w:sz w:val="18"/>
                <w:szCs w:val="18"/>
                <w:highlight w:val="green"/>
              </w:rPr>
            </w:pPr>
          </w:p>
          <w:p w14:paraId="3E85F3A8" w14:textId="60A0CD97" w:rsidR="0080729F" w:rsidRPr="007C69AF" w:rsidRDefault="0080729F" w:rsidP="005B039B">
            <w:pPr>
              <w:spacing w:line="360" w:lineRule="auto"/>
              <w:jc w:val="both"/>
              <w:rPr>
                <w:rFonts w:ascii="Tahoma" w:eastAsia="Tahoma" w:hAnsi="Tahoma" w:cs="Tahoma"/>
                <w:b/>
                <w:color w:val="808080"/>
                <w:sz w:val="18"/>
                <w:szCs w:val="18"/>
                <w:highlight w:val="yellow"/>
              </w:rPr>
            </w:pPr>
          </w:p>
          <w:p w14:paraId="0D456B7E" w14:textId="22C3FE31" w:rsidR="00F243DA" w:rsidRDefault="00807471" w:rsidP="00807471">
            <w:pPr>
              <w:spacing w:line="360" w:lineRule="auto"/>
              <w:jc w:val="both"/>
              <w:rPr>
                <w:rFonts w:ascii="Tahoma" w:eastAsia="Tahoma" w:hAnsi="Tahoma" w:cs="Tahoma"/>
                <w:b/>
                <w:color w:val="808080"/>
                <w:sz w:val="18"/>
                <w:szCs w:val="18"/>
              </w:rPr>
            </w:pPr>
            <w:r>
              <w:rPr>
                <w:rFonts w:ascii="Tahoma" w:hAnsi="Tahoma"/>
                <w:b/>
                <w:color w:val="808080"/>
                <w:sz w:val="18"/>
              </w:rPr>
              <w:t xml:space="preserve">Sales of the Budimex Group's construction segment amounted to PLN 1,724 million in Q1 2023 (+20.1% y/y), while recording am increase in both operating profitability (from 3.0% to 4.7%) and gross profitability (from 3.2% to 7.0%). </w:t>
            </w:r>
          </w:p>
          <w:p w14:paraId="7349A156" w14:textId="77777777" w:rsidR="00807471" w:rsidRDefault="00807471" w:rsidP="00807471">
            <w:pPr>
              <w:spacing w:line="360" w:lineRule="auto"/>
              <w:jc w:val="both"/>
              <w:rPr>
                <w:rFonts w:ascii="Tahoma" w:eastAsia="Tahoma" w:hAnsi="Tahoma" w:cs="Tahoma"/>
                <w:b/>
                <w:color w:val="808080"/>
                <w:sz w:val="18"/>
                <w:szCs w:val="18"/>
              </w:rPr>
            </w:pPr>
          </w:p>
          <w:tbl>
            <w:tblPr>
              <w:tblW w:w="6800" w:type="dxa"/>
              <w:tblLayout w:type="fixed"/>
              <w:tblCellMar>
                <w:left w:w="70" w:type="dxa"/>
                <w:right w:w="70" w:type="dxa"/>
              </w:tblCellMar>
              <w:tblLook w:val="04A0" w:firstRow="1" w:lastRow="0" w:firstColumn="1" w:lastColumn="0" w:noHBand="0" w:noVBand="1"/>
            </w:tblPr>
            <w:tblGrid>
              <w:gridCol w:w="2600"/>
              <w:gridCol w:w="1460"/>
              <w:gridCol w:w="1480"/>
              <w:gridCol w:w="1260"/>
            </w:tblGrid>
            <w:tr w:rsidR="00807471" w:rsidRPr="0047138D" w14:paraId="68298CC0" w14:textId="77777777" w:rsidTr="00715BCE">
              <w:trPr>
                <w:trHeight w:val="348"/>
              </w:trPr>
              <w:tc>
                <w:tcPr>
                  <w:tcW w:w="2600" w:type="dxa"/>
                  <w:vMerge w:val="restart"/>
                  <w:tcBorders>
                    <w:top w:val="nil"/>
                    <w:left w:val="nil"/>
                    <w:bottom w:val="nil"/>
                    <w:right w:val="nil"/>
                  </w:tcBorders>
                  <w:shd w:val="clear" w:color="000000" w:fill="595959"/>
                  <w:vAlign w:val="center"/>
                  <w:hideMark/>
                </w:tcPr>
                <w:p w14:paraId="6ABF62D7" w14:textId="5FC00EAB" w:rsidR="00807471" w:rsidRPr="0047138D" w:rsidRDefault="00807471" w:rsidP="00807471">
                  <w:pPr>
                    <w:spacing w:after="0" w:line="240" w:lineRule="auto"/>
                    <w:rPr>
                      <w:rFonts w:ascii="Tahoma" w:eastAsia="Times New Roman" w:hAnsi="Tahoma" w:cs="Tahoma"/>
                      <w:b/>
                      <w:bCs/>
                      <w:color w:val="FFFFFF"/>
                    </w:rPr>
                  </w:pPr>
                  <w:r>
                    <w:rPr>
                      <w:rFonts w:ascii="Tahoma" w:hAnsi="Tahoma"/>
                      <w:b/>
                      <w:color w:val="FFFFFF"/>
                    </w:rPr>
                    <w:t>Construction segment</w:t>
                  </w:r>
                  <w:r>
                    <w:rPr>
                      <w:rFonts w:ascii="Tahoma" w:hAnsi="Tahoma"/>
                      <w:b/>
                      <w:color w:val="FFFFFF"/>
                    </w:rPr>
                    <w:br/>
                    <w:t>(PLN million)</w:t>
                  </w:r>
                </w:p>
              </w:tc>
              <w:tc>
                <w:tcPr>
                  <w:tcW w:w="4200" w:type="dxa"/>
                  <w:gridSpan w:val="3"/>
                  <w:tcBorders>
                    <w:top w:val="nil"/>
                    <w:left w:val="nil"/>
                    <w:bottom w:val="single" w:sz="4" w:space="0" w:color="000000"/>
                    <w:right w:val="nil"/>
                  </w:tcBorders>
                  <w:shd w:val="clear" w:color="000000" w:fill="BFBFBF"/>
                  <w:noWrap/>
                  <w:vAlign w:val="center"/>
                  <w:hideMark/>
                </w:tcPr>
                <w:p w14:paraId="4B3FC306" w14:textId="77777777" w:rsidR="00807471" w:rsidRPr="0047138D" w:rsidRDefault="00807471" w:rsidP="00807471">
                  <w:pPr>
                    <w:spacing w:after="0" w:line="240" w:lineRule="auto"/>
                    <w:jc w:val="center"/>
                    <w:rPr>
                      <w:rFonts w:ascii="Tahoma" w:eastAsia="Times New Roman" w:hAnsi="Tahoma" w:cs="Tahoma"/>
                      <w:b/>
                      <w:bCs/>
                      <w:color w:val="000000"/>
                    </w:rPr>
                  </w:pPr>
                  <w:r>
                    <w:rPr>
                      <w:rFonts w:ascii="Tahoma" w:hAnsi="Tahoma"/>
                      <w:b/>
                      <w:color w:val="000000"/>
                    </w:rPr>
                    <w:t>Profit and loss account</w:t>
                  </w:r>
                </w:p>
              </w:tc>
            </w:tr>
            <w:tr w:rsidR="00807471" w:rsidRPr="0047138D" w14:paraId="0270A275" w14:textId="77777777" w:rsidTr="00715BCE">
              <w:trPr>
                <w:trHeight w:val="540"/>
              </w:trPr>
              <w:tc>
                <w:tcPr>
                  <w:tcW w:w="2600" w:type="dxa"/>
                  <w:vMerge/>
                  <w:tcBorders>
                    <w:top w:val="nil"/>
                    <w:left w:val="nil"/>
                    <w:bottom w:val="nil"/>
                    <w:right w:val="nil"/>
                  </w:tcBorders>
                  <w:vAlign w:val="center"/>
                  <w:hideMark/>
                </w:tcPr>
                <w:p w14:paraId="1D099E35" w14:textId="77777777" w:rsidR="00807471" w:rsidRPr="0047138D" w:rsidRDefault="00807471" w:rsidP="00807471">
                  <w:pPr>
                    <w:spacing w:after="0" w:line="240" w:lineRule="auto"/>
                    <w:rPr>
                      <w:rFonts w:ascii="Tahoma" w:eastAsia="Times New Roman" w:hAnsi="Tahoma" w:cs="Tahoma"/>
                      <w:b/>
                      <w:bCs/>
                      <w:color w:val="FFFFFF"/>
                    </w:rPr>
                  </w:pPr>
                </w:p>
              </w:tc>
              <w:tc>
                <w:tcPr>
                  <w:tcW w:w="1460" w:type="dxa"/>
                  <w:tcBorders>
                    <w:top w:val="nil"/>
                    <w:left w:val="nil"/>
                    <w:bottom w:val="nil"/>
                    <w:right w:val="nil"/>
                  </w:tcBorders>
                  <w:shd w:val="clear" w:color="000000" w:fill="BFBFBF"/>
                  <w:vAlign w:val="center"/>
                  <w:hideMark/>
                </w:tcPr>
                <w:p w14:paraId="150725C8" w14:textId="6460357E" w:rsidR="00807471" w:rsidRPr="0047138D" w:rsidRDefault="00F243DA" w:rsidP="00807471">
                  <w:pPr>
                    <w:spacing w:after="0" w:line="240" w:lineRule="auto"/>
                    <w:jc w:val="center"/>
                    <w:rPr>
                      <w:rFonts w:ascii="Tahoma" w:eastAsia="Times New Roman" w:hAnsi="Tahoma" w:cs="Tahoma"/>
                      <w:color w:val="000000"/>
                    </w:rPr>
                  </w:pPr>
                  <w:r>
                    <w:rPr>
                      <w:rFonts w:ascii="Tahoma" w:hAnsi="Tahoma"/>
                      <w:color w:val="000000"/>
                    </w:rPr>
                    <w:t>Q1 2023</w:t>
                  </w:r>
                </w:p>
              </w:tc>
              <w:tc>
                <w:tcPr>
                  <w:tcW w:w="1480" w:type="dxa"/>
                  <w:tcBorders>
                    <w:top w:val="nil"/>
                    <w:left w:val="single" w:sz="4" w:space="0" w:color="000000"/>
                    <w:bottom w:val="single" w:sz="8" w:space="0" w:color="000000"/>
                    <w:right w:val="single" w:sz="4" w:space="0" w:color="000000"/>
                  </w:tcBorders>
                  <w:shd w:val="clear" w:color="000000" w:fill="BFBFBF"/>
                  <w:vAlign w:val="center"/>
                  <w:hideMark/>
                </w:tcPr>
                <w:p w14:paraId="4E412AEB" w14:textId="20D64BB1" w:rsidR="00807471" w:rsidRPr="0047138D" w:rsidRDefault="00F243DA" w:rsidP="00807471">
                  <w:pPr>
                    <w:spacing w:after="0" w:line="240" w:lineRule="auto"/>
                    <w:jc w:val="center"/>
                    <w:rPr>
                      <w:rFonts w:ascii="Tahoma" w:eastAsia="Times New Roman" w:hAnsi="Tahoma" w:cs="Tahoma"/>
                      <w:color w:val="000000"/>
                    </w:rPr>
                  </w:pPr>
                  <w:r>
                    <w:rPr>
                      <w:rFonts w:ascii="Tahoma" w:hAnsi="Tahoma"/>
                      <w:color w:val="000000"/>
                    </w:rPr>
                    <w:t>Q1 2022</w:t>
                  </w:r>
                </w:p>
              </w:tc>
              <w:tc>
                <w:tcPr>
                  <w:tcW w:w="1260" w:type="dxa"/>
                  <w:tcBorders>
                    <w:top w:val="nil"/>
                    <w:left w:val="nil"/>
                    <w:bottom w:val="single" w:sz="8" w:space="0" w:color="000000"/>
                    <w:right w:val="nil"/>
                  </w:tcBorders>
                  <w:shd w:val="clear" w:color="000000" w:fill="BFBFBF"/>
                  <w:noWrap/>
                  <w:vAlign w:val="center"/>
                  <w:hideMark/>
                </w:tcPr>
                <w:p w14:paraId="35185B3A" w14:textId="77777777" w:rsidR="00807471" w:rsidRPr="0047138D" w:rsidRDefault="00807471" w:rsidP="00807471">
                  <w:pPr>
                    <w:spacing w:after="0" w:line="240" w:lineRule="auto"/>
                    <w:jc w:val="center"/>
                    <w:rPr>
                      <w:rFonts w:ascii="Tahoma" w:eastAsia="Times New Roman" w:hAnsi="Tahoma" w:cs="Tahoma"/>
                      <w:color w:val="000000"/>
                    </w:rPr>
                  </w:pPr>
                  <w:r>
                    <w:rPr>
                      <w:rFonts w:ascii="Tahoma" w:hAnsi="Tahoma"/>
                      <w:color w:val="000000"/>
                    </w:rPr>
                    <w:t>y/y</w:t>
                  </w:r>
                </w:p>
              </w:tc>
            </w:tr>
            <w:tr w:rsidR="00807471" w:rsidRPr="0047138D" w14:paraId="11FA557C" w14:textId="77777777" w:rsidTr="00715BCE">
              <w:trPr>
                <w:trHeight w:val="420"/>
              </w:trPr>
              <w:tc>
                <w:tcPr>
                  <w:tcW w:w="2600" w:type="dxa"/>
                  <w:tcBorders>
                    <w:top w:val="single" w:sz="8" w:space="0" w:color="auto"/>
                    <w:left w:val="nil"/>
                    <w:bottom w:val="nil"/>
                    <w:right w:val="nil"/>
                  </w:tcBorders>
                  <w:shd w:val="clear" w:color="000000" w:fill="FFC000"/>
                  <w:noWrap/>
                  <w:vAlign w:val="center"/>
                  <w:hideMark/>
                </w:tcPr>
                <w:p w14:paraId="36150293"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Sale</w:t>
                  </w:r>
                </w:p>
              </w:tc>
              <w:tc>
                <w:tcPr>
                  <w:tcW w:w="1460" w:type="dxa"/>
                  <w:tcBorders>
                    <w:top w:val="single" w:sz="8" w:space="0" w:color="auto"/>
                    <w:left w:val="nil"/>
                    <w:bottom w:val="nil"/>
                    <w:right w:val="nil"/>
                  </w:tcBorders>
                  <w:shd w:val="clear" w:color="000000" w:fill="FFC000"/>
                  <w:noWrap/>
                  <w:vAlign w:val="center"/>
                  <w:hideMark/>
                </w:tcPr>
                <w:p w14:paraId="5F10915A"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1724</w:t>
                  </w:r>
                </w:p>
              </w:tc>
              <w:tc>
                <w:tcPr>
                  <w:tcW w:w="1480" w:type="dxa"/>
                  <w:tcBorders>
                    <w:top w:val="nil"/>
                    <w:left w:val="nil"/>
                    <w:bottom w:val="nil"/>
                    <w:right w:val="nil"/>
                  </w:tcBorders>
                  <w:shd w:val="clear" w:color="000000" w:fill="FFC000"/>
                  <w:noWrap/>
                  <w:vAlign w:val="center"/>
                  <w:hideMark/>
                </w:tcPr>
                <w:p w14:paraId="19A51346"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1436</w:t>
                  </w:r>
                </w:p>
              </w:tc>
              <w:tc>
                <w:tcPr>
                  <w:tcW w:w="1260" w:type="dxa"/>
                  <w:tcBorders>
                    <w:top w:val="nil"/>
                    <w:left w:val="nil"/>
                    <w:bottom w:val="single" w:sz="8" w:space="0" w:color="auto"/>
                    <w:right w:val="nil"/>
                  </w:tcBorders>
                  <w:shd w:val="clear" w:color="000000" w:fill="FFC000"/>
                  <w:noWrap/>
                  <w:vAlign w:val="center"/>
                  <w:hideMark/>
                </w:tcPr>
                <w:p w14:paraId="6CE11548"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20.1%</w:t>
                  </w:r>
                </w:p>
              </w:tc>
            </w:tr>
            <w:tr w:rsidR="00807471" w:rsidRPr="0047138D" w14:paraId="2F904FBD" w14:textId="77777777" w:rsidTr="00715BCE">
              <w:trPr>
                <w:trHeight w:val="420"/>
              </w:trPr>
              <w:tc>
                <w:tcPr>
                  <w:tcW w:w="2600" w:type="dxa"/>
                  <w:tcBorders>
                    <w:top w:val="single" w:sz="8" w:space="0" w:color="auto"/>
                    <w:left w:val="nil"/>
                    <w:bottom w:val="nil"/>
                    <w:right w:val="nil"/>
                  </w:tcBorders>
                  <w:shd w:val="clear" w:color="000000" w:fill="F2F2F2"/>
                  <w:noWrap/>
                  <w:vAlign w:val="center"/>
                  <w:hideMark/>
                </w:tcPr>
                <w:p w14:paraId="4BAE1FEE"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Operational profit</w:t>
                  </w:r>
                </w:p>
              </w:tc>
              <w:tc>
                <w:tcPr>
                  <w:tcW w:w="1460" w:type="dxa"/>
                  <w:tcBorders>
                    <w:top w:val="single" w:sz="8" w:space="0" w:color="auto"/>
                    <w:left w:val="nil"/>
                    <w:bottom w:val="nil"/>
                    <w:right w:val="nil"/>
                  </w:tcBorders>
                  <w:shd w:val="clear" w:color="000000" w:fill="F2F2F2"/>
                  <w:noWrap/>
                  <w:vAlign w:val="center"/>
                  <w:hideMark/>
                </w:tcPr>
                <w:p w14:paraId="720BDBE7"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81</w:t>
                  </w:r>
                </w:p>
              </w:tc>
              <w:tc>
                <w:tcPr>
                  <w:tcW w:w="1480" w:type="dxa"/>
                  <w:tcBorders>
                    <w:top w:val="single" w:sz="8" w:space="0" w:color="auto"/>
                    <w:left w:val="nil"/>
                    <w:bottom w:val="nil"/>
                    <w:right w:val="nil"/>
                  </w:tcBorders>
                  <w:shd w:val="clear" w:color="000000" w:fill="F2F2F2"/>
                  <w:noWrap/>
                  <w:vAlign w:val="center"/>
                  <w:hideMark/>
                </w:tcPr>
                <w:p w14:paraId="4C002314"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43</w:t>
                  </w:r>
                </w:p>
              </w:tc>
              <w:tc>
                <w:tcPr>
                  <w:tcW w:w="1260" w:type="dxa"/>
                  <w:tcBorders>
                    <w:top w:val="nil"/>
                    <w:left w:val="nil"/>
                    <w:bottom w:val="nil"/>
                    <w:right w:val="nil"/>
                  </w:tcBorders>
                  <w:shd w:val="clear" w:color="000000" w:fill="F2F2F2"/>
                  <w:noWrap/>
                  <w:vAlign w:val="center"/>
                  <w:hideMark/>
                </w:tcPr>
                <w:p w14:paraId="3C4EA157"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88.8%</w:t>
                  </w:r>
                </w:p>
              </w:tc>
            </w:tr>
            <w:tr w:rsidR="00807471" w:rsidRPr="0047138D" w14:paraId="5B40AE68" w14:textId="77777777" w:rsidTr="00715BCE">
              <w:trPr>
                <w:trHeight w:val="252"/>
              </w:trPr>
              <w:tc>
                <w:tcPr>
                  <w:tcW w:w="2600" w:type="dxa"/>
                  <w:tcBorders>
                    <w:top w:val="nil"/>
                    <w:left w:val="nil"/>
                    <w:bottom w:val="nil"/>
                    <w:right w:val="nil"/>
                  </w:tcBorders>
                  <w:shd w:val="clear" w:color="000000" w:fill="F2F2F2"/>
                  <w:noWrap/>
                  <w:vAlign w:val="center"/>
                  <w:hideMark/>
                </w:tcPr>
                <w:p w14:paraId="4E4FC3ED"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 of sales</w:t>
                  </w:r>
                </w:p>
              </w:tc>
              <w:tc>
                <w:tcPr>
                  <w:tcW w:w="1460" w:type="dxa"/>
                  <w:tcBorders>
                    <w:top w:val="nil"/>
                    <w:left w:val="nil"/>
                    <w:bottom w:val="single" w:sz="4" w:space="0" w:color="auto"/>
                    <w:right w:val="nil"/>
                  </w:tcBorders>
                  <w:shd w:val="clear" w:color="000000" w:fill="F2F2F2"/>
                  <w:noWrap/>
                  <w:vAlign w:val="center"/>
                  <w:hideMark/>
                </w:tcPr>
                <w:p w14:paraId="651C32C3"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4.7%</w:t>
                  </w:r>
                </w:p>
              </w:tc>
              <w:tc>
                <w:tcPr>
                  <w:tcW w:w="1480" w:type="dxa"/>
                  <w:tcBorders>
                    <w:top w:val="nil"/>
                    <w:left w:val="nil"/>
                    <w:bottom w:val="single" w:sz="4" w:space="0" w:color="auto"/>
                    <w:right w:val="nil"/>
                  </w:tcBorders>
                  <w:shd w:val="clear" w:color="000000" w:fill="F2F2F2"/>
                  <w:noWrap/>
                  <w:vAlign w:val="center"/>
                  <w:hideMark/>
                </w:tcPr>
                <w:p w14:paraId="05D4509D"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3.0%</w:t>
                  </w:r>
                </w:p>
              </w:tc>
              <w:tc>
                <w:tcPr>
                  <w:tcW w:w="1260" w:type="dxa"/>
                  <w:tcBorders>
                    <w:top w:val="nil"/>
                    <w:left w:val="nil"/>
                    <w:bottom w:val="nil"/>
                    <w:right w:val="nil"/>
                  </w:tcBorders>
                  <w:shd w:val="clear" w:color="000000" w:fill="F2F2F2"/>
                  <w:noWrap/>
                  <w:vAlign w:val="center"/>
                  <w:hideMark/>
                </w:tcPr>
                <w:p w14:paraId="3D254E7C" w14:textId="48A4465A"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1.7 pp.</w:t>
                  </w:r>
                </w:p>
              </w:tc>
            </w:tr>
            <w:tr w:rsidR="00807471" w:rsidRPr="0047138D" w14:paraId="065C873B" w14:textId="77777777" w:rsidTr="00715BCE">
              <w:trPr>
                <w:trHeight w:val="420"/>
              </w:trPr>
              <w:tc>
                <w:tcPr>
                  <w:tcW w:w="2600" w:type="dxa"/>
                  <w:tcBorders>
                    <w:top w:val="single" w:sz="4" w:space="0" w:color="auto"/>
                    <w:left w:val="nil"/>
                    <w:bottom w:val="nil"/>
                    <w:right w:val="nil"/>
                  </w:tcBorders>
                  <w:shd w:val="clear" w:color="000000" w:fill="F2F2F2"/>
                  <w:noWrap/>
                  <w:vAlign w:val="center"/>
                  <w:hideMark/>
                </w:tcPr>
                <w:p w14:paraId="5B6FB0EF"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Gross profit</w:t>
                  </w:r>
                </w:p>
              </w:tc>
              <w:tc>
                <w:tcPr>
                  <w:tcW w:w="1460" w:type="dxa"/>
                  <w:tcBorders>
                    <w:top w:val="nil"/>
                    <w:left w:val="nil"/>
                    <w:bottom w:val="nil"/>
                    <w:right w:val="nil"/>
                  </w:tcBorders>
                  <w:shd w:val="clear" w:color="000000" w:fill="F2F2F2"/>
                  <w:noWrap/>
                  <w:vAlign w:val="center"/>
                  <w:hideMark/>
                </w:tcPr>
                <w:p w14:paraId="66E3A2E7"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121</w:t>
                  </w:r>
                </w:p>
              </w:tc>
              <w:tc>
                <w:tcPr>
                  <w:tcW w:w="1480" w:type="dxa"/>
                  <w:tcBorders>
                    <w:top w:val="nil"/>
                    <w:left w:val="nil"/>
                    <w:bottom w:val="nil"/>
                    <w:right w:val="nil"/>
                  </w:tcBorders>
                  <w:shd w:val="clear" w:color="000000" w:fill="F2F2F2"/>
                  <w:noWrap/>
                  <w:vAlign w:val="center"/>
                  <w:hideMark/>
                </w:tcPr>
                <w:p w14:paraId="45ED6F34"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46</w:t>
                  </w:r>
                </w:p>
              </w:tc>
              <w:tc>
                <w:tcPr>
                  <w:tcW w:w="1260" w:type="dxa"/>
                  <w:tcBorders>
                    <w:top w:val="single" w:sz="4" w:space="0" w:color="auto"/>
                    <w:left w:val="nil"/>
                    <w:bottom w:val="nil"/>
                    <w:right w:val="nil"/>
                  </w:tcBorders>
                  <w:shd w:val="clear" w:color="000000" w:fill="F2F2F2"/>
                  <w:noWrap/>
                  <w:vAlign w:val="center"/>
                  <w:hideMark/>
                </w:tcPr>
                <w:p w14:paraId="40CFFE53"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165.1%</w:t>
                  </w:r>
                </w:p>
              </w:tc>
            </w:tr>
            <w:tr w:rsidR="00807471" w:rsidRPr="0047138D" w14:paraId="00B3371B" w14:textId="77777777" w:rsidTr="00715BCE">
              <w:trPr>
                <w:trHeight w:val="252"/>
              </w:trPr>
              <w:tc>
                <w:tcPr>
                  <w:tcW w:w="2600" w:type="dxa"/>
                  <w:tcBorders>
                    <w:top w:val="nil"/>
                    <w:left w:val="nil"/>
                    <w:bottom w:val="nil"/>
                    <w:right w:val="nil"/>
                  </w:tcBorders>
                  <w:shd w:val="clear" w:color="000000" w:fill="F2F2F2"/>
                  <w:noWrap/>
                  <w:vAlign w:val="center"/>
                  <w:hideMark/>
                </w:tcPr>
                <w:p w14:paraId="26BC8414"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 of sales</w:t>
                  </w:r>
                </w:p>
              </w:tc>
              <w:tc>
                <w:tcPr>
                  <w:tcW w:w="1460" w:type="dxa"/>
                  <w:tcBorders>
                    <w:top w:val="nil"/>
                    <w:left w:val="nil"/>
                    <w:bottom w:val="nil"/>
                    <w:right w:val="nil"/>
                  </w:tcBorders>
                  <w:shd w:val="clear" w:color="000000" w:fill="F2F2F2"/>
                  <w:noWrap/>
                  <w:vAlign w:val="center"/>
                  <w:hideMark/>
                </w:tcPr>
                <w:p w14:paraId="2923BC19"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7.0%</w:t>
                  </w:r>
                </w:p>
              </w:tc>
              <w:tc>
                <w:tcPr>
                  <w:tcW w:w="1480" w:type="dxa"/>
                  <w:tcBorders>
                    <w:top w:val="nil"/>
                    <w:left w:val="nil"/>
                    <w:bottom w:val="nil"/>
                    <w:right w:val="nil"/>
                  </w:tcBorders>
                  <w:shd w:val="clear" w:color="000000" w:fill="F2F2F2"/>
                  <w:noWrap/>
                  <w:vAlign w:val="center"/>
                  <w:hideMark/>
                </w:tcPr>
                <w:p w14:paraId="5AF3D3D6"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3.2%</w:t>
                  </w:r>
                </w:p>
              </w:tc>
              <w:tc>
                <w:tcPr>
                  <w:tcW w:w="1260" w:type="dxa"/>
                  <w:tcBorders>
                    <w:top w:val="nil"/>
                    <w:left w:val="nil"/>
                    <w:bottom w:val="nil"/>
                    <w:right w:val="nil"/>
                  </w:tcBorders>
                  <w:shd w:val="clear" w:color="000000" w:fill="F2F2F2"/>
                  <w:noWrap/>
                  <w:vAlign w:val="center"/>
                  <w:hideMark/>
                </w:tcPr>
                <w:p w14:paraId="5712A0E4" w14:textId="612BB3E6"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3.8 pp</w:t>
                  </w:r>
                </w:p>
              </w:tc>
            </w:tr>
            <w:tr w:rsidR="00807471" w:rsidRPr="0047138D" w14:paraId="4042E35A" w14:textId="77777777" w:rsidTr="00715BCE">
              <w:trPr>
                <w:trHeight w:val="504"/>
              </w:trPr>
              <w:tc>
                <w:tcPr>
                  <w:tcW w:w="2600" w:type="dxa"/>
                  <w:tcBorders>
                    <w:top w:val="single" w:sz="4" w:space="0" w:color="auto"/>
                    <w:left w:val="nil"/>
                    <w:bottom w:val="nil"/>
                    <w:right w:val="nil"/>
                  </w:tcBorders>
                  <w:shd w:val="clear" w:color="000000" w:fill="F2F2F2"/>
                  <w:vAlign w:val="center"/>
                  <w:hideMark/>
                </w:tcPr>
                <w:p w14:paraId="7655A5FA"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Contract portfolio</w:t>
                  </w:r>
                </w:p>
              </w:tc>
              <w:tc>
                <w:tcPr>
                  <w:tcW w:w="1460" w:type="dxa"/>
                  <w:tcBorders>
                    <w:top w:val="single" w:sz="4" w:space="0" w:color="auto"/>
                    <w:left w:val="nil"/>
                    <w:bottom w:val="nil"/>
                    <w:right w:val="nil"/>
                  </w:tcBorders>
                  <w:shd w:val="clear" w:color="000000" w:fill="F2F2F2"/>
                  <w:noWrap/>
                  <w:vAlign w:val="center"/>
                  <w:hideMark/>
                </w:tcPr>
                <w:p w14:paraId="4ECD573D"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12608</w:t>
                  </w:r>
                </w:p>
              </w:tc>
              <w:tc>
                <w:tcPr>
                  <w:tcW w:w="1480" w:type="dxa"/>
                  <w:tcBorders>
                    <w:top w:val="single" w:sz="4" w:space="0" w:color="auto"/>
                    <w:left w:val="nil"/>
                    <w:bottom w:val="nil"/>
                    <w:right w:val="nil"/>
                  </w:tcBorders>
                  <w:shd w:val="clear" w:color="000000" w:fill="F2F2F2"/>
                  <w:noWrap/>
                  <w:vAlign w:val="center"/>
                  <w:hideMark/>
                </w:tcPr>
                <w:p w14:paraId="3698A86F"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13170</w:t>
                  </w:r>
                </w:p>
              </w:tc>
              <w:tc>
                <w:tcPr>
                  <w:tcW w:w="1260" w:type="dxa"/>
                  <w:tcBorders>
                    <w:top w:val="single" w:sz="4" w:space="0" w:color="auto"/>
                    <w:left w:val="nil"/>
                    <w:bottom w:val="nil"/>
                    <w:right w:val="nil"/>
                  </w:tcBorders>
                  <w:shd w:val="clear" w:color="000000" w:fill="F2F2F2"/>
                  <w:noWrap/>
                  <w:vAlign w:val="center"/>
                  <w:hideMark/>
                </w:tcPr>
                <w:p w14:paraId="19828C09"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-4.3%</w:t>
                  </w:r>
                </w:p>
              </w:tc>
            </w:tr>
            <w:tr w:rsidR="00807471" w:rsidRPr="0047138D" w14:paraId="5248E090" w14:textId="77777777" w:rsidTr="00715BCE">
              <w:trPr>
                <w:trHeight w:val="504"/>
              </w:trPr>
              <w:tc>
                <w:tcPr>
                  <w:tcW w:w="2600" w:type="dxa"/>
                  <w:tcBorders>
                    <w:top w:val="single" w:sz="4" w:space="0" w:color="auto"/>
                    <w:left w:val="nil"/>
                    <w:bottom w:val="nil"/>
                    <w:right w:val="nil"/>
                  </w:tcBorders>
                  <w:shd w:val="clear" w:color="000000" w:fill="F2F2F2"/>
                  <w:noWrap/>
                  <w:vAlign w:val="center"/>
                  <w:hideMark/>
                </w:tcPr>
                <w:p w14:paraId="6118C25E" w14:textId="77777777" w:rsidR="00807471" w:rsidRPr="0047138D" w:rsidRDefault="00807471" w:rsidP="00807471">
                  <w:pPr>
                    <w:spacing w:after="0" w:line="240" w:lineRule="auto"/>
                    <w:rPr>
                      <w:rFonts w:ascii="Tahoma" w:eastAsia="Times New Roman" w:hAnsi="Tahoma" w:cs="Tahoma"/>
                      <w:b/>
                      <w:bCs/>
                      <w:color w:val="404040"/>
                    </w:rPr>
                  </w:pPr>
                  <w:r>
                    <w:rPr>
                      <w:rFonts w:ascii="Tahoma" w:hAnsi="Tahoma"/>
                      <w:b/>
                      <w:color w:val="404040"/>
                    </w:rPr>
                    <w:t>Contracting</w:t>
                  </w:r>
                </w:p>
              </w:tc>
              <w:tc>
                <w:tcPr>
                  <w:tcW w:w="1460" w:type="dxa"/>
                  <w:tcBorders>
                    <w:top w:val="single" w:sz="4" w:space="0" w:color="auto"/>
                    <w:left w:val="nil"/>
                    <w:bottom w:val="nil"/>
                    <w:right w:val="nil"/>
                  </w:tcBorders>
                  <w:shd w:val="clear" w:color="000000" w:fill="F2F2F2"/>
                  <w:noWrap/>
                  <w:vAlign w:val="center"/>
                  <w:hideMark/>
                </w:tcPr>
                <w:p w14:paraId="0DE585B7"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615</w:t>
                  </w:r>
                </w:p>
              </w:tc>
              <w:tc>
                <w:tcPr>
                  <w:tcW w:w="1480" w:type="dxa"/>
                  <w:tcBorders>
                    <w:top w:val="single" w:sz="4" w:space="0" w:color="auto"/>
                    <w:left w:val="nil"/>
                    <w:bottom w:val="nil"/>
                    <w:right w:val="nil"/>
                  </w:tcBorders>
                  <w:shd w:val="clear" w:color="000000" w:fill="F2F2F2"/>
                  <w:noWrap/>
                  <w:vAlign w:val="center"/>
                  <w:hideMark/>
                </w:tcPr>
                <w:p w14:paraId="394770BB"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1385</w:t>
                  </w:r>
                </w:p>
              </w:tc>
              <w:tc>
                <w:tcPr>
                  <w:tcW w:w="1260" w:type="dxa"/>
                  <w:tcBorders>
                    <w:top w:val="single" w:sz="4" w:space="0" w:color="auto"/>
                    <w:left w:val="nil"/>
                    <w:bottom w:val="nil"/>
                    <w:right w:val="nil"/>
                  </w:tcBorders>
                  <w:shd w:val="clear" w:color="000000" w:fill="F2F2F2"/>
                  <w:noWrap/>
                  <w:vAlign w:val="center"/>
                  <w:hideMark/>
                </w:tcPr>
                <w:p w14:paraId="04BC9911" w14:textId="77777777" w:rsidR="00807471" w:rsidRPr="0047138D" w:rsidRDefault="00807471" w:rsidP="00807471">
                  <w:pPr>
                    <w:spacing w:after="0" w:line="240" w:lineRule="auto"/>
                    <w:rPr>
                      <w:rFonts w:ascii="Tahoma" w:eastAsia="Times New Roman" w:hAnsi="Tahoma" w:cs="Tahoma"/>
                      <w:color w:val="404040"/>
                    </w:rPr>
                  </w:pPr>
                  <w:r>
                    <w:rPr>
                      <w:rFonts w:ascii="Tahoma" w:hAnsi="Tahoma"/>
                      <w:color w:val="404040"/>
                    </w:rPr>
                    <w:t>-55.6%</w:t>
                  </w:r>
                </w:p>
              </w:tc>
            </w:tr>
          </w:tbl>
          <w:p w14:paraId="50DBE7C7" w14:textId="77777777" w:rsidR="00807471" w:rsidRDefault="00807471" w:rsidP="00807471">
            <w:pPr>
              <w:spacing w:line="360" w:lineRule="auto"/>
              <w:jc w:val="center"/>
              <w:rPr>
                <w:rFonts w:ascii="Tahoma" w:eastAsia="Tahoma" w:hAnsi="Tahoma" w:cs="Tahoma"/>
                <w:b/>
                <w:color w:val="808080"/>
                <w:sz w:val="18"/>
                <w:szCs w:val="18"/>
              </w:rPr>
            </w:pPr>
          </w:p>
          <w:p w14:paraId="1A01B83D" w14:textId="77777777" w:rsidR="00745755" w:rsidRPr="0085463F"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The scale of sales revenues in the construction segment, realised in Q1 2023, was noticeably higher than in the corresponding period of the previous year. A high and diverse contract portfolio and favourable weather conditions allowed revenues to increase by more than 20%. Sales were favourably impacted primarily in the area of road contracts; a large portion of contracts that were in the design phase in the first quarter of 2022 moved into the execution phase, reporting higher revenues.</w:t>
            </w:r>
          </w:p>
          <w:p w14:paraId="4F05ACF0" w14:textId="77777777" w:rsidR="00745755" w:rsidRPr="00FC43CA" w:rsidRDefault="00745755" w:rsidP="00745755">
            <w:pPr>
              <w:spacing w:line="360" w:lineRule="auto"/>
              <w:jc w:val="both"/>
              <w:rPr>
                <w:rFonts w:ascii="Tahoma" w:eastAsia="Tahoma" w:hAnsi="Tahoma" w:cs="Tahoma"/>
                <w:bCs/>
                <w:color w:val="808080"/>
                <w:sz w:val="18"/>
                <w:szCs w:val="18"/>
                <w:highlight w:val="cyan"/>
              </w:rPr>
            </w:pPr>
          </w:p>
          <w:p w14:paraId="27C8568B" w14:textId="7246E9C3" w:rsidR="00745755" w:rsidRPr="00DF4A77"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Gross profitability of the construction segment was 4.7%, up from 3.0% in the same period</w:t>
            </w:r>
            <w:r w:rsidR="008A4B32">
              <w:rPr>
                <w:rFonts w:ascii="Tahoma" w:hAnsi="Tahoma"/>
                <w:color w:val="808080"/>
                <w:sz w:val="18"/>
              </w:rPr>
              <w:t xml:space="preserve"> </w:t>
            </w:r>
            <w:r>
              <w:rPr>
                <w:rFonts w:ascii="Tahoma" w:hAnsi="Tahoma"/>
                <w:color w:val="808080"/>
                <w:sz w:val="18"/>
              </w:rPr>
              <w:t>last year.</w:t>
            </w:r>
            <w:r w:rsidR="008A4B32">
              <w:rPr>
                <w:rFonts w:ascii="Tahoma" w:hAnsi="Tahoma"/>
                <w:color w:val="808080"/>
                <w:sz w:val="18"/>
              </w:rPr>
              <w:t xml:space="preserve"> </w:t>
            </w:r>
            <w:r>
              <w:rPr>
                <w:rFonts w:ascii="Tahoma" w:hAnsi="Tahoma"/>
                <w:color w:val="808080"/>
                <w:sz w:val="18"/>
              </w:rPr>
              <w:t>During the period under review, the construction industry was less affected than a year earlier by the disrupted supply chains caused by the outbreak of armed conflict in Ukraine. This resulted in greater price predictability and the availability of major assortments of construction materials, as seen in steel or concrete.</w:t>
            </w:r>
          </w:p>
          <w:p w14:paraId="4BACE6CA" w14:textId="77777777" w:rsidR="00745755" w:rsidRPr="00DF4A77" w:rsidRDefault="00745755" w:rsidP="00745755">
            <w:pPr>
              <w:spacing w:line="360" w:lineRule="auto"/>
              <w:jc w:val="both"/>
              <w:rPr>
                <w:rFonts w:ascii="Tahoma" w:eastAsia="Tahoma" w:hAnsi="Tahoma" w:cs="Tahoma"/>
                <w:bCs/>
                <w:color w:val="808080"/>
                <w:sz w:val="18"/>
                <w:szCs w:val="18"/>
              </w:rPr>
            </w:pPr>
          </w:p>
          <w:p w14:paraId="431EBA7C" w14:textId="4206495B" w:rsidR="00745755" w:rsidRPr="004B0F4D"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In addition, prices of services offered by major subcontractors in the first quarter of this year fluctuated noticeably less than they did in the same period last year. This is particularly</w:t>
            </w:r>
            <w:r w:rsidR="008A4B32">
              <w:rPr>
                <w:rFonts w:ascii="Tahoma" w:hAnsi="Tahoma"/>
                <w:color w:val="808080"/>
                <w:sz w:val="18"/>
              </w:rPr>
              <w:t xml:space="preserve"> </w:t>
            </w:r>
            <w:r>
              <w:rPr>
                <w:rFonts w:ascii="Tahoma" w:hAnsi="Tahoma"/>
                <w:color w:val="808080"/>
                <w:sz w:val="18"/>
              </w:rPr>
              <w:t>noticeable</w:t>
            </w:r>
            <w:r w:rsidR="008A4B32">
              <w:rPr>
                <w:rFonts w:ascii="Tahoma" w:hAnsi="Tahoma"/>
                <w:color w:val="808080"/>
                <w:sz w:val="18"/>
              </w:rPr>
              <w:t xml:space="preserve"> </w:t>
            </w:r>
            <w:r>
              <w:rPr>
                <w:rFonts w:ascii="Tahoma" w:hAnsi="Tahoma"/>
                <w:color w:val="808080"/>
                <w:sz w:val="18"/>
              </w:rPr>
              <w:t xml:space="preserve">in the area of construction industry. At the same time, the effects of increases in the prices of construction materials and labour, observed from the time of bidding until the start of construction work (in the case of contracts executed under the design–build formula, this is usually more than a year), were partially absorbed thanks to an increase in the level of valorisation on construction contracts executed for public contracting authorities. </w:t>
            </w:r>
          </w:p>
          <w:p w14:paraId="0CE4FE7E" w14:textId="77777777" w:rsidR="00745755" w:rsidRDefault="00745755" w:rsidP="00745755">
            <w:pPr>
              <w:spacing w:line="360" w:lineRule="auto"/>
              <w:jc w:val="both"/>
              <w:rPr>
                <w:rFonts w:ascii="Tahoma" w:eastAsia="Tahoma" w:hAnsi="Tahoma" w:cs="Tahoma"/>
                <w:bCs/>
                <w:color w:val="808080"/>
                <w:sz w:val="18"/>
                <w:szCs w:val="18"/>
              </w:rPr>
            </w:pPr>
          </w:p>
          <w:p w14:paraId="4803DA46" w14:textId="77777777" w:rsidR="00745755" w:rsidRPr="00B97572"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t>Gross profitability of the construction segment in the period under review was 7.0% and was higher than in Q1 2022, when it amounted to 3.2%. In the first quarter of 2023, in addition to an increase in profitability at the operating level, profitability at the gross profit level was supported by the positive result generated on financing activities from interest earned on deposits.</w:t>
            </w:r>
          </w:p>
          <w:p w14:paraId="56D9999A" w14:textId="77777777" w:rsidR="00745755" w:rsidRPr="00FC43CA" w:rsidRDefault="00745755" w:rsidP="00745755">
            <w:pPr>
              <w:spacing w:line="360" w:lineRule="auto"/>
              <w:jc w:val="both"/>
              <w:rPr>
                <w:rFonts w:ascii="Tahoma" w:eastAsia="Tahoma" w:hAnsi="Tahoma" w:cs="Tahoma"/>
                <w:bCs/>
                <w:color w:val="808080"/>
                <w:sz w:val="18"/>
                <w:szCs w:val="18"/>
                <w:highlight w:val="cyan"/>
              </w:rPr>
            </w:pPr>
          </w:p>
          <w:p w14:paraId="74E6918B" w14:textId="2741F03D" w:rsidR="00745755" w:rsidRDefault="00745755" w:rsidP="00745755">
            <w:pPr>
              <w:spacing w:line="360" w:lineRule="auto"/>
              <w:jc w:val="both"/>
              <w:rPr>
                <w:rFonts w:ascii="Tahoma" w:eastAsia="Tahoma" w:hAnsi="Tahoma" w:cs="Tahoma"/>
                <w:bCs/>
                <w:color w:val="808080"/>
                <w:sz w:val="18"/>
                <w:szCs w:val="18"/>
              </w:rPr>
            </w:pPr>
            <w:r>
              <w:rPr>
                <w:rFonts w:ascii="Tahoma" w:hAnsi="Tahoma"/>
                <w:color w:val="808080"/>
                <w:sz w:val="18"/>
              </w:rPr>
              <w:lastRenderedPageBreak/>
              <w:t>In Q1 2023, we obtained contracts worth over PLN 600 million. Budimex Group's contract portfolio at the end of March 2023 amounted to PLN 12.6 billion and secures the work front for the entire current year and offers the prospect of maintaining high sales levels for the years 2024-2025. Intense work on the acquisition of new projects has meant that the value of projects awaiting signature, and those where the offer of Budimex or Group companies has been rated highest, is currently at the level of more than PLN 5.3 billion. Looking ahead, this should translate into maintaining the high value of the contract portfolio.</w:t>
            </w:r>
          </w:p>
          <w:p w14:paraId="4C6A7137" w14:textId="77777777" w:rsidR="00745755" w:rsidRPr="00FC43CA" w:rsidRDefault="00745755" w:rsidP="00745755">
            <w:pPr>
              <w:spacing w:line="360" w:lineRule="auto"/>
              <w:jc w:val="both"/>
              <w:rPr>
                <w:rFonts w:ascii="Tahoma" w:eastAsia="Tahoma" w:hAnsi="Tahoma" w:cs="Tahoma"/>
                <w:bCs/>
                <w:color w:val="808080"/>
                <w:sz w:val="18"/>
                <w:szCs w:val="18"/>
                <w:highlight w:val="cyan"/>
              </w:rPr>
            </w:pPr>
          </w:p>
          <w:p w14:paraId="2A861E3A" w14:textId="51A9ACE1" w:rsidR="00745755" w:rsidRPr="003734D3" w:rsidRDefault="00745755" w:rsidP="00745755">
            <w:pPr>
              <w:spacing w:line="360" w:lineRule="auto"/>
              <w:jc w:val="both"/>
              <w:rPr>
                <w:rFonts w:ascii="Tahoma" w:eastAsia="Tahoma" w:hAnsi="Tahoma" w:cs="Tahoma"/>
                <w:bCs/>
                <w:color w:val="808080"/>
                <w:sz w:val="18"/>
                <w:szCs w:val="18"/>
              </w:rPr>
            </w:pPr>
            <w:r>
              <w:rPr>
                <w:rFonts w:ascii="Tahoma" w:hAnsi="Tahoma"/>
                <w:b/>
                <w:color w:val="808080"/>
                <w:sz w:val="18"/>
              </w:rPr>
              <w:t xml:space="preserve">The Budimex Group ended Q1 2023 with a net cash result of approximately PLN 3.3 billion. </w:t>
            </w:r>
            <w:r>
              <w:rPr>
                <w:rFonts w:ascii="Tahoma" w:hAnsi="Tahoma"/>
                <w:color w:val="808080"/>
                <w:sz w:val="18"/>
              </w:rPr>
              <w:t xml:space="preserve">Fulfilling the adopted dividend policy, the Management Board of Budimex SA recommended to the Supervisory Board and the General Meeting of Shareholders that a dividend should be paid from the profit earned for 2022 in the amount of PLN 459 million, which is PLN 17.99 per share. The dividend would be paid in June 2023. </w:t>
            </w:r>
          </w:p>
          <w:p w14:paraId="23AEB0E0" w14:textId="77777777" w:rsidR="009C59A0" w:rsidRDefault="0001727E" w:rsidP="00D4399C">
            <w:pPr>
              <w:spacing w:line="360" w:lineRule="auto"/>
              <w:jc w:val="both"/>
              <w:rPr>
                <w:rFonts w:ascii="Tahoma" w:eastAsia="Tahoma" w:hAnsi="Tahoma" w:cs="Tahoma"/>
                <w:b/>
                <w:noProof/>
                <w:color w:val="808080"/>
                <w:sz w:val="18"/>
                <w:szCs w:val="18"/>
              </w:rPr>
            </w:pPr>
            <w:r>
              <w:rPr>
                <w:rFonts w:ascii="Tahoma" w:hAnsi="Tahoma"/>
                <w:b/>
                <w:noProof/>
                <w:color w:val="808080"/>
                <w:sz w:val="18"/>
              </w:rPr>
              <mc:AlternateContent>
                <mc:Choice Requires="wps">
                  <w:drawing>
                    <wp:anchor distT="0" distB="0" distL="114300" distR="114300" simplePos="0" relativeHeight="251708416" behindDoc="0" locked="0" layoutInCell="1" allowOverlap="1" wp14:anchorId="5F8B69C2" wp14:editId="12BB66F5">
                      <wp:simplePos x="0" y="0"/>
                      <wp:positionH relativeFrom="margin">
                        <wp:align>center</wp:align>
                      </wp:positionH>
                      <wp:positionV relativeFrom="page">
                        <wp:posOffset>9931207</wp:posOffset>
                      </wp:positionV>
                      <wp:extent cx="6487795" cy="244475"/>
                      <wp:effectExtent l="0" t="0" r="0" b="3175"/>
                      <wp:wrapNone/>
                      <wp:docPr id="12" name="Pole tekstowe 12"/>
                      <wp:cNvGraphicFramePr/>
                      <a:graphic xmlns:a="http://schemas.openxmlformats.org/drawingml/2006/main">
                        <a:graphicData uri="http://schemas.microsoft.com/office/word/2010/wordprocessingShape">
                          <wps:wsp>
                            <wps:cNvSpPr txBox="1"/>
                            <wps:spPr>
                              <a:xfrm>
                                <a:off x="0" y="0"/>
                                <a:ext cx="6487795" cy="244475"/>
                              </a:xfrm>
                              <a:prstGeom prst="rect">
                                <a:avLst/>
                              </a:prstGeom>
                              <a:noFill/>
                              <a:ln w="6350">
                                <a:noFill/>
                              </a:ln>
                            </wps:spPr>
                            <wps:txbx>
                              <w:txbxContent>
                                <w:p w14:paraId="40C54039" w14:textId="77777777" w:rsidR="0001727E" w:rsidRPr="002B1C9B" w:rsidRDefault="0001727E" w:rsidP="0001727E">
                                  <w:pPr>
                                    <w:rPr>
                                      <w:rFonts w:ascii="Tahoma" w:hAnsi="Tahoma" w:cs="Tahoma"/>
                                      <w:i/>
                                      <w:color w:val="808080" w:themeColor="background1" w:themeShade="80"/>
                                      <w:sz w:val="14"/>
                                      <w:szCs w:val="14"/>
                                    </w:rPr>
                                  </w:pPr>
                                  <w:r>
                                    <w:rPr>
                                      <w:rFonts w:ascii="Tahoma" w:hAnsi="Tahoma"/>
                                      <w:i/>
                                      <w:color w:val="808080" w:themeColor="background1" w:themeShade="80"/>
                                      <w:sz w:val="14"/>
                                    </w:rPr>
                                    <w:t>*pro-forma data, prepared assuming consolidation of FBSerwis Group as of 01.01.2019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B69C2" id="_x0000_t202" coordsize="21600,21600" o:spt="202" path="m,l,21600r21600,l21600,xe">
                      <v:stroke joinstyle="miter"/>
                      <v:path gradientshapeok="t" o:connecttype="rect"/>
                    </v:shapetype>
                    <v:shape id="Pole tekstowe 12" o:spid="_x0000_s1026" type="#_x0000_t202" style="position:absolute;left:0;text-align:left;margin-left:0;margin-top:782pt;width:510.85pt;height:19.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x6FwIAACwEAAAOAAAAZHJzL2Uyb0RvYy54bWysU8tu2zAQvBfoPxC815JdOU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" filled="f" stroked="f" strokeweight=".5pt">
                      <v:textbox>
                        <w:txbxContent>
                          <w:p w14:paraId="40C54039" w14:textId="77777777" w:rsidR="0001727E" w:rsidRPr="002B1C9B" w:rsidRDefault="0001727E" w:rsidP="0001727E">
                            <w:pPr>
                              <w:rPr>
                                <w:rFonts w:ascii="Tahoma" w:hAnsi="Tahoma" w:cs="Tahoma"/>
                                <w:i/>
                                <w:color w:val="808080" w:themeColor="background1" w:themeShade="80"/>
                                <w:sz w:val="14"/>
                                <w:szCs w:val="14"/>
                              </w:rPr>
                            </w:pPr>
                            <w:r>
                              <w:rPr>
                                <w:rFonts w:ascii="Tahoma" w:hAnsi="Tahoma"/>
                                <w:i/>
                                <w:color w:val="808080" w:themeColor="background1" w:themeShade="80"/>
                                <w:sz w:val="14"/>
                              </w:rPr>
                              <w:t>*pro-forma data, prepared assuming consolidation of FBSerwis Group as of 01.01.2019</w:t>
                            </w:r>
                          </w:p>
                        </w:txbxContent>
                      </v:textbox>
                      <w10:wrap anchorx="margin" anchory="page"/>
                    </v:shape>
                  </w:pict>
                </mc:Fallback>
              </mc:AlternateContent>
            </w:r>
          </w:p>
          <w:p w14:paraId="0E5B09C5" w14:textId="5C75AF41" w:rsidR="0001727E" w:rsidRDefault="00C93FA1" w:rsidP="00D4399C">
            <w:pPr>
              <w:spacing w:line="360" w:lineRule="auto"/>
              <w:jc w:val="both"/>
              <w:rPr>
                <w:rStyle w:val="Odwoaniedokomentarza"/>
              </w:rPr>
            </w:pPr>
            <w:r>
              <w:rPr>
                <w:rFonts w:ascii="Tahoma" w:hAnsi="Tahoma"/>
                <w:b/>
                <w:color w:val="808080"/>
                <w:sz w:val="18"/>
              </w:rPr>
              <w:t xml:space="preserve">In the first quarter of 2023 the FBSerwis Group reported an increase in sales revenue at the level of PLN 51.4 million while maintaining good profitability. </w:t>
            </w:r>
            <w:r>
              <w:t xml:space="preserve"> </w:t>
            </w:r>
            <w:r>
              <w:rPr>
                <w:rFonts w:ascii="Tahoma" w:hAnsi="Tahoma"/>
                <w:b/>
                <w:color w:val="808080"/>
                <w:sz w:val="18"/>
              </w:rPr>
              <w:t>Gross profit amounted to PLN 23 million compared to PLN 16 million in Q1 2022.</w:t>
            </w:r>
          </w:p>
          <w:p w14:paraId="307553FE" w14:textId="32AFF2D3" w:rsidR="00D4399C" w:rsidRDefault="00D4399C" w:rsidP="00D4399C">
            <w:pPr>
              <w:spacing w:line="360" w:lineRule="auto"/>
              <w:jc w:val="both"/>
              <w:rPr>
                <w:rStyle w:val="Odwoaniedokomentarza"/>
              </w:rPr>
            </w:pPr>
          </w:p>
          <w:tbl>
            <w:tblPr>
              <w:tblW w:w="6800" w:type="dxa"/>
              <w:tblLayout w:type="fixed"/>
              <w:tblCellMar>
                <w:left w:w="70" w:type="dxa"/>
                <w:right w:w="70" w:type="dxa"/>
              </w:tblCellMar>
              <w:tblLook w:val="04A0" w:firstRow="1" w:lastRow="0" w:firstColumn="1" w:lastColumn="0" w:noHBand="0" w:noVBand="1"/>
            </w:tblPr>
            <w:tblGrid>
              <w:gridCol w:w="2520"/>
              <w:gridCol w:w="1420"/>
              <w:gridCol w:w="1440"/>
              <w:gridCol w:w="1240"/>
              <w:gridCol w:w="180"/>
            </w:tblGrid>
            <w:tr w:rsidR="007E21D6" w:rsidRPr="007E21D6" w14:paraId="5F4DCA5F" w14:textId="77777777" w:rsidTr="007E21D6">
              <w:trPr>
                <w:trHeight w:val="349"/>
              </w:trPr>
              <w:tc>
                <w:tcPr>
                  <w:tcW w:w="2520" w:type="dxa"/>
                  <w:vMerge w:val="restart"/>
                  <w:tcBorders>
                    <w:top w:val="nil"/>
                    <w:left w:val="nil"/>
                    <w:bottom w:val="nil"/>
                    <w:right w:val="nil"/>
                  </w:tcBorders>
                  <w:shd w:val="clear" w:color="000000" w:fill="595959"/>
                  <w:vAlign w:val="center"/>
                  <w:hideMark/>
                </w:tcPr>
                <w:p w14:paraId="6C7C71F2" w14:textId="1A859B6A" w:rsidR="007E21D6" w:rsidRPr="007E21D6" w:rsidRDefault="007E21D6" w:rsidP="007E21D6">
                  <w:pPr>
                    <w:spacing w:after="0" w:line="240" w:lineRule="auto"/>
                    <w:rPr>
                      <w:rFonts w:ascii="Tahoma" w:eastAsia="Times New Roman" w:hAnsi="Tahoma" w:cs="Tahoma"/>
                      <w:b/>
                      <w:bCs/>
                      <w:color w:val="FFFFFF"/>
                    </w:rPr>
                  </w:pPr>
                  <w:r>
                    <w:rPr>
                      <w:rFonts w:ascii="Tahoma" w:hAnsi="Tahoma"/>
                      <w:b/>
                      <w:color w:val="FFFFFF"/>
                    </w:rPr>
                    <w:t>Services segment</w:t>
                  </w:r>
                  <w:r>
                    <w:rPr>
                      <w:rFonts w:ascii="Tahoma" w:hAnsi="Tahoma"/>
                      <w:b/>
                      <w:color w:val="FFFFFF"/>
                    </w:rPr>
                    <w:br/>
                    <w:t>(PLN million)</w:t>
                  </w:r>
                </w:p>
              </w:tc>
              <w:tc>
                <w:tcPr>
                  <w:tcW w:w="4100" w:type="dxa"/>
                  <w:gridSpan w:val="3"/>
                  <w:tcBorders>
                    <w:top w:val="nil"/>
                    <w:left w:val="nil"/>
                    <w:bottom w:val="single" w:sz="4" w:space="0" w:color="000000"/>
                    <w:right w:val="nil"/>
                  </w:tcBorders>
                  <w:shd w:val="clear" w:color="000000" w:fill="BFBFBF"/>
                  <w:noWrap/>
                  <w:vAlign w:val="center"/>
                  <w:hideMark/>
                </w:tcPr>
                <w:p w14:paraId="7D2C4C51" w14:textId="77777777" w:rsidR="007E21D6" w:rsidRPr="007E21D6" w:rsidRDefault="007E21D6" w:rsidP="007E21D6">
                  <w:pPr>
                    <w:spacing w:after="0" w:line="240" w:lineRule="auto"/>
                    <w:jc w:val="center"/>
                    <w:rPr>
                      <w:rFonts w:ascii="Tahoma" w:eastAsia="Times New Roman" w:hAnsi="Tahoma" w:cs="Tahoma"/>
                      <w:b/>
                      <w:bCs/>
                      <w:color w:val="000000"/>
                    </w:rPr>
                  </w:pPr>
                  <w:r>
                    <w:rPr>
                      <w:rFonts w:ascii="Tahoma" w:hAnsi="Tahoma"/>
                      <w:b/>
                      <w:color w:val="000000"/>
                    </w:rPr>
                    <w:t>Profit and loss account</w:t>
                  </w:r>
                </w:p>
              </w:tc>
              <w:tc>
                <w:tcPr>
                  <w:tcW w:w="180" w:type="dxa"/>
                  <w:tcBorders>
                    <w:top w:val="nil"/>
                    <w:left w:val="nil"/>
                    <w:bottom w:val="nil"/>
                    <w:right w:val="nil"/>
                  </w:tcBorders>
                  <w:shd w:val="clear" w:color="000000" w:fill="BFBFBF"/>
                  <w:noWrap/>
                  <w:vAlign w:val="center"/>
                  <w:hideMark/>
                </w:tcPr>
                <w:p w14:paraId="2778C5ED" w14:textId="77777777" w:rsidR="007E21D6" w:rsidRPr="007E21D6" w:rsidRDefault="007E21D6" w:rsidP="007E21D6">
                  <w:pPr>
                    <w:spacing w:after="0" w:line="240" w:lineRule="auto"/>
                    <w:jc w:val="center"/>
                    <w:rPr>
                      <w:rFonts w:ascii="Tahoma" w:eastAsia="Times New Roman" w:hAnsi="Tahoma" w:cs="Tahoma"/>
                      <w:b/>
                      <w:bCs/>
                      <w:color w:val="000000"/>
                    </w:rPr>
                  </w:pPr>
                  <w:r>
                    <w:rPr>
                      <w:rFonts w:ascii="Tahoma" w:hAnsi="Tahoma"/>
                      <w:b/>
                      <w:color w:val="000000"/>
                    </w:rPr>
                    <w:t> </w:t>
                  </w:r>
                </w:p>
              </w:tc>
            </w:tr>
            <w:tr w:rsidR="007E21D6" w:rsidRPr="007E21D6" w14:paraId="0FB6F242" w14:textId="77777777" w:rsidTr="007E21D6">
              <w:trPr>
                <w:trHeight w:val="525"/>
              </w:trPr>
              <w:tc>
                <w:tcPr>
                  <w:tcW w:w="2520" w:type="dxa"/>
                  <w:vMerge/>
                  <w:tcBorders>
                    <w:top w:val="nil"/>
                    <w:left w:val="nil"/>
                    <w:bottom w:val="nil"/>
                    <w:right w:val="nil"/>
                  </w:tcBorders>
                  <w:vAlign w:val="center"/>
                  <w:hideMark/>
                </w:tcPr>
                <w:p w14:paraId="46597DF8" w14:textId="77777777" w:rsidR="007E21D6" w:rsidRPr="007E21D6" w:rsidRDefault="007E21D6" w:rsidP="007E21D6">
                  <w:pPr>
                    <w:spacing w:after="0" w:line="240" w:lineRule="auto"/>
                    <w:rPr>
                      <w:rFonts w:ascii="Tahoma" w:eastAsia="Times New Roman" w:hAnsi="Tahoma" w:cs="Tahoma"/>
                      <w:b/>
                      <w:bCs/>
                      <w:color w:val="FFFFFF"/>
                    </w:rPr>
                  </w:pPr>
                </w:p>
              </w:tc>
              <w:tc>
                <w:tcPr>
                  <w:tcW w:w="1420" w:type="dxa"/>
                  <w:tcBorders>
                    <w:top w:val="nil"/>
                    <w:left w:val="nil"/>
                    <w:bottom w:val="nil"/>
                    <w:right w:val="nil"/>
                  </w:tcBorders>
                  <w:shd w:val="clear" w:color="000000" w:fill="BFBFBF"/>
                  <w:vAlign w:val="center"/>
                  <w:hideMark/>
                </w:tcPr>
                <w:p w14:paraId="72427CAA" w14:textId="77777777" w:rsidR="007E21D6" w:rsidRPr="007E21D6" w:rsidRDefault="007E21D6" w:rsidP="007E21D6">
                  <w:pPr>
                    <w:spacing w:after="0" w:line="240" w:lineRule="auto"/>
                    <w:jc w:val="center"/>
                    <w:rPr>
                      <w:rFonts w:ascii="Tahoma" w:eastAsia="Times New Roman" w:hAnsi="Tahoma" w:cs="Tahoma"/>
                      <w:color w:val="000000"/>
                    </w:rPr>
                  </w:pPr>
                  <w:r>
                    <w:rPr>
                      <w:rFonts w:ascii="Tahoma" w:hAnsi="Tahoma"/>
                      <w:color w:val="000000"/>
                    </w:rPr>
                    <w:t>Q1 2023</w:t>
                  </w:r>
                </w:p>
              </w:tc>
              <w:tc>
                <w:tcPr>
                  <w:tcW w:w="1440" w:type="dxa"/>
                  <w:tcBorders>
                    <w:top w:val="nil"/>
                    <w:left w:val="single" w:sz="4" w:space="0" w:color="000000"/>
                    <w:bottom w:val="single" w:sz="8" w:space="0" w:color="000000"/>
                    <w:right w:val="single" w:sz="4" w:space="0" w:color="000000"/>
                  </w:tcBorders>
                  <w:shd w:val="clear" w:color="000000" w:fill="BFBFBF"/>
                  <w:vAlign w:val="center"/>
                  <w:hideMark/>
                </w:tcPr>
                <w:p w14:paraId="7BB58356" w14:textId="77777777" w:rsidR="007E21D6" w:rsidRPr="007E21D6" w:rsidRDefault="007E21D6" w:rsidP="007E21D6">
                  <w:pPr>
                    <w:spacing w:after="0" w:line="240" w:lineRule="auto"/>
                    <w:jc w:val="center"/>
                    <w:rPr>
                      <w:rFonts w:ascii="Tahoma" w:eastAsia="Times New Roman" w:hAnsi="Tahoma" w:cs="Tahoma"/>
                      <w:color w:val="000000"/>
                    </w:rPr>
                  </w:pPr>
                  <w:r>
                    <w:rPr>
                      <w:rFonts w:ascii="Tahoma" w:hAnsi="Tahoma"/>
                      <w:color w:val="000000"/>
                    </w:rPr>
                    <w:t>Q1 2022</w:t>
                  </w:r>
                </w:p>
              </w:tc>
              <w:tc>
                <w:tcPr>
                  <w:tcW w:w="1240" w:type="dxa"/>
                  <w:tcBorders>
                    <w:top w:val="nil"/>
                    <w:left w:val="nil"/>
                    <w:bottom w:val="single" w:sz="8" w:space="0" w:color="000000"/>
                    <w:right w:val="nil"/>
                  </w:tcBorders>
                  <w:shd w:val="clear" w:color="000000" w:fill="BFBFBF"/>
                  <w:noWrap/>
                  <w:vAlign w:val="center"/>
                  <w:hideMark/>
                </w:tcPr>
                <w:p w14:paraId="7D7C6490" w14:textId="77777777" w:rsidR="007E21D6" w:rsidRPr="007E21D6" w:rsidRDefault="007E21D6" w:rsidP="007E21D6">
                  <w:pPr>
                    <w:spacing w:after="0" w:line="240" w:lineRule="auto"/>
                    <w:jc w:val="center"/>
                    <w:rPr>
                      <w:rFonts w:ascii="Tahoma" w:eastAsia="Times New Roman" w:hAnsi="Tahoma" w:cs="Tahoma"/>
                      <w:color w:val="000000"/>
                    </w:rPr>
                  </w:pPr>
                  <w:r>
                    <w:rPr>
                      <w:rFonts w:ascii="Tahoma" w:hAnsi="Tahoma"/>
                      <w:color w:val="000000"/>
                    </w:rPr>
                    <w:t>y/y</w:t>
                  </w:r>
                </w:p>
              </w:tc>
              <w:tc>
                <w:tcPr>
                  <w:tcW w:w="180" w:type="dxa"/>
                  <w:tcBorders>
                    <w:top w:val="nil"/>
                    <w:left w:val="nil"/>
                    <w:bottom w:val="nil"/>
                    <w:right w:val="nil"/>
                  </w:tcBorders>
                  <w:shd w:val="clear" w:color="000000" w:fill="BFBFBF"/>
                  <w:noWrap/>
                  <w:vAlign w:val="center"/>
                  <w:hideMark/>
                </w:tcPr>
                <w:p w14:paraId="282ADEED" w14:textId="77777777" w:rsidR="007E21D6" w:rsidRPr="007E21D6" w:rsidRDefault="007E21D6" w:rsidP="007E21D6">
                  <w:pPr>
                    <w:spacing w:after="0" w:line="240" w:lineRule="auto"/>
                    <w:jc w:val="center"/>
                    <w:rPr>
                      <w:rFonts w:ascii="Tahoma" w:eastAsia="Times New Roman" w:hAnsi="Tahoma" w:cs="Tahoma"/>
                      <w:color w:val="000000"/>
                    </w:rPr>
                  </w:pPr>
                  <w:r>
                    <w:rPr>
                      <w:rFonts w:ascii="Tahoma" w:hAnsi="Tahoma"/>
                      <w:color w:val="000000"/>
                    </w:rPr>
                    <w:t> </w:t>
                  </w:r>
                </w:p>
              </w:tc>
            </w:tr>
            <w:tr w:rsidR="007E21D6" w:rsidRPr="007E21D6" w14:paraId="3FC09682" w14:textId="77777777" w:rsidTr="007E21D6">
              <w:trPr>
                <w:trHeight w:val="420"/>
              </w:trPr>
              <w:tc>
                <w:tcPr>
                  <w:tcW w:w="2520" w:type="dxa"/>
                  <w:tcBorders>
                    <w:top w:val="single" w:sz="8" w:space="0" w:color="auto"/>
                    <w:left w:val="nil"/>
                    <w:bottom w:val="nil"/>
                    <w:right w:val="nil"/>
                  </w:tcBorders>
                  <w:shd w:val="clear" w:color="000000" w:fill="FFC000"/>
                  <w:noWrap/>
                  <w:vAlign w:val="center"/>
                  <w:hideMark/>
                </w:tcPr>
                <w:p w14:paraId="78787E61"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Sale</w:t>
                  </w:r>
                </w:p>
              </w:tc>
              <w:tc>
                <w:tcPr>
                  <w:tcW w:w="1420" w:type="dxa"/>
                  <w:tcBorders>
                    <w:top w:val="single" w:sz="8" w:space="0" w:color="auto"/>
                    <w:left w:val="nil"/>
                    <w:bottom w:val="nil"/>
                    <w:right w:val="nil"/>
                  </w:tcBorders>
                  <w:shd w:val="clear" w:color="000000" w:fill="FFC000"/>
                  <w:noWrap/>
                  <w:vAlign w:val="center"/>
                  <w:hideMark/>
                </w:tcPr>
                <w:p w14:paraId="4195361D"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218</w:t>
                  </w:r>
                </w:p>
              </w:tc>
              <w:tc>
                <w:tcPr>
                  <w:tcW w:w="1440" w:type="dxa"/>
                  <w:tcBorders>
                    <w:top w:val="nil"/>
                    <w:left w:val="nil"/>
                    <w:bottom w:val="nil"/>
                    <w:right w:val="nil"/>
                  </w:tcBorders>
                  <w:shd w:val="clear" w:color="000000" w:fill="FFC000"/>
                  <w:noWrap/>
                  <w:vAlign w:val="center"/>
                  <w:hideMark/>
                </w:tcPr>
                <w:p w14:paraId="1449DF83"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166</w:t>
                  </w:r>
                </w:p>
              </w:tc>
              <w:tc>
                <w:tcPr>
                  <w:tcW w:w="1240" w:type="dxa"/>
                  <w:tcBorders>
                    <w:top w:val="nil"/>
                    <w:left w:val="nil"/>
                    <w:bottom w:val="nil"/>
                    <w:right w:val="nil"/>
                  </w:tcBorders>
                  <w:shd w:val="clear" w:color="000000" w:fill="FFC000"/>
                  <w:noWrap/>
                  <w:vAlign w:val="center"/>
                  <w:hideMark/>
                </w:tcPr>
                <w:p w14:paraId="71106A6C"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31.1%</w:t>
                  </w:r>
                </w:p>
              </w:tc>
              <w:tc>
                <w:tcPr>
                  <w:tcW w:w="180" w:type="dxa"/>
                  <w:tcBorders>
                    <w:top w:val="nil"/>
                    <w:left w:val="nil"/>
                    <w:bottom w:val="nil"/>
                    <w:right w:val="nil"/>
                  </w:tcBorders>
                  <w:shd w:val="clear" w:color="000000" w:fill="FFC000"/>
                  <w:noWrap/>
                  <w:vAlign w:val="center"/>
                  <w:hideMark/>
                </w:tcPr>
                <w:p w14:paraId="1DCF962A"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 </w:t>
                  </w:r>
                </w:p>
              </w:tc>
            </w:tr>
            <w:tr w:rsidR="007E21D6" w:rsidRPr="007E21D6" w14:paraId="4C862BBD" w14:textId="77777777" w:rsidTr="007E21D6">
              <w:trPr>
                <w:trHeight w:val="420"/>
              </w:trPr>
              <w:tc>
                <w:tcPr>
                  <w:tcW w:w="2520" w:type="dxa"/>
                  <w:tcBorders>
                    <w:top w:val="single" w:sz="8" w:space="0" w:color="auto"/>
                    <w:left w:val="nil"/>
                    <w:bottom w:val="nil"/>
                    <w:right w:val="nil"/>
                  </w:tcBorders>
                  <w:shd w:val="clear" w:color="000000" w:fill="F2F2F2"/>
                  <w:noWrap/>
                  <w:vAlign w:val="center"/>
                  <w:hideMark/>
                </w:tcPr>
                <w:p w14:paraId="5A5ADD7B"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Operational profit</w:t>
                  </w:r>
                </w:p>
              </w:tc>
              <w:tc>
                <w:tcPr>
                  <w:tcW w:w="1420" w:type="dxa"/>
                  <w:tcBorders>
                    <w:top w:val="single" w:sz="8" w:space="0" w:color="auto"/>
                    <w:left w:val="nil"/>
                    <w:bottom w:val="nil"/>
                    <w:right w:val="nil"/>
                  </w:tcBorders>
                  <w:shd w:val="clear" w:color="000000" w:fill="F2F2F2"/>
                  <w:noWrap/>
                  <w:vAlign w:val="center"/>
                  <w:hideMark/>
                </w:tcPr>
                <w:p w14:paraId="6AEF92DE"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22</w:t>
                  </w:r>
                </w:p>
              </w:tc>
              <w:tc>
                <w:tcPr>
                  <w:tcW w:w="1440" w:type="dxa"/>
                  <w:tcBorders>
                    <w:top w:val="single" w:sz="8" w:space="0" w:color="auto"/>
                    <w:left w:val="nil"/>
                    <w:bottom w:val="nil"/>
                    <w:right w:val="nil"/>
                  </w:tcBorders>
                  <w:shd w:val="clear" w:color="000000" w:fill="F2F2F2"/>
                  <w:noWrap/>
                  <w:vAlign w:val="center"/>
                  <w:hideMark/>
                </w:tcPr>
                <w:p w14:paraId="03E25107"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15</w:t>
                  </w:r>
                </w:p>
              </w:tc>
              <w:tc>
                <w:tcPr>
                  <w:tcW w:w="1240" w:type="dxa"/>
                  <w:tcBorders>
                    <w:top w:val="single" w:sz="8" w:space="0" w:color="auto"/>
                    <w:left w:val="nil"/>
                    <w:bottom w:val="nil"/>
                    <w:right w:val="nil"/>
                  </w:tcBorders>
                  <w:shd w:val="clear" w:color="000000" w:fill="F2F2F2"/>
                  <w:noWrap/>
                  <w:vAlign w:val="center"/>
                  <w:hideMark/>
                </w:tcPr>
                <w:p w14:paraId="1C4B2F1F"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46.0%</w:t>
                  </w:r>
                </w:p>
              </w:tc>
              <w:tc>
                <w:tcPr>
                  <w:tcW w:w="180" w:type="dxa"/>
                  <w:tcBorders>
                    <w:top w:val="nil"/>
                    <w:left w:val="nil"/>
                    <w:bottom w:val="nil"/>
                    <w:right w:val="nil"/>
                  </w:tcBorders>
                  <w:shd w:val="clear" w:color="000000" w:fill="F2F2F2"/>
                  <w:noWrap/>
                  <w:vAlign w:val="center"/>
                  <w:hideMark/>
                </w:tcPr>
                <w:p w14:paraId="0B5B66DF"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 </w:t>
                  </w:r>
                </w:p>
              </w:tc>
            </w:tr>
            <w:tr w:rsidR="007E21D6" w:rsidRPr="007E21D6" w14:paraId="13346EE9" w14:textId="77777777" w:rsidTr="007E21D6">
              <w:trPr>
                <w:trHeight w:val="252"/>
              </w:trPr>
              <w:tc>
                <w:tcPr>
                  <w:tcW w:w="2520" w:type="dxa"/>
                  <w:tcBorders>
                    <w:top w:val="nil"/>
                    <w:left w:val="nil"/>
                    <w:bottom w:val="nil"/>
                    <w:right w:val="nil"/>
                  </w:tcBorders>
                  <w:shd w:val="clear" w:color="000000" w:fill="F2F2F2"/>
                  <w:noWrap/>
                  <w:vAlign w:val="center"/>
                  <w:hideMark/>
                </w:tcPr>
                <w:p w14:paraId="5248CA60"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nil"/>
                    <w:right w:val="nil"/>
                  </w:tcBorders>
                  <w:shd w:val="clear" w:color="000000" w:fill="F2F2F2"/>
                  <w:noWrap/>
                  <w:vAlign w:val="center"/>
                  <w:hideMark/>
                </w:tcPr>
                <w:p w14:paraId="4D88A11C"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9.9%</w:t>
                  </w:r>
                </w:p>
              </w:tc>
              <w:tc>
                <w:tcPr>
                  <w:tcW w:w="1440" w:type="dxa"/>
                  <w:tcBorders>
                    <w:top w:val="nil"/>
                    <w:left w:val="nil"/>
                    <w:bottom w:val="nil"/>
                    <w:right w:val="nil"/>
                  </w:tcBorders>
                  <w:shd w:val="clear" w:color="000000" w:fill="F2F2F2"/>
                  <w:noWrap/>
                  <w:vAlign w:val="center"/>
                  <w:hideMark/>
                </w:tcPr>
                <w:p w14:paraId="0D99A004"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8.9%</w:t>
                  </w:r>
                </w:p>
              </w:tc>
              <w:tc>
                <w:tcPr>
                  <w:tcW w:w="1240" w:type="dxa"/>
                  <w:tcBorders>
                    <w:top w:val="nil"/>
                    <w:left w:val="nil"/>
                    <w:bottom w:val="nil"/>
                    <w:right w:val="nil"/>
                  </w:tcBorders>
                  <w:shd w:val="clear" w:color="000000" w:fill="F2F2F2"/>
                  <w:noWrap/>
                  <w:vAlign w:val="center"/>
                  <w:hideMark/>
                </w:tcPr>
                <w:p w14:paraId="599C820F" w14:textId="2D3796E3"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1.0 pp</w:t>
                  </w:r>
                </w:p>
              </w:tc>
              <w:tc>
                <w:tcPr>
                  <w:tcW w:w="180" w:type="dxa"/>
                  <w:tcBorders>
                    <w:top w:val="nil"/>
                    <w:left w:val="nil"/>
                    <w:bottom w:val="nil"/>
                    <w:right w:val="nil"/>
                  </w:tcBorders>
                  <w:shd w:val="clear" w:color="000000" w:fill="F2F2F2"/>
                  <w:noWrap/>
                  <w:vAlign w:val="center"/>
                  <w:hideMark/>
                </w:tcPr>
                <w:p w14:paraId="643653A9"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 </w:t>
                  </w:r>
                </w:p>
              </w:tc>
            </w:tr>
            <w:tr w:rsidR="007E21D6" w:rsidRPr="007E21D6" w14:paraId="4C6A18F6" w14:textId="77777777" w:rsidTr="007E21D6">
              <w:trPr>
                <w:trHeight w:val="420"/>
              </w:trPr>
              <w:tc>
                <w:tcPr>
                  <w:tcW w:w="2520" w:type="dxa"/>
                  <w:tcBorders>
                    <w:top w:val="single" w:sz="4" w:space="0" w:color="auto"/>
                    <w:left w:val="nil"/>
                    <w:bottom w:val="nil"/>
                    <w:right w:val="nil"/>
                  </w:tcBorders>
                  <w:shd w:val="clear" w:color="000000" w:fill="F2F2F2"/>
                  <w:noWrap/>
                  <w:vAlign w:val="center"/>
                  <w:hideMark/>
                </w:tcPr>
                <w:p w14:paraId="5D8FA56D"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Gross profit</w:t>
                  </w:r>
                </w:p>
              </w:tc>
              <w:tc>
                <w:tcPr>
                  <w:tcW w:w="1420" w:type="dxa"/>
                  <w:tcBorders>
                    <w:top w:val="single" w:sz="4" w:space="0" w:color="auto"/>
                    <w:left w:val="nil"/>
                    <w:bottom w:val="nil"/>
                    <w:right w:val="nil"/>
                  </w:tcBorders>
                  <w:shd w:val="clear" w:color="000000" w:fill="F2F2F2"/>
                  <w:noWrap/>
                  <w:vAlign w:val="center"/>
                  <w:hideMark/>
                </w:tcPr>
                <w:p w14:paraId="6ACA3D0F"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23</w:t>
                  </w:r>
                </w:p>
              </w:tc>
              <w:tc>
                <w:tcPr>
                  <w:tcW w:w="1440" w:type="dxa"/>
                  <w:tcBorders>
                    <w:top w:val="single" w:sz="4" w:space="0" w:color="auto"/>
                    <w:left w:val="nil"/>
                    <w:bottom w:val="nil"/>
                    <w:right w:val="nil"/>
                  </w:tcBorders>
                  <w:shd w:val="clear" w:color="000000" w:fill="F2F2F2"/>
                  <w:noWrap/>
                  <w:vAlign w:val="center"/>
                  <w:hideMark/>
                </w:tcPr>
                <w:p w14:paraId="6B9548F4"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17</w:t>
                  </w:r>
                </w:p>
              </w:tc>
              <w:tc>
                <w:tcPr>
                  <w:tcW w:w="1240" w:type="dxa"/>
                  <w:tcBorders>
                    <w:top w:val="single" w:sz="4" w:space="0" w:color="auto"/>
                    <w:left w:val="nil"/>
                    <w:bottom w:val="nil"/>
                    <w:right w:val="nil"/>
                  </w:tcBorders>
                  <w:shd w:val="clear" w:color="000000" w:fill="F2F2F2"/>
                  <w:noWrap/>
                  <w:vAlign w:val="center"/>
                  <w:hideMark/>
                </w:tcPr>
                <w:p w14:paraId="591CB70B"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35.1%</w:t>
                  </w:r>
                </w:p>
              </w:tc>
              <w:tc>
                <w:tcPr>
                  <w:tcW w:w="180" w:type="dxa"/>
                  <w:tcBorders>
                    <w:top w:val="nil"/>
                    <w:left w:val="nil"/>
                    <w:bottom w:val="nil"/>
                    <w:right w:val="nil"/>
                  </w:tcBorders>
                  <w:shd w:val="clear" w:color="000000" w:fill="F2F2F2"/>
                  <w:noWrap/>
                  <w:vAlign w:val="center"/>
                  <w:hideMark/>
                </w:tcPr>
                <w:p w14:paraId="3DA70B52" w14:textId="77777777" w:rsidR="007E21D6" w:rsidRPr="007E21D6" w:rsidRDefault="007E21D6" w:rsidP="007E21D6">
                  <w:pPr>
                    <w:spacing w:after="0" w:line="240" w:lineRule="auto"/>
                    <w:rPr>
                      <w:rFonts w:ascii="Tahoma" w:eastAsia="Times New Roman" w:hAnsi="Tahoma" w:cs="Tahoma"/>
                      <w:b/>
                      <w:bCs/>
                      <w:color w:val="404040"/>
                    </w:rPr>
                  </w:pPr>
                  <w:r>
                    <w:rPr>
                      <w:rFonts w:ascii="Tahoma" w:hAnsi="Tahoma"/>
                      <w:b/>
                      <w:color w:val="404040"/>
                    </w:rPr>
                    <w:t> </w:t>
                  </w:r>
                </w:p>
              </w:tc>
            </w:tr>
            <w:tr w:rsidR="007E21D6" w:rsidRPr="007E21D6" w14:paraId="2283660C" w14:textId="77777777" w:rsidTr="007E21D6">
              <w:trPr>
                <w:trHeight w:val="252"/>
              </w:trPr>
              <w:tc>
                <w:tcPr>
                  <w:tcW w:w="2520" w:type="dxa"/>
                  <w:tcBorders>
                    <w:top w:val="nil"/>
                    <w:left w:val="nil"/>
                    <w:bottom w:val="single" w:sz="4" w:space="0" w:color="auto"/>
                    <w:right w:val="nil"/>
                  </w:tcBorders>
                  <w:shd w:val="clear" w:color="000000" w:fill="F2F2F2"/>
                  <w:noWrap/>
                  <w:vAlign w:val="center"/>
                  <w:hideMark/>
                </w:tcPr>
                <w:p w14:paraId="1D4C7CD8"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 of sales</w:t>
                  </w:r>
                </w:p>
              </w:tc>
              <w:tc>
                <w:tcPr>
                  <w:tcW w:w="1420" w:type="dxa"/>
                  <w:tcBorders>
                    <w:top w:val="nil"/>
                    <w:left w:val="nil"/>
                    <w:bottom w:val="single" w:sz="4" w:space="0" w:color="auto"/>
                    <w:right w:val="nil"/>
                  </w:tcBorders>
                  <w:shd w:val="clear" w:color="000000" w:fill="F2F2F2"/>
                  <w:noWrap/>
                  <w:vAlign w:val="center"/>
                  <w:hideMark/>
                </w:tcPr>
                <w:p w14:paraId="1A5E3E64"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10.5%</w:t>
                  </w:r>
                </w:p>
              </w:tc>
              <w:tc>
                <w:tcPr>
                  <w:tcW w:w="1440" w:type="dxa"/>
                  <w:tcBorders>
                    <w:top w:val="nil"/>
                    <w:left w:val="nil"/>
                    <w:bottom w:val="single" w:sz="4" w:space="0" w:color="auto"/>
                    <w:right w:val="nil"/>
                  </w:tcBorders>
                  <w:shd w:val="clear" w:color="000000" w:fill="F2F2F2"/>
                  <w:noWrap/>
                  <w:vAlign w:val="center"/>
                  <w:hideMark/>
                </w:tcPr>
                <w:p w14:paraId="2C8C4697"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10.2%</w:t>
                  </w:r>
                </w:p>
              </w:tc>
              <w:tc>
                <w:tcPr>
                  <w:tcW w:w="1240" w:type="dxa"/>
                  <w:tcBorders>
                    <w:top w:val="nil"/>
                    <w:left w:val="nil"/>
                    <w:bottom w:val="single" w:sz="4" w:space="0" w:color="auto"/>
                    <w:right w:val="nil"/>
                  </w:tcBorders>
                  <w:shd w:val="clear" w:color="000000" w:fill="F2F2F2"/>
                  <w:noWrap/>
                  <w:vAlign w:val="center"/>
                  <w:hideMark/>
                </w:tcPr>
                <w:p w14:paraId="1C7CD48B" w14:textId="0D811CB9"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0.3 pp</w:t>
                  </w:r>
                </w:p>
              </w:tc>
              <w:tc>
                <w:tcPr>
                  <w:tcW w:w="180" w:type="dxa"/>
                  <w:tcBorders>
                    <w:top w:val="nil"/>
                    <w:left w:val="nil"/>
                    <w:bottom w:val="nil"/>
                    <w:right w:val="nil"/>
                  </w:tcBorders>
                  <w:shd w:val="clear" w:color="000000" w:fill="F2F2F2"/>
                  <w:noWrap/>
                  <w:vAlign w:val="center"/>
                  <w:hideMark/>
                </w:tcPr>
                <w:p w14:paraId="7BF2891F" w14:textId="77777777" w:rsidR="007E21D6" w:rsidRPr="007E21D6" w:rsidRDefault="007E21D6" w:rsidP="007E21D6">
                  <w:pPr>
                    <w:spacing w:after="0" w:line="240" w:lineRule="auto"/>
                    <w:rPr>
                      <w:rFonts w:ascii="Tahoma" w:eastAsia="Times New Roman" w:hAnsi="Tahoma" w:cs="Tahoma"/>
                      <w:color w:val="404040"/>
                    </w:rPr>
                  </w:pPr>
                  <w:r>
                    <w:rPr>
                      <w:rFonts w:ascii="Tahoma" w:hAnsi="Tahoma"/>
                      <w:color w:val="404040"/>
                    </w:rPr>
                    <w:t> </w:t>
                  </w:r>
                </w:p>
              </w:tc>
            </w:tr>
          </w:tbl>
          <w:p w14:paraId="3C880982" w14:textId="63BC3EB2" w:rsidR="00277101" w:rsidRDefault="00277101" w:rsidP="00277101">
            <w:bookmarkStart w:id="0" w:name="_Hlk77692426"/>
            <w:bookmarkStart w:id="1" w:name="_Hlk100758814"/>
          </w:p>
          <w:p w14:paraId="1CE8DDAA" w14:textId="776D7AB4" w:rsidR="00D74729" w:rsidRPr="00FC43CA" w:rsidRDefault="00D74729" w:rsidP="00D74729">
            <w:pPr>
              <w:spacing w:line="360" w:lineRule="auto"/>
              <w:jc w:val="both"/>
              <w:rPr>
                <w:rFonts w:ascii="Tahoma" w:eastAsia="Tahoma" w:hAnsi="Tahoma" w:cs="Tahoma"/>
                <w:bCs/>
                <w:color w:val="808080"/>
                <w:sz w:val="18"/>
                <w:szCs w:val="18"/>
                <w:highlight w:val="green"/>
              </w:rPr>
            </w:pPr>
            <w:r>
              <w:rPr>
                <w:rFonts w:ascii="Tahoma" w:hAnsi="Tahoma"/>
                <w:color w:val="808080"/>
                <w:sz w:val="18"/>
              </w:rPr>
              <w:t xml:space="preserve">Revenues of FBSerwis Group, which is a key asset within the services segment (the results of the services segment also include activities of several smaller companies, including Budimex Parking Wrocław) amounted to PLN 217 million and were 31.1% higher compared to the corresponding period of the previous year. Sales volume growth was achieved in each of the business segments at a higher level than we had anticipated. The increase in sales in the first quarter of 2023 compared to the same period of the previous year is primarily due to the increased scale of operations (the acquisition of shares in a new venture, an increase in waste processing, and a higher number of ongoing contracts in the road segment). </w:t>
            </w:r>
          </w:p>
          <w:bookmarkEnd w:id="0"/>
          <w:bookmarkEnd w:id="1"/>
          <w:p w14:paraId="78B44991" w14:textId="77777777" w:rsidR="00815619" w:rsidRPr="007C69AF" w:rsidRDefault="00815619" w:rsidP="00775CAB">
            <w:pPr>
              <w:spacing w:line="360" w:lineRule="auto"/>
              <w:jc w:val="both"/>
              <w:rPr>
                <w:rFonts w:ascii="Tahoma" w:eastAsia="Tahoma" w:hAnsi="Tahoma" w:cs="Tahoma"/>
                <w:b/>
                <w:color w:val="808080"/>
                <w:sz w:val="18"/>
                <w:szCs w:val="18"/>
                <w:highlight w:val="yellow"/>
              </w:rPr>
            </w:pPr>
          </w:p>
          <w:p w14:paraId="52131B27" w14:textId="77777777" w:rsidR="00FC43CA" w:rsidRPr="006B3CBD" w:rsidRDefault="00FC43CA" w:rsidP="00FC43CA">
            <w:pPr>
              <w:spacing w:line="360" w:lineRule="auto"/>
              <w:jc w:val="both"/>
              <w:rPr>
                <w:rFonts w:ascii="Tahoma" w:eastAsia="Tahoma" w:hAnsi="Tahoma" w:cs="Tahoma"/>
                <w:b/>
                <w:color w:val="808080"/>
                <w:sz w:val="18"/>
                <w:szCs w:val="18"/>
              </w:rPr>
            </w:pPr>
            <w:r>
              <w:rPr>
                <w:rFonts w:ascii="Tahoma" w:hAnsi="Tahoma"/>
                <w:b/>
                <w:color w:val="808080"/>
                <w:sz w:val="18"/>
              </w:rPr>
              <w:t>Market perspectives</w:t>
            </w:r>
          </w:p>
          <w:p w14:paraId="62FDEDDF" w14:textId="77777777" w:rsidR="004572A8" w:rsidRPr="006B3CBD" w:rsidRDefault="004572A8" w:rsidP="004572A8">
            <w:pPr>
              <w:spacing w:line="360" w:lineRule="auto"/>
              <w:jc w:val="both"/>
              <w:rPr>
                <w:rFonts w:ascii="Tahoma" w:eastAsia="Tahoma" w:hAnsi="Tahoma" w:cs="Tahoma"/>
                <w:bCs/>
                <w:color w:val="808080"/>
                <w:sz w:val="18"/>
                <w:szCs w:val="18"/>
              </w:rPr>
            </w:pPr>
          </w:p>
          <w:p w14:paraId="59FFB5EA" w14:textId="5FBC0585" w:rsidR="00C47CAD" w:rsidRDefault="00C47CAD" w:rsidP="00C47CAD">
            <w:pPr>
              <w:spacing w:line="360" w:lineRule="auto"/>
              <w:jc w:val="both"/>
              <w:rPr>
                <w:rFonts w:ascii="Tahoma" w:eastAsia="Tahoma" w:hAnsi="Tahoma" w:cs="Tahoma"/>
                <w:bCs/>
                <w:color w:val="808080"/>
                <w:sz w:val="18"/>
                <w:szCs w:val="18"/>
              </w:rPr>
            </w:pPr>
            <w:r>
              <w:rPr>
                <w:rFonts w:ascii="Tahoma" w:hAnsi="Tahoma"/>
                <w:color w:val="808080"/>
                <w:sz w:val="18"/>
              </w:rPr>
              <w:t xml:space="preserve">The Budimex Group's current contract portfolio fully secures the work front and offers the prospect of maintaining a high level of sales in the years 2024-2025.  </w:t>
            </w:r>
          </w:p>
          <w:p w14:paraId="568E5D67" w14:textId="1BA8D3E2" w:rsidR="00C47CAD" w:rsidRDefault="00C47CAD" w:rsidP="00C47CAD">
            <w:pPr>
              <w:spacing w:line="360" w:lineRule="auto"/>
              <w:jc w:val="both"/>
              <w:rPr>
                <w:rFonts w:ascii="Tahoma" w:eastAsia="Tahoma" w:hAnsi="Tahoma" w:cs="Tahoma"/>
                <w:bCs/>
                <w:color w:val="808080"/>
                <w:sz w:val="18"/>
                <w:szCs w:val="18"/>
              </w:rPr>
            </w:pPr>
          </w:p>
          <w:p w14:paraId="2E21A958" w14:textId="347D644E" w:rsidR="00C47CAD" w:rsidRPr="006B3CBD" w:rsidRDefault="00D22E38" w:rsidP="00C47CAD">
            <w:pPr>
              <w:spacing w:line="360" w:lineRule="auto"/>
              <w:jc w:val="both"/>
              <w:rPr>
                <w:rFonts w:ascii="Tahoma" w:eastAsia="Tahoma" w:hAnsi="Tahoma" w:cs="Tahoma"/>
                <w:bCs/>
                <w:color w:val="808080"/>
                <w:sz w:val="18"/>
                <w:szCs w:val="18"/>
              </w:rPr>
            </w:pPr>
            <w:r>
              <w:rPr>
                <w:rFonts w:ascii="Tahoma" w:hAnsi="Tahoma"/>
                <w:color w:val="808080"/>
                <w:sz w:val="18"/>
              </w:rPr>
              <w:t xml:space="preserve">We view positively the decision of the ordering parties in the infrastructure area to increase the indexes of valorisation of construction contracts. In the face of persistently higher inflation and general economic uncertainty, this allows us to stabilize the profitability of long-term orders and, consequently, has a positive impact on the stability of the entire sector. </w:t>
            </w:r>
          </w:p>
          <w:p w14:paraId="36D540BF" w14:textId="77777777" w:rsidR="00C47CAD" w:rsidRDefault="00C47CAD" w:rsidP="00C47CAD">
            <w:pPr>
              <w:spacing w:line="360" w:lineRule="auto"/>
              <w:jc w:val="both"/>
              <w:rPr>
                <w:rFonts w:ascii="Tahoma" w:eastAsia="Tahoma" w:hAnsi="Tahoma" w:cs="Tahoma"/>
                <w:bCs/>
                <w:color w:val="808080"/>
                <w:sz w:val="18"/>
                <w:szCs w:val="18"/>
              </w:rPr>
            </w:pPr>
          </w:p>
          <w:p w14:paraId="00B6F614" w14:textId="628DFCFD" w:rsidR="00B335BA" w:rsidRDefault="00D22E38"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The challenges of the coming quarters are primarily new orders for the contract portfolio. On the one hand, our concerns about the tightening of competition in the road market are becoming more and more probable. It is possible that in the perspective of several quarters, the consequence of aggressive pricing policies of competitors will be pressure on margins in the industry. Given the uncertain macroeconomic situation and fluctuations in material prices, we invariably take a cautious approach to new bids, calculating cost estimates fairly and responsibly. We hope that other market participants will also approach bidding in the coming months with integrity and due caution. On the other hand, we are observing continued delays in the financing of rail projects, where we have several important contracts waiting to be signed. This only reinforces our conviction that the chosen directions of development, including segmental diversification by strengthening our position in the hydraulic engineering and military segments, as well as expansion into foreign markets, will allow us to maintain the long-term trend of growth in the contract portfolio and revenues of the construction segment while maintaining stable profitability. We hope that our own projects from the RES field will ensure additional growth. </w:t>
            </w:r>
          </w:p>
          <w:p w14:paraId="7393836A" w14:textId="77777777" w:rsidR="00B335BA" w:rsidRDefault="00B335BA" w:rsidP="004572A8">
            <w:pPr>
              <w:spacing w:line="360" w:lineRule="auto"/>
              <w:jc w:val="both"/>
              <w:rPr>
                <w:rFonts w:ascii="Tahoma" w:eastAsia="Tahoma" w:hAnsi="Tahoma" w:cs="Tahoma"/>
                <w:bCs/>
                <w:color w:val="808080"/>
                <w:sz w:val="18"/>
                <w:szCs w:val="18"/>
              </w:rPr>
            </w:pPr>
          </w:p>
          <w:p w14:paraId="14B1DD62" w14:textId="2AC578E7" w:rsidR="004572A8" w:rsidRDefault="00B335BA" w:rsidP="004572A8">
            <w:pPr>
              <w:spacing w:line="360" w:lineRule="auto"/>
              <w:jc w:val="both"/>
              <w:rPr>
                <w:rFonts w:ascii="Tahoma" w:eastAsia="Tahoma" w:hAnsi="Tahoma" w:cs="Tahoma"/>
                <w:bCs/>
                <w:color w:val="808080"/>
                <w:sz w:val="18"/>
                <w:szCs w:val="18"/>
              </w:rPr>
            </w:pPr>
            <w:r>
              <w:rPr>
                <w:rFonts w:ascii="Tahoma" w:hAnsi="Tahoma"/>
                <w:color w:val="808080"/>
                <w:sz w:val="18"/>
              </w:rPr>
              <w:t xml:space="preserve">Continuing on the course of dynamic development in the area of renewable energy investments, in recent weeks we have signed an agreement with our partner Ferrovial to establish a new joint venture, BXF Energia, which is currently working on projects of 110 MW in wind power and 112 MW in photovoltaics at various stages of advancement. In a perspective of 4-5 years, our goal is a portfolio of renewable energy projects with about 500 MW of wind and solar power in operation or under construction. </w:t>
            </w:r>
          </w:p>
          <w:p w14:paraId="4AA35378" w14:textId="77777777" w:rsidR="00DE3B1D" w:rsidRDefault="00DE3B1D" w:rsidP="004572A8">
            <w:pPr>
              <w:spacing w:line="360" w:lineRule="auto"/>
              <w:jc w:val="both"/>
              <w:rPr>
                <w:rFonts w:ascii="Tahoma" w:eastAsia="Tahoma" w:hAnsi="Tahoma" w:cs="Tahoma"/>
                <w:bCs/>
                <w:color w:val="808080"/>
                <w:sz w:val="18"/>
                <w:szCs w:val="18"/>
              </w:rPr>
            </w:pPr>
          </w:p>
          <w:p w14:paraId="22A8F490" w14:textId="6FF78497" w:rsidR="00DE3B1D" w:rsidRPr="00DE3B1D" w:rsidRDefault="00DE3B1D" w:rsidP="004572A8">
            <w:pPr>
              <w:spacing w:line="360" w:lineRule="auto"/>
              <w:jc w:val="both"/>
              <w:rPr>
                <w:rFonts w:ascii="Tahoma" w:eastAsia="Tahoma" w:hAnsi="Tahoma" w:cs="Tahoma"/>
                <w:b/>
                <w:color w:val="808080"/>
                <w:sz w:val="18"/>
                <w:szCs w:val="18"/>
              </w:rPr>
            </w:pPr>
            <w:r>
              <w:rPr>
                <w:rFonts w:ascii="Tahoma" w:hAnsi="Tahoma"/>
                <w:b/>
                <w:color w:val="808080"/>
                <w:sz w:val="18"/>
              </w:rPr>
              <w:t xml:space="preserve">Awards and distinctions </w:t>
            </w:r>
          </w:p>
          <w:p w14:paraId="40FA090A" w14:textId="77777777" w:rsidR="00DE3B1D" w:rsidRDefault="00DE3B1D" w:rsidP="004572A8">
            <w:pPr>
              <w:spacing w:line="360" w:lineRule="auto"/>
              <w:jc w:val="both"/>
              <w:rPr>
                <w:rFonts w:ascii="Tahoma" w:eastAsia="Tahoma" w:hAnsi="Tahoma" w:cs="Tahoma"/>
                <w:bCs/>
                <w:color w:val="808080"/>
                <w:sz w:val="18"/>
                <w:szCs w:val="18"/>
              </w:rPr>
            </w:pPr>
          </w:p>
          <w:p w14:paraId="3A03BEE6" w14:textId="259DE2E2" w:rsidR="00DE3B1D" w:rsidRPr="00DE3B1D" w:rsidRDefault="00DE3B1D" w:rsidP="00DE3B1D">
            <w:pPr>
              <w:spacing w:line="360" w:lineRule="auto"/>
              <w:jc w:val="both"/>
              <w:rPr>
                <w:rFonts w:ascii="Tahoma" w:eastAsia="Tahoma" w:hAnsi="Tahoma" w:cs="Tahoma"/>
                <w:bCs/>
                <w:color w:val="808080"/>
                <w:sz w:val="18"/>
                <w:szCs w:val="18"/>
              </w:rPr>
            </w:pPr>
            <w:r>
              <w:rPr>
                <w:rFonts w:ascii="Tahoma" w:hAnsi="Tahoma"/>
                <w:color w:val="808080"/>
                <w:sz w:val="18"/>
              </w:rPr>
              <w:t xml:space="preserve">Supporting the development of the national economy and improving the quality of life of the beneficiaries of the investments made are among the key objectives of Budimex activities. Our commitment is reflected in the awards granted to the company in the </w:t>
            </w:r>
            <w:r>
              <w:rPr>
                <w:rFonts w:ascii="Tahoma" w:hAnsi="Tahoma"/>
                <w:color w:val="808080"/>
                <w:sz w:val="18"/>
              </w:rPr>
              <w:lastRenderedPageBreak/>
              <w:t xml:space="preserve">first quarter of this year. We received WNP Award for our contribution towards changing the Polish market for the better and the title of Dividend Company of the Year 2022 awarded by Invest Cuffs foundation. Budimex was also named by the </w:t>
            </w:r>
            <w:r>
              <w:rPr>
                <w:rFonts w:ascii="Tahoma" w:hAnsi="Tahoma"/>
                <w:i/>
                <w:iCs/>
                <w:color w:val="808080"/>
                <w:sz w:val="18"/>
              </w:rPr>
              <w:t>Builder</w:t>
            </w:r>
            <w:r>
              <w:rPr>
                <w:rFonts w:ascii="Tahoma" w:hAnsi="Tahoma"/>
                <w:color w:val="808080"/>
                <w:sz w:val="18"/>
              </w:rPr>
              <w:t xml:space="preserve"> magazine as the Construction Company of the Year.</w:t>
            </w:r>
          </w:p>
          <w:p w14:paraId="4EFD56AA" w14:textId="77777777" w:rsidR="00DE3B1D" w:rsidRDefault="00DE3B1D" w:rsidP="00DE3B1D">
            <w:pPr>
              <w:spacing w:line="360" w:lineRule="auto"/>
              <w:jc w:val="both"/>
              <w:rPr>
                <w:rFonts w:ascii="Tahoma" w:eastAsia="Tahoma" w:hAnsi="Tahoma" w:cs="Tahoma"/>
                <w:bCs/>
                <w:color w:val="808080"/>
                <w:sz w:val="18"/>
                <w:szCs w:val="18"/>
              </w:rPr>
            </w:pPr>
          </w:p>
          <w:p w14:paraId="3CBF4E54" w14:textId="4C59DD6E" w:rsidR="00DE3B1D" w:rsidRPr="00DE3B1D" w:rsidRDefault="00DE3B1D" w:rsidP="00DE3B1D">
            <w:pPr>
              <w:spacing w:line="360" w:lineRule="auto"/>
              <w:jc w:val="both"/>
              <w:rPr>
                <w:rFonts w:ascii="Tahoma" w:eastAsia="Tahoma" w:hAnsi="Tahoma" w:cs="Tahoma"/>
                <w:b/>
                <w:color w:val="808080"/>
                <w:sz w:val="18"/>
                <w:szCs w:val="18"/>
              </w:rPr>
            </w:pPr>
            <w:r>
              <w:rPr>
                <w:rFonts w:ascii="Tahoma" w:hAnsi="Tahoma"/>
                <w:b/>
                <w:color w:val="808080"/>
                <w:sz w:val="18"/>
              </w:rPr>
              <w:t>Education</w:t>
            </w:r>
          </w:p>
          <w:p w14:paraId="5573F722" w14:textId="77777777" w:rsidR="00DE3B1D" w:rsidRDefault="00DE3B1D" w:rsidP="00DE3B1D">
            <w:pPr>
              <w:spacing w:line="360" w:lineRule="auto"/>
              <w:jc w:val="both"/>
              <w:rPr>
                <w:rFonts w:ascii="Tahoma" w:eastAsia="Tahoma" w:hAnsi="Tahoma" w:cs="Tahoma"/>
                <w:bCs/>
                <w:color w:val="808080"/>
                <w:sz w:val="18"/>
                <w:szCs w:val="18"/>
              </w:rPr>
            </w:pPr>
          </w:p>
          <w:p w14:paraId="00AF16ED" w14:textId="77777777" w:rsidR="00DE3B1D" w:rsidRDefault="00DE3B1D" w:rsidP="00DE3B1D">
            <w:pPr>
              <w:spacing w:line="360" w:lineRule="auto"/>
              <w:jc w:val="both"/>
              <w:rPr>
                <w:rFonts w:ascii="Tahoma" w:eastAsia="Tahoma" w:hAnsi="Tahoma" w:cs="Tahoma"/>
                <w:bCs/>
                <w:color w:val="808080"/>
                <w:sz w:val="18"/>
                <w:szCs w:val="18"/>
              </w:rPr>
            </w:pPr>
            <w:r>
              <w:rPr>
                <w:rFonts w:ascii="Tahoma" w:hAnsi="Tahoma"/>
                <w:color w:val="808080"/>
                <w:sz w:val="18"/>
              </w:rPr>
              <w:t xml:space="preserve">Continuing our efforts to promote jobs in the construction industry, </w:t>
            </w:r>
            <w:r>
              <w:rPr>
                <w:rFonts w:ascii="Tahoma" w:hAnsi="Tahoma"/>
                <w:color w:val="808080"/>
                <w:sz w:val="18"/>
              </w:rPr>
              <w:br/>
              <w:t xml:space="preserve">in early March, we initiated a new instalment of the Budimex Academy student internship program. The “Praktyka jest miarą sukcesu” [Internship is a measure of success] project will benefit 250 students from across the whole Poland. As part of our activities targeting secondary schools, in the first quarter of 2023 we established cooperation with the Technikum Kolejowe [Railway Secondary Technical School] in Warsaw, including joint scientific and technical activities and training ventures. </w:t>
            </w:r>
          </w:p>
          <w:p w14:paraId="59D7C1F7" w14:textId="77777777" w:rsidR="00DE3B1D" w:rsidRDefault="00DE3B1D" w:rsidP="00DE3B1D">
            <w:pPr>
              <w:spacing w:line="360" w:lineRule="auto"/>
              <w:jc w:val="both"/>
              <w:rPr>
                <w:rFonts w:ascii="Tahoma" w:eastAsia="Tahoma" w:hAnsi="Tahoma" w:cs="Tahoma"/>
                <w:bCs/>
                <w:color w:val="808080"/>
                <w:sz w:val="18"/>
                <w:szCs w:val="18"/>
              </w:rPr>
            </w:pPr>
          </w:p>
          <w:p w14:paraId="59A8AF67" w14:textId="27C011EE" w:rsidR="00DE3B1D" w:rsidRDefault="00DE3B1D" w:rsidP="00DE3B1D">
            <w:pPr>
              <w:spacing w:line="360" w:lineRule="auto"/>
              <w:jc w:val="both"/>
              <w:rPr>
                <w:rFonts w:ascii="Tahoma" w:eastAsia="Tahoma" w:hAnsi="Tahoma" w:cs="Tahoma"/>
                <w:bCs/>
                <w:color w:val="808080"/>
                <w:sz w:val="18"/>
                <w:szCs w:val="18"/>
              </w:rPr>
            </w:pPr>
            <w:r>
              <w:rPr>
                <w:rFonts w:ascii="Tahoma" w:hAnsi="Tahoma"/>
                <w:color w:val="808080"/>
                <w:sz w:val="18"/>
              </w:rPr>
              <w:t>At the same time we are also implementing a special project with the Zwolnieni z Teorii [Exempt From Theory] Foundation, which had its grand finale on April 21. Over the course of several months, we visited 127 secondary technical schools across Poland. We established cooperation with 40 schools, and 34 teams of students, in cooperation with our experts, took on the challenge of creating original CSR projects. Starting on 1 March, a group of program participants also began internships at Budimex.</w:t>
            </w:r>
          </w:p>
          <w:p w14:paraId="5035E1AB" w14:textId="77777777" w:rsidR="00DE3B1D" w:rsidRDefault="00DE3B1D" w:rsidP="00DE3B1D">
            <w:pPr>
              <w:spacing w:line="360" w:lineRule="auto"/>
              <w:jc w:val="both"/>
              <w:rPr>
                <w:rFonts w:ascii="Tahoma" w:eastAsia="Tahoma" w:hAnsi="Tahoma" w:cs="Tahoma"/>
                <w:bCs/>
                <w:color w:val="808080"/>
                <w:sz w:val="18"/>
                <w:szCs w:val="18"/>
              </w:rPr>
            </w:pPr>
          </w:p>
          <w:p w14:paraId="4FABC01B" w14:textId="51580EBA" w:rsidR="00DE3B1D" w:rsidRPr="00DE3B1D" w:rsidRDefault="00DE3B1D" w:rsidP="00DE3B1D">
            <w:pPr>
              <w:spacing w:line="360" w:lineRule="auto"/>
              <w:jc w:val="both"/>
              <w:rPr>
                <w:rFonts w:ascii="Tahoma" w:eastAsia="Tahoma" w:hAnsi="Tahoma" w:cs="Tahoma"/>
                <w:b/>
                <w:color w:val="808080"/>
                <w:sz w:val="18"/>
                <w:szCs w:val="18"/>
              </w:rPr>
            </w:pPr>
            <w:r>
              <w:rPr>
                <w:rFonts w:ascii="Tahoma" w:hAnsi="Tahoma"/>
                <w:b/>
                <w:color w:val="808080"/>
                <w:sz w:val="18"/>
              </w:rPr>
              <w:t>ESG activities</w:t>
            </w:r>
          </w:p>
          <w:p w14:paraId="3C64A1A3" w14:textId="77777777" w:rsidR="00DE3B1D" w:rsidRDefault="00DE3B1D" w:rsidP="00DE3B1D">
            <w:pPr>
              <w:spacing w:line="360" w:lineRule="auto"/>
              <w:jc w:val="both"/>
              <w:rPr>
                <w:rFonts w:ascii="Tahoma" w:eastAsia="Tahoma" w:hAnsi="Tahoma" w:cs="Tahoma"/>
                <w:bCs/>
                <w:color w:val="808080"/>
                <w:sz w:val="18"/>
                <w:szCs w:val="18"/>
              </w:rPr>
            </w:pPr>
          </w:p>
          <w:p w14:paraId="482ECE6B" w14:textId="074ECEB2" w:rsidR="00DE3B1D" w:rsidRPr="00DE3B1D" w:rsidRDefault="00DE3B1D" w:rsidP="00DE3B1D">
            <w:pPr>
              <w:spacing w:line="360" w:lineRule="auto"/>
              <w:jc w:val="both"/>
              <w:rPr>
                <w:rFonts w:ascii="Tahoma" w:eastAsia="Tahoma" w:hAnsi="Tahoma" w:cs="Tahoma"/>
                <w:bCs/>
                <w:color w:val="808080"/>
                <w:sz w:val="18"/>
                <w:szCs w:val="18"/>
              </w:rPr>
            </w:pPr>
            <w:r>
              <w:rPr>
                <w:rFonts w:ascii="Tahoma" w:hAnsi="Tahoma"/>
                <w:color w:val="808080"/>
                <w:sz w:val="18"/>
              </w:rPr>
              <w:t xml:space="preserve">As Budimex we want to be a good neighbour who responds to the needs of local communities. As the general contractor of the construction of the tramway to Warsaw's Wilanów district, we are covering the urban space with greenery. At the beginning of the year, we launched the first stage of the “Przystanek Zieleń” [Greenery Stop] project, in which we will plant 400 additional trees by spring 2024 and eventually 1,000, including compensatory plantings, along the tramway line in the Mokotów and Wilanów districts. </w:t>
            </w:r>
          </w:p>
          <w:p w14:paraId="6264F1F1" w14:textId="46B1C7FF" w:rsidR="00DE3B1D" w:rsidRDefault="00DE3B1D" w:rsidP="00DE3B1D">
            <w:pPr>
              <w:spacing w:line="360" w:lineRule="auto"/>
              <w:jc w:val="both"/>
              <w:rPr>
                <w:rFonts w:ascii="Tahoma" w:eastAsia="Tahoma" w:hAnsi="Tahoma" w:cs="Tahoma"/>
                <w:bCs/>
                <w:color w:val="808080"/>
                <w:sz w:val="18"/>
                <w:szCs w:val="18"/>
              </w:rPr>
            </w:pPr>
            <w:r>
              <w:rPr>
                <w:rFonts w:ascii="Tahoma" w:hAnsi="Tahoma"/>
                <w:color w:val="808080"/>
                <w:sz w:val="18"/>
              </w:rPr>
              <w:t>As a company with roots in the construction industry, we also attach great importance to safety. At the beginning of this year, the third edition of Budimex proprietary program “Hello ICE” was launched, under the patronage of the Ministry of Sport and Tourism. The aim of the project is to promote appropriate behaviour on the road among children. The first day of educational classes took place in Ziębice.</w:t>
            </w:r>
          </w:p>
          <w:p w14:paraId="76C69578" w14:textId="77777777" w:rsidR="004572A8" w:rsidRDefault="004572A8" w:rsidP="004572A8">
            <w:pPr>
              <w:spacing w:line="360" w:lineRule="auto"/>
              <w:jc w:val="both"/>
              <w:rPr>
                <w:rFonts w:ascii="Tahoma" w:eastAsia="Tahoma" w:hAnsi="Tahoma" w:cs="Tahoma"/>
                <w:bCs/>
                <w:color w:val="808080"/>
                <w:sz w:val="18"/>
                <w:szCs w:val="18"/>
              </w:rPr>
            </w:pPr>
          </w:p>
          <w:p w14:paraId="6571AEF4" w14:textId="2B882714" w:rsidR="004572A8" w:rsidRDefault="004572A8" w:rsidP="004572A8">
            <w:pPr>
              <w:spacing w:line="360" w:lineRule="auto"/>
              <w:jc w:val="both"/>
              <w:rPr>
                <w:rFonts w:ascii="Tahoma" w:eastAsia="Tahoma" w:hAnsi="Tahoma" w:cs="Tahoma"/>
                <w:bCs/>
                <w:color w:val="808080"/>
                <w:sz w:val="18"/>
                <w:szCs w:val="18"/>
              </w:rPr>
            </w:pPr>
          </w:p>
          <w:p w14:paraId="370CC10A" w14:textId="5551A593" w:rsidR="00FC43CA" w:rsidRPr="00D22E38" w:rsidRDefault="00FC43CA" w:rsidP="00FC43CA">
            <w:pPr>
              <w:spacing w:line="360" w:lineRule="auto"/>
              <w:jc w:val="both"/>
              <w:rPr>
                <w:rFonts w:ascii="Tahoma" w:eastAsia="Tahoma" w:hAnsi="Tahoma" w:cs="Tahoma"/>
                <w:bCs/>
                <w:color w:val="808080"/>
                <w:sz w:val="18"/>
                <w:szCs w:val="18"/>
              </w:rPr>
            </w:pPr>
          </w:p>
          <w:p w14:paraId="327C1819" w14:textId="77777777" w:rsidR="00FC43CA" w:rsidRPr="002C6B44" w:rsidRDefault="00FC43CA" w:rsidP="00FC43CA">
            <w:pPr>
              <w:spacing w:line="360" w:lineRule="auto"/>
              <w:jc w:val="both"/>
              <w:rPr>
                <w:rFonts w:ascii="Tahoma" w:eastAsia="Tahoma" w:hAnsi="Tahoma" w:cs="Tahoma"/>
                <w:bCs/>
                <w:color w:val="808080"/>
                <w:sz w:val="18"/>
                <w:szCs w:val="18"/>
                <w:highlight w:val="yellow"/>
              </w:rPr>
            </w:pPr>
          </w:p>
          <w:p w14:paraId="77CBA608" w14:textId="77777777" w:rsidR="00FC43CA" w:rsidRPr="002C6B44" w:rsidRDefault="00FC43CA" w:rsidP="00FC43CA">
            <w:pPr>
              <w:spacing w:line="360" w:lineRule="auto"/>
              <w:jc w:val="both"/>
              <w:rPr>
                <w:rFonts w:ascii="Tahoma" w:eastAsia="Tahoma" w:hAnsi="Tahoma" w:cs="Tahoma"/>
                <w:bCs/>
                <w:color w:val="808080"/>
                <w:sz w:val="18"/>
                <w:szCs w:val="18"/>
                <w:highlight w:val="yellow"/>
              </w:rPr>
            </w:pPr>
          </w:p>
          <w:p w14:paraId="3F66AD2F" w14:textId="77777777" w:rsidR="00FC43CA" w:rsidRPr="002C6B44" w:rsidRDefault="00FC43CA" w:rsidP="00FC43CA">
            <w:pPr>
              <w:spacing w:line="360" w:lineRule="auto"/>
              <w:jc w:val="both"/>
              <w:rPr>
                <w:rFonts w:ascii="Tahoma" w:eastAsia="Tahoma" w:hAnsi="Tahoma" w:cs="Tahoma"/>
                <w:bCs/>
                <w:color w:val="808080"/>
                <w:sz w:val="18"/>
                <w:szCs w:val="18"/>
                <w:highlight w:val="yellow"/>
              </w:rPr>
            </w:pPr>
            <w:r>
              <w:rPr>
                <w:rFonts w:ascii="Tahoma" w:hAnsi="Tahoma"/>
                <w:color w:val="808080"/>
                <w:sz w:val="18"/>
                <w:highlight w:val="yellow"/>
              </w:rPr>
              <w:t>‎</w:t>
            </w:r>
          </w:p>
          <w:p w14:paraId="44BE80C7" w14:textId="75187DB9" w:rsidR="00DE4D7D" w:rsidRPr="00FC43CA" w:rsidRDefault="00DE4D7D" w:rsidP="00FC43CA">
            <w:pPr>
              <w:spacing w:line="360" w:lineRule="auto"/>
              <w:jc w:val="both"/>
              <w:rPr>
                <w:rFonts w:ascii="Tahoma" w:eastAsia="Tahoma" w:hAnsi="Tahoma" w:cs="Tahoma"/>
                <w:bCs/>
                <w:color w:val="808080"/>
                <w:sz w:val="18"/>
                <w:szCs w:val="18"/>
              </w:rPr>
            </w:pPr>
          </w:p>
        </w:tc>
        <w:tc>
          <w:tcPr>
            <w:tcW w:w="3166" w:type="dxa"/>
          </w:tcPr>
          <w:p w14:paraId="5B5F2F21" w14:textId="2DED115D" w:rsidR="00D824D3" w:rsidRPr="00FC43CA" w:rsidRDefault="00D824D3">
            <w:pPr>
              <w:spacing w:line="360" w:lineRule="auto"/>
              <w:jc w:val="center"/>
              <w:rPr>
                <w:rFonts w:ascii="Tahoma" w:eastAsia="Tahoma" w:hAnsi="Tahoma" w:cs="Tahoma"/>
                <w:bCs/>
                <w:color w:val="FFC000"/>
              </w:rPr>
            </w:pPr>
          </w:p>
          <w:p w14:paraId="6D9FE0D9" w14:textId="77777777" w:rsidR="00D824D3" w:rsidRPr="00FC43CA" w:rsidRDefault="00D824D3">
            <w:pPr>
              <w:spacing w:line="360" w:lineRule="auto"/>
              <w:jc w:val="center"/>
              <w:rPr>
                <w:rFonts w:ascii="Tahoma" w:eastAsia="Tahoma" w:hAnsi="Tahoma" w:cs="Tahoma"/>
                <w:bCs/>
                <w:color w:val="FFC000"/>
              </w:rPr>
            </w:pPr>
          </w:p>
          <w:p w14:paraId="2981D933" w14:textId="77777777" w:rsidR="00D824D3" w:rsidRPr="00FC43CA" w:rsidRDefault="00D824D3">
            <w:pPr>
              <w:spacing w:line="360" w:lineRule="auto"/>
              <w:jc w:val="center"/>
              <w:rPr>
                <w:rFonts w:ascii="Tahoma" w:eastAsia="Tahoma" w:hAnsi="Tahoma" w:cs="Tahoma"/>
                <w:bCs/>
                <w:color w:val="FFC000"/>
              </w:rPr>
            </w:pPr>
          </w:p>
          <w:p w14:paraId="75763072" w14:textId="77777777" w:rsidR="00D824D3" w:rsidRPr="00FC43CA" w:rsidRDefault="00D824D3">
            <w:pPr>
              <w:spacing w:line="360" w:lineRule="auto"/>
              <w:jc w:val="center"/>
              <w:rPr>
                <w:rFonts w:ascii="Tahoma" w:eastAsia="Tahoma" w:hAnsi="Tahoma" w:cs="Tahoma"/>
                <w:bCs/>
                <w:color w:val="FFC000"/>
              </w:rPr>
            </w:pPr>
          </w:p>
          <w:p w14:paraId="522D8B16" w14:textId="77777777" w:rsidR="00D824D3" w:rsidRPr="00FC43CA" w:rsidRDefault="00D824D3">
            <w:pPr>
              <w:spacing w:line="360" w:lineRule="auto"/>
              <w:jc w:val="center"/>
              <w:rPr>
                <w:rFonts w:ascii="Tahoma" w:eastAsia="Tahoma" w:hAnsi="Tahoma" w:cs="Tahoma"/>
                <w:bCs/>
                <w:color w:val="FFC000"/>
              </w:rPr>
            </w:pPr>
          </w:p>
          <w:p w14:paraId="383DA6A1" w14:textId="77777777" w:rsidR="00D824D3" w:rsidRPr="00FC43CA" w:rsidRDefault="00D824D3">
            <w:pPr>
              <w:spacing w:line="360" w:lineRule="auto"/>
              <w:jc w:val="center"/>
              <w:rPr>
                <w:rFonts w:ascii="Tahoma" w:eastAsia="Tahoma" w:hAnsi="Tahoma" w:cs="Tahoma"/>
                <w:bCs/>
                <w:color w:val="FFC000"/>
              </w:rPr>
            </w:pPr>
          </w:p>
          <w:p w14:paraId="302E4DF3" w14:textId="77777777" w:rsidR="00D824D3" w:rsidRPr="00FC43CA" w:rsidRDefault="00D824D3">
            <w:pPr>
              <w:spacing w:after="120" w:line="360" w:lineRule="auto"/>
              <w:rPr>
                <w:rFonts w:ascii="Verdana" w:eastAsia="Verdana" w:hAnsi="Verdana" w:cs="Verdana"/>
                <w:bCs/>
                <w:color w:val="FFC000"/>
                <w:sz w:val="20"/>
                <w:szCs w:val="20"/>
              </w:rPr>
            </w:pPr>
          </w:p>
          <w:p w14:paraId="7B71267C" w14:textId="77777777" w:rsidR="00D824D3" w:rsidRPr="00775CAB" w:rsidRDefault="00B63B5B">
            <w:pPr>
              <w:spacing w:after="120" w:line="360" w:lineRule="auto"/>
              <w:rPr>
                <w:rFonts w:ascii="Verdana" w:eastAsia="Verdana" w:hAnsi="Verdana" w:cs="Verdana"/>
                <w:bCs/>
                <w:color w:val="FFC000"/>
                <w:sz w:val="20"/>
                <w:szCs w:val="20"/>
              </w:rPr>
            </w:pPr>
            <w:r>
              <w:rPr>
                <w:rFonts w:ascii="Verdana" w:hAnsi="Verdana"/>
                <w:color w:val="FFC000"/>
                <w:sz w:val="20"/>
              </w:rPr>
              <w:t xml:space="preserve">Contact: </w:t>
            </w:r>
          </w:p>
          <w:p w14:paraId="3EDE60A1" w14:textId="45C07FB4" w:rsidR="00D824D3" w:rsidRPr="00775CAB" w:rsidRDefault="00B63B5B">
            <w:pPr>
              <w:spacing w:after="120" w:line="360" w:lineRule="auto"/>
              <w:rPr>
                <w:rFonts w:ascii="Verdana" w:eastAsia="Verdana" w:hAnsi="Verdana" w:cs="Verdana"/>
                <w:bCs/>
                <w:color w:val="808080"/>
                <w:sz w:val="18"/>
                <w:szCs w:val="18"/>
              </w:rPr>
            </w:pPr>
            <w:r>
              <w:rPr>
                <w:rFonts w:ascii="Verdana" w:hAnsi="Verdana"/>
                <w:color w:val="808080"/>
                <w:sz w:val="18"/>
              </w:rPr>
              <w:t>Michał Wrzosek – Spokesman</w:t>
            </w:r>
          </w:p>
          <w:p w14:paraId="742DC472" w14:textId="77777777" w:rsidR="00D824D3" w:rsidRPr="00775CAB" w:rsidRDefault="00B63B5B">
            <w:pPr>
              <w:spacing w:line="360" w:lineRule="auto"/>
              <w:rPr>
                <w:rFonts w:ascii="Verdana" w:eastAsia="Verdana" w:hAnsi="Verdana" w:cs="Verdana"/>
                <w:bCs/>
                <w:color w:val="808080"/>
                <w:sz w:val="18"/>
                <w:szCs w:val="18"/>
              </w:rPr>
            </w:pPr>
            <w:r>
              <w:rPr>
                <w:rFonts w:ascii="Verdana" w:hAnsi="Verdana"/>
                <w:color w:val="808080"/>
                <w:sz w:val="18"/>
              </w:rPr>
              <w:t xml:space="preserve">phone (22) 62 36 164, 512 478 522, </w:t>
            </w:r>
          </w:p>
          <w:p w14:paraId="1AD63FF4" w14:textId="77777777" w:rsidR="00D824D3" w:rsidRPr="00775CAB" w:rsidRDefault="00000000">
            <w:pPr>
              <w:spacing w:line="360" w:lineRule="auto"/>
              <w:rPr>
                <w:rFonts w:ascii="Verdana" w:eastAsia="Verdana" w:hAnsi="Verdana" w:cs="Verdana"/>
                <w:bCs/>
                <w:color w:val="808080"/>
                <w:sz w:val="18"/>
                <w:szCs w:val="18"/>
              </w:rPr>
            </w:pPr>
            <w:hyperlink r:id="rId12">
              <w:r>
                <w:rPr>
                  <w:rFonts w:ascii="Verdana" w:hAnsi="Verdana"/>
                  <w:color w:val="808080"/>
                  <w:sz w:val="18"/>
                  <w:u w:val="single"/>
                </w:rPr>
                <w:t>michal.wrzosek@budimex.pl</w:t>
              </w:r>
            </w:hyperlink>
          </w:p>
          <w:p w14:paraId="286034E8" w14:textId="77777777" w:rsidR="00D824D3" w:rsidRPr="00775CAB" w:rsidRDefault="00000000">
            <w:pPr>
              <w:spacing w:before="280" w:after="280" w:line="360" w:lineRule="auto"/>
              <w:jc w:val="both"/>
              <w:rPr>
                <w:rFonts w:ascii="Tahoma" w:eastAsia="Tahoma" w:hAnsi="Tahoma" w:cs="Tahoma"/>
                <w:bCs/>
                <w:color w:val="7F7F7F"/>
                <w:sz w:val="18"/>
                <w:szCs w:val="18"/>
              </w:rPr>
            </w:pPr>
            <w:hyperlink r:id="rId13">
              <w:r>
                <w:rPr>
                  <w:rFonts w:ascii="Tahoma" w:hAnsi="Tahoma"/>
                  <w:color w:val="7F7F7F"/>
                  <w:sz w:val="18"/>
                  <w:u w:val="single"/>
                </w:rPr>
                <w:t>www.media.budimex.pl</w:t>
              </w:r>
            </w:hyperlink>
          </w:p>
          <w:p w14:paraId="0DDA63C7" w14:textId="77777777" w:rsidR="00D824D3" w:rsidRPr="00775CAB" w:rsidRDefault="00D824D3">
            <w:pPr>
              <w:spacing w:line="360" w:lineRule="auto"/>
              <w:jc w:val="center"/>
              <w:rPr>
                <w:rFonts w:ascii="Tahoma" w:eastAsia="Tahoma" w:hAnsi="Tahoma" w:cs="Tahoma"/>
                <w:bCs/>
                <w:color w:val="FFC000"/>
              </w:rPr>
            </w:pPr>
          </w:p>
          <w:p w14:paraId="0E328550" w14:textId="77777777" w:rsidR="00D824D3" w:rsidRPr="00775CAB" w:rsidRDefault="00D824D3">
            <w:pPr>
              <w:spacing w:line="360" w:lineRule="auto"/>
              <w:jc w:val="center"/>
              <w:rPr>
                <w:rFonts w:ascii="Tahoma" w:eastAsia="Tahoma" w:hAnsi="Tahoma" w:cs="Tahoma"/>
                <w:bCs/>
                <w:color w:val="FFC000"/>
              </w:rPr>
            </w:pPr>
          </w:p>
          <w:p w14:paraId="4331147F" w14:textId="77777777" w:rsidR="00D824D3" w:rsidRPr="00775CAB" w:rsidRDefault="00D824D3">
            <w:pPr>
              <w:spacing w:line="360" w:lineRule="auto"/>
              <w:jc w:val="center"/>
              <w:rPr>
                <w:rFonts w:ascii="Tahoma" w:eastAsia="Tahoma" w:hAnsi="Tahoma" w:cs="Tahoma"/>
                <w:bCs/>
                <w:color w:val="FFC000"/>
              </w:rPr>
            </w:pPr>
          </w:p>
          <w:p w14:paraId="4CEC1C16" w14:textId="77777777" w:rsidR="00D824D3" w:rsidRPr="00775CAB" w:rsidRDefault="00D824D3">
            <w:pPr>
              <w:spacing w:line="360" w:lineRule="auto"/>
              <w:jc w:val="center"/>
              <w:rPr>
                <w:rFonts w:ascii="Tahoma" w:eastAsia="Tahoma" w:hAnsi="Tahoma" w:cs="Tahoma"/>
                <w:bCs/>
                <w:color w:val="FFC000"/>
              </w:rPr>
            </w:pPr>
          </w:p>
        </w:tc>
      </w:tr>
    </w:tbl>
    <w:p w14:paraId="6E7F5698" w14:textId="7B88D0D5" w:rsidR="00D824D3" w:rsidRDefault="00D824D3" w:rsidP="00AD7834">
      <w:pPr>
        <w:spacing w:line="360" w:lineRule="auto"/>
        <w:ind w:right="1"/>
        <w:jc w:val="both"/>
        <w:rPr>
          <w:rFonts w:ascii="Tahoma" w:eastAsia="Tahoma" w:hAnsi="Tahoma" w:cs="Tahoma"/>
          <w:color w:val="808080"/>
          <w:sz w:val="18"/>
          <w:szCs w:val="18"/>
        </w:rPr>
      </w:pPr>
    </w:p>
    <w:sectPr w:rsidR="00D824D3" w:rsidSect="0072600F">
      <w:headerReference w:type="even" r:id="rId14"/>
      <w:headerReference w:type="default" r:id="rId15"/>
      <w:footerReference w:type="even" r:id="rId16"/>
      <w:headerReference w:type="first" r:id="rId17"/>
      <w:footerReference w:type="first" r:id="rId18"/>
      <w:pgSz w:w="11906" w:h="16838"/>
      <w:pgMar w:top="1417" w:right="1133"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D572" w14:textId="77777777" w:rsidR="00046FE8" w:rsidRDefault="00046FE8">
      <w:pPr>
        <w:spacing w:after="0" w:line="240" w:lineRule="auto"/>
      </w:pPr>
      <w:r>
        <w:separator/>
      </w:r>
    </w:p>
  </w:endnote>
  <w:endnote w:type="continuationSeparator" w:id="0">
    <w:p w14:paraId="2CD3B801" w14:textId="77777777" w:rsidR="00046FE8" w:rsidRDefault="0004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00D7"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BC6A" w14:textId="5AAD5BB4" w:rsidR="00D824D3" w:rsidRDefault="0072600F">
    <w:pPr>
      <w:pBdr>
        <w:top w:val="nil"/>
        <w:left w:val="nil"/>
        <w:bottom w:val="nil"/>
        <w:right w:val="nil"/>
        <w:between w:val="nil"/>
      </w:pBdr>
      <w:tabs>
        <w:tab w:val="center" w:pos="4536"/>
        <w:tab w:val="right" w:pos="9072"/>
      </w:tabs>
      <w:spacing w:after="0" w:line="240" w:lineRule="auto"/>
      <w:rPr>
        <w:color w:val="000000"/>
      </w:rPr>
    </w:pPr>
    <w:r w:rsidRPr="00D12E4F">
      <w:rPr>
        <w:rFonts w:eastAsia="Tahoma"/>
        <w:bCs/>
        <w:color w:val="808080"/>
        <w:sz w:val="18"/>
        <w:szCs w:val="18"/>
      </w:rPr>
      <w:footnoteRef/>
    </w:r>
    <w:r w:rsidRPr="00D12E4F">
      <w:rPr>
        <w:rFonts w:ascii="Tahoma" w:eastAsia="Tahoma" w:hAnsi="Tahoma" w:cs="Tahoma"/>
        <w:bCs/>
        <w:color w:val="808080"/>
        <w:sz w:val="18"/>
        <w:szCs w:val="18"/>
      </w:rPr>
      <w:t xml:space="preserve"> </w:t>
    </w:r>
    <w:r w:rsidRPr="0072600F">
      <w:rPr>
        <w:rFonts w:ascii="Tahoma" w:eastAsia="Tahoma" w:hAnsi="Tahoma" w:cs="Tahoma"/>
        <w:bCs/>
        <w:color w:val="808080"/>
        <w:sz w:val="16"/>
        <w:szCs w:val="16"/>
      </w:rPr>
      <w:t>Attributable to shareholders of the Parent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FC36" w14:textId="77777777" w:rsidR="00046FE8" w:rsidRDefault="00046FE8">
      <w:pPr>
        <w:spacing w:after="0" w:line="240" w:lineRule="auto"/>
      </w:pPr>
      <w:r>
        <w:separator/>
      </w:r>
    </w:p>
  </w:footnote>
  <w:footnote w:type="continuationSeparator" w:id="0">
    <w:p w14:paraId="252978C3" w14:textId="77777777" w:rsidR="00046FE8" w:rsidRDefault="0004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D38"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148" w14:textId="77777777" w:rsidR="00D824D3" w:rsidRDefault="00B63B5B">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rPr>
      <w:drawing>
        <wp:anchor distT="0" distB="0" distL="114300" distR="114300" simplePos="0" relativeHeight="251658240" behindDoc="0" locked="0" layoutInCell="1" hidden="0" allowOverlap="1" wp14:anchorId="126564C0" wp14:editId="56D6C67B">
          <wp:simplePos x="0" y="0"/>
          <wp:positionH relativeFrom="column">
            <wp:posOffset>764</wp:posOffset>
          </wp:positionH>
          <wp:positionV relativeFrom="paragraph">
            <wp:posOffset>693</wp:posOffset>
          </wp:positionV>
          <wp:extent cx="1396800" cy="478800"/>
          <wp:effectExtent l="0" t="0" r="0" b="0"/>
          <wp:wrapNone/>
          <wp:docPr id="642022306" name="Obraz 642022306"/>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153E2250" w14:textId="77777777" w:rsidR="00D824D3" w:rsidRDefault="00B63B5B">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0BB711A9" w14:textId="77777777" w:rsidR="00D824D3" w:rsidRDefault="00D824D3">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3E24" w14:textId="77777777" w:rsidR="00D824D3" w:rsidRDefault="00D824D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0672"/>
    <w:multiLevelType w:val="multilevel"/>
    <w:tmpl w:val="CC9AE5D8"/>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ABB07B9"/>
    <w:multiLevelType w:val="hybridMultilevel"/>
    <w:tmpl w:val="FFAAB1F4"/>
    <w:lvl w:ilvl="0" w:tplc="4C107D68">
      <w:start w:val="1"/>
      <w:numFmt w:val="bullet"/>
      <w:lvlText w:val=""/>
      <w:lvlJc w:val="left"/>
      <w:pPr>
        <w:ind w:left="720" w:hanging="360"/>
      </w:pPr>
      <w:rPr>
        <w:rFonts w:ascii="Wingdings" w:hAnsi="Wingdings" w:hint="default"/>
        <w:color w:val="F2B8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6C0F3B"/>
    <w:multiLevelType w:val="hybridMultilevel"/>
    <w:tmpl w:val="049630C4"/>
    <w:lvl w:ilvl="0" w:tplc="18606A88">
      <w:start w:val="1"/>
      <w:numFmt w:val="bullet"/>
      <w:lvlText w:val="•"/>
      <w:lvlJc w:val="left"/>
      <w:pPr>
        <w:tabs>
          <w:tab w:val="num" w:pos="720"/>
        </w:tabs>
        <w:ind w:left="720" w:hanging="360"/>
      </w:pPr>
      <w:rPr>
        <w:rFonts w:ascii="Arial" w:hAnsi="Arial" w:hint="default"/>
      </w:rPr>
    </w:lvl>
    <w:lvl w:ilvl="1" w:tplc="5A9465E8" w:tentative="1">
      <w:start w:val="1"/>
      <w:numFmt w:val="bullet"/>
      <w:lvlText w:val="•"/>
      <w:lvlJc w:val="left"/>
      <w:pPr>
        <w:tabs>
          <w:tab w:val="num" w:pos="1440"/>
        </w:tabs>
        <w:ind w:left="1440" w:hanging="360"/>
      </w:pPr>
      <w:rPr>
        <w:rFonts w:ascii="Arial" w:hAnsi="Arial" w:hint="default"/>
      </w:rPr>
    </w:lvl>
    <w:lvl w:ilvl="2" w:tplc="E4B4936E" w:tentative="1">
      <w:start w:val="1"/>
      <w:numFmt w:val="bullet"/>
      <w:lvlText w:val="•"/>
      <w:lvlJc w:val="left"/>
      <w:pPr>
        <w:tabs>
          <w:tab w:val="num" w:pos="2160"/>
        </w:tabs>
        <w:ind w:left="2160" w:hanging="360"/>
      </w:pPr>
      <w:rPr>
        <w:rFonts w:ascii="Arial" w:hAnsi="Arial" w:hint="default"/>
      </w:rPr>
    </w:lvl>
    <w:lvl w:ilvl="3" w:tplc="78BE8834" w:tentative="1">
      <w:start w:val="1"/>
      <w:numFmt w:val="bullet"/>
      <w:lvlText w:val="•"/>
      <w:lvlJc w:val="left"/>
      <w:pPr>
        <w:tabs>
          <w:tab w:val="num" w:pos="2880"/>
        </w:tabs>
        <w:ind w:left="2880" w:hanging="360"/>
      </w:pPr>
      <w:rPr>
        <w:rFonts w:ascii="Arial" w:hAnsi="Arial" w:hint="default"/>
      </w:rPr>
    </w:lvl>
    <w:lvl w:ilvl="4" w:tplc="ACD28438" w:tentative="1">
      <w:start w:val="1"/>
      <w:numFmt w:val="bullet"/>
      <w:lvlText w:val="•"/>
      <w:lvlJc w:val="left"/>
      <w:pPr>
        <w:tabs>
          <w:tab w:val="num" w:pos="3600"/>
        </w:tabs>
        <w:ind w:left="3600" w:hanging="360"/>
      </w:pPr>
      <w:rPr>
        <w:rFonts w:ascii="Arial" w:hAnsi="Arial" w:hint="default"/>
      </w:rPr>
    </w:lvl>
    <w:lvl w:ilvl="5" w:tplc="EE640EDE" w:tentative="1">
      <w:start w:val="1"/>
      <w:numFmt w:val="bullet"/>
      <w:lvlText w:val="•"/>
      <w:lvlJc w:val="left"/>
      <w:pPr>
        <w:tabs>
          <w:tab w:val="num" w:pos="4320"/>
        </w:tabs>
        <w:ind w:left="4320" w:hanging="360"/>
      </w:pPr>
      <w:rPr>
        <w:rFonts w:ascii="Arial" w:hAnsi="Arial" w:hint="default"/>
      </w:rPr>
    </w:lvl>
    <w:lvl w:ilvl="6" w:tplc="D2B85FF4" w:tentative="1">
      <w:start w:val="1"/>
      <w:numFmt w:val="bullet"/>
      <w:lvlText w:val="•"/>
      <w:lvlJc w:val="left"/>
      <w:pPr>
        <w:tabs>
          <w:tab w:val="num" w:pos="5040"/>
        </w:tabs>
        <w:ind w:left="5040" w:hanging="360"/>
      </w:pPr>
      <w:rPr>
        <w:rFonts w:ascii="Arial" w:hAnsi="Arial" w:hint="default"/>
      </w:rPr>
    </w:lvl>
    <w:lvl w:ilvl="7" w:tplc="75EEB68E" w:tentative="1">
      <w:start w:val="1"/>
      <w:numFmt w:val="bullet"/>
      <w:lvlText w:val="•"/>
      <w:lvlJc w:val="left"/>
      <w:pPr>
        <w:tabs>
          <w:tab w:val="num" w:pos="5760"/>
        </w:tabs>
        <w:ind w:left="5760" w:hanging="360"/>
      </w:pPr>
      <w:rPr>
        <w:rFonts w:ascii="Arial" w:hAnsi="Arial" w:hint="default"/>
      </w:rPr>
    </w:lvl>
    <w:lvl w:ilvl="8" w:tplc="F96096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6E6820"/>
    <w:multiLevelType w:val="hybridMultilevel"/>
    <w:tmpl w:val="C59CA3F4"/>
    <w:lvl w:ilvl="0" w:tplc="4D483C9C">
      <w:start w:val="1"/>
      <w:numFmt w:val="bullet"/>
      <w:lvlText w:val="•"/>
      <w:lvlJc w:val="left"/>
      <w:pPr>
        <w:tabs>
          <w:tab w:val="num" w:pos="720"/>
        </w:tabs>
        <w:ind w:left="720" w:hanging="360"/>
      </w:pPr>
      <w:rPr>
        <w:rFonts w:ascii="Arial" w:hAnsi="Arial" w:hint="default"/>
      </w:rPr>
    </w:lvl>
    <w:lvl w:ilvl="1" w:tplc="B8425C44" w:tentative="1">
      <w:start w:val="1"/>
      <w:numFmt w:val="bullet"/>
      <w:lvlText w:val="•"/>
      <w:lvlJc w:val="left"/>
      <w:pPr>
        <w:tabs>
          <w:tab w:val="num" w:pos="1440"/>
        </w:tabs>
        <w:ind w:left="1440" w:hanging="360"/>
      </w:pPr>
      <w:rPr>
        <w:rFonts w:ascii="Arial" w:hAnsi="Arial" w:hint="default"/>
      </w:rPr>
    </w:lvl>
    <w:lvl w:ilvl="2" w:tplc="F9CC9DAA" w:tentative="1">
      <w:start w:val="1"/>
      <w:numFmt w:val="bullet"/>
      <w:lvlText w:val="•"/>
      <w:lvlJc w:val="left"/>
      <w:pPr>
        <w:tabs>
          <w:tab w:val="num" w:pos="2160"/>
        </w:tabs>
        <w:ind w:left="2160" w:hanging="360"/>
      </w:pPr>
      <w:rPr>
        <w:rFonts w:ascii="Arial" w:hAnsi="Arial" w:hint="default"/>
      </w:rPr>
    </w:lvl>
    <w:lvl w:ilvl="3" w:tplc="FC02A586" w:tentative="1">
      <w:start w:val="1"/>
      <w:numFmt w:val="bullet"/>
      <w:lvlText w:val="•"/>
      <w:lvlJc w:val="left"/>
      <w:pPr>
        <w:tabs>
          <w:tab w:val="num" w:pos="2880"/>
        </w:tabs>
        <w:ind w:left="2880" w:hanging="360"/>
      </w:pPr>
      <w:rPr>
        <w:rFonts w:ascii="Arial" w:hAnsi="Arial" w:hint="default"/>
      </w:rPr>
    </w:lvl>
    <w:lvl w:ilvl="4" w:tplc="78A0F9C8" w:tentative="1">
      <w:start w:val="1"/>
      <w:numFmt w:val="bullet"/>
      <w:lvlText w:val="•"/>
      <w:lvlJc w:val="left"/>
      <w:pPr>
        <w:tabs>
          <w:tab w:val="num" w:pos="3600"/>
        </w:tabs>
        <w:ind w:left="3600" w:hanging="360"/>
      </w:pPr>
      <w:rPr>
        <w:rFonts w:ascii="Arial" w:hAnsi="Arial" w:hint="default"/>
      </w:rPr>
    </w:lvl>
    <w:lvl w:ilvl="5" w:tplc="12BAD974" w:tentative="1">
      <w:start w:val="1"/>
      <w:numFmt w:val="bullet"/>
      <w:lvlText w:val="•"/>
      <w:lvlJc w:val="left"/>
      <w:pPr>
        <w:tabs>
          <w:tab w:val="num" w:pos="4320"/>
        </w:tabs>
        <w:ind w:left="4320" w:hanging="360"/>
      </w:pPr>
      <w:rPr>
        <w:rFonts w:ascii="Arial" w:hAnsi="Arial" w:hint="default"/>
      </w:rPr>
    </w:lvl>
    <w:lvl w:ilvl="6" w:tplc="BBEE4CB6" w:tentative="1">
      <w:start w:val="1"/>
      <w:numFmt w:val="bullet"/>
      <w:lvlText w:val="•"/>
      <w:lvlJc w:val="left"/>
      <w:pPr>
        <w:tabs>
          <w:tab w:val="num" w:pos="5040"/>
        </w:tabs>
        <w:ind w:left="5040" w:hanging="360"/>
      </w:pPr>
      <w:rPr>
        <w:rFonts w:ascii="Arial" w:hAnsi="Arial" w:hint="default"/>
      </w:rPr>
    </w:lvl>
    <w:lvl w:ilvl="7" w:tplc="3A90326E" w:tentative="1">
      <w:start w:val="1"/>
      <w:numFmt w:val="bullet"/>
      <w:lvlText w:val="•"/>
      <w:lvlJc w:val="left"/>
      <w:pPr>
        <w:tabs>
          <w:tab w:val="num" w:pos="5760"/>
        </w:tabs>
        <w:ind w:left="5760" w:hanging="360"/>
      </w:pPr>
      <w:rPr>
        <w:rFonts w:ascii="Arial" w:hAnsi="Arial" w:hint="default"/>
      </w:rPr>
    </w:lvl>
    <w:lvl w:ilvl="8" w:tplc="1B8AE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660AA0"/>
    <w:multiLevelType w:val="multilevel"/>
    <w:tmpl w:val="77F47152"/>
    <w:lvl w:ilvl="0">
      <w:start w:val="1"/>
      <w:numFmt w:val="bullet"/>
      <w:lvlText w:val="●"/>
      <w:lvlJc w:val="left"/>
      <w:pPr>
        <w:ind w:left="1080" w:hanging="360"/>
      </w:pPr>
      <w:rPr>
        <w:rFonts w:ascii="Noto Sans Symbols" w:eastAsia="Noto Sans Symbols" w:hAnsi="Noto Sans Symbols" w:cs="Noto Sans Symbols"/>
        <w:b/>
        <w:color w:val="FFC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45467660">
    <w:abstractNumId w:val="0"/>
  </w:num>
  <w:num w:numId="2" w16cid:durableId="1547525273">
    <w:abstractNumId w:val="5"/>
  </w:num>
  <w:num w:numId="3" w16cid:durableId="1196965386">
    <w:abstractNumId w:val="2"/>
  </w:num>
  <w:num w:numId="4" w16cid:durableId="1619530281">
    <w:abstractNumId w:val="3"/>
  </w:num>
  <w:num w:numId="5" w16cid:durableId="110520937">
    <w:abstractNumId w:val="4"/>
  </w:num>
  <w:num w:numId="6" w16cid:durableId="1049841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zExNDE2MzQzN7dQ0lEKTi0uzszPAykwrAUAqdN6ISwAAAA="/>
  </w:docVars>
  <w:rsids>
    <w:rsidRoot w:val="00D824D3"/>
    <w:rsid w:val="0000116D"/>
    <w:rsid w:val="00002FA2"/>
    <w:rsid w:val="00005901"/>
    <w:rsid w:val="0001222E"/>
    <w:rsid w:val="000150C1"/>
    <w:rsid w:val="0001727E"/>
    <w:rsid w:val="00027A52"/>
    <w:rsid w:val="00032F3D"/>
    <w:rsid w:val="00033E4A"/>
    <w:rsid w:val="00033EEE"/>
    <w:rsid w:val="0003691C"/>
    <w:rsid w:val="00044B01"/>
    <w:rsid w:val="00046FE8"/>
    <w:rsid w:val="000471E4"/>
    <w:rsid w:val="00053E58"/>
    <w:rsid w:val="000550BD"/>
    <w:rsid w:val="00057A58"/>
    <w:rsid w:val="000602EE"/>
    <w:rsid w:val="00061B68"/>
    <w:rsid w:val="00061F85"/>
    <w:rsid w:val="0006314F"/>
    <w:rsid w:val="000644F6"/>
    <w:rsid w:val="00083EB2"/>
    <w:rsid w:val="0008411D"/>
    <w:rsid w:val="00084D2C"/>
    <w:rsid w:val="00084DAA"/>
    <w:rsid w:val="000908AD"/>
    <w:rsid w:val="0009261F"/>
    <w:rsid w:val="000935B7"/>
    <w:rsid w:val="00093C5B"/>
    <w:rsid w:val="00094318"/>
    <w:rsid w:val="00096E60"/>
    <w:rsid w:val="000A0D19"/>
    <w:rsid w:val="000A29DB"/>
    <w:rsid w:val="000A4C94"/>
    <w:rsid w:val="000B0FF0"/>
    <w:rsid w:val="000B38FA"/>
    <w:rsid w:val="000B4EAD"/>
    <w:rsid w:val="000B570C"/>
    <w:rsid w:val="000B7985"/>
    <w:rsid w:val="000C0857"/>
    <w:rsid w:val="000C60FB"/>
    <w:rsid w:val="000D47E8"/>
    <w:rsid w:val="000D4CA2"/>
    <w:rsid w:val="000D51F1"/>
    <w:rsid w:val="000D6166"/>
    <w:rsid w:val="000E4D10"/>
    <w:rsid w:val="000E5514"/>
    <w:rsid w:val="000F478F"/>
    <w:rsid w:val="000F734A"/>
    <w:rsid w:val="000F7CDD"/>
    <w:rsid w:val="00103FBA"/>
    <w:rsid w:val="00106347"/>
    <w:rsid w:val="00115989"/>
    <w:rsid w:val="00116A74"/>
    <w:rsid w:val="00120F42"/>
    <w:rsid w:val="00121797"/>
    <w:rsid w:val="00125739"/>
    <w:rsid w:val="0012600E"/>
    <w:rsid w:val="00131EA2"/>
    <w:rsid w:val="00135A1E"/>
    <w:rsid w:val="001378BE"/>
    <w:rsid w:val="001415FC"/>
    <w:rsid w:val="00147473"/>
    <w:rsid w:val="0015239C"/>
    <w:rsid w:val="00154AF9"/>
    <w:rsid w:val="00164288"/>
    <w:rsid w:val="001652FF"/>
    <w:rsid w:val="0016660D"/>
    <w:rsid w:val="00171E71"/>
    <w:rsid w:val="00176796"/>
    <w:rsid w:val="00176B23"/>
    <w:rsid w:val="0017746C"/>
    <w:rsid w:val="00177F03"/>
    <w:rsid w:val="00180DCA"/>
    <w:rsid w:val="00183716"/>
    <w:rsid w:val="00184033"/>
    <w:rsid w:val="00184B5B"/>
    <w:rsid w:val="00185CBD"/>
    <w:rsid w:val="0019013E"/>
    <w:rsid w:val="001906A3"/>
    <w:rsid w:val="00191813"/>
    <w:rsid w:val="00192F14"/>
    <w:rsid w:val="00193800"/>
    <w:rsid w:val="00196E4D"/>
    <w:rsid w:val="001A13BD"/>
    <w:rsid w:val="001A4444"/>
    <w:rsid w:val="001A4687"/>
    <w:rsid w:val="001A5E03"/>
    <w:rsid w:val="001B18F8"/>
    <w:rsid w:val="001B3A88"/>
    <w:rsid w:val="001B53AC"/>
    <w:rsid w:val="001C6BED"/>
    <w:rsid w:val="001C78CD"/>
    <w:rsid w:val="001D1508"/>
    <w:rsid w:val="001D3BBF"/>
    <w:rsid w:val="001D6D47"/>
    <w:rsid w:val="001E2FCE"/>
    <w:rsid w:val="001E3718"/>
    <w:rsid w:val="001E5D2F"/>
    <w:rsid w:val="001E5F16"/>
    <w:rsid w:val="001E6465"/>
    <w:rsid w:val="001E655D"/>
    <w:rsid w:val="001F3AC1"/>
    <w:rsid w:val="001F3B78"/>
    <w:rsid w:val="001F540C"/>
    <w:rsid w:val="00200282"/>
    <w:rsid w:val="00205C0B"/>
    <w:rsid w:val="00207D56"/>
    <w:rsid w:val="00210B3A"/>
    <w:rsid w:val="00210B70"/>
    <w:rsid w:val="0021267C"/>
    <w:rsid w:val="0022070B"/>
    <w:rsid w:val="002332A6"/>
    <w:rsid w:val="00234145"/>
    <w:rsid w:val="00235BCA"/>
    <w:rsid w:val="00236736"/>
    <w:rsid w:val="0023777F"/>
    <w:rsid w:val="00241059"/>
    <w:rsid w:val="002431E6"/>
    <w:rsid w:val="00244B52"/>
    <w:rsid w:val="002451CA"/>
    <w:rsid w:val="00246369"/>
    <w:rsid w:val="00247108"/>
    <w:rsid w:val="002560E2"/>
    <w:rsid w:val="002572B2"/>
    <w:rsid w:val="0026041E"/>
    <w:rsid w:val="002606E5"/>
    <w:rsid w:val="0026199D"/>
    <w:rsid w:val="002666B2"/>
    <w:rsid w:val="00270259"/>
    <w:rsid w:val="002705D2"/>
    <w:rsid w:val="00271E13"/>
    <w:rsid w:val="00276417"/>
    <w:rsid w:val="00277101"/>
    <w:rsid w:val="002773EE"/>
    <w:rsid w:val="002831E6"/>
    <w:rsid w:val="00286464"/>
    <w:rsid w:val="00287756"/>
    <w:rsid w:val="00291889"/>
    <w:rsid w:val="002925D8"/>
    <w:rsid w:val="0029747F"/>
    <w:rsid w:val="002A381C"/>
    <w:rsid w:val="002A5397"/>
    <w:rsid w:val="002A572C"/>
    <w:rsid w:val="002A6649"/>
    <w:rsid w:val="002A6AC8"/>
    <w:rsid w:val="002A6E36"/>
    <w:rsid w:val="002B24AA"/>
    <w:rsid w:val="002B2FB1"/>
    <w:rsid w:val="002B47CE"/>
    <w:rsid w:val="002B6F72"/>
    <w:rsid w:val="002C0A13"/>
    <w:rsid w:val="002C4D36"/>
    <w:rsid w:val="002C5284"/>
    <w:rsid w:val="002C6B44"/>
    <w:rsid w:val="002C71F2"/>
    <w:rsid w:val="002C72FF"/>
    <w:rsid w:val="002D0A73"/>
    <w:rsid w:val="002E348B"/>
    <w:rsid w:val="002E4678"/>
    <w:rsid w:val="002E4732"/>
    <w:rsid w:val="002F2A15"/>
    <w:rsid w:val="002F35F7"/>
    <w:rsid w:val="003023A0"/>
    <w:rsid w:val="003023FD"/>
    <w:rsid w:val="0030310D"/>
    <w:rsid w:val="00310980"/>
    <w:rsid w:val="00312C4B"/>
    <w:rsid w:val="00314819"/>
    <w:rsid w:val="0031612E"/>
    <w:rsid w:val="00323D83"/>
    <w:rsid w:val="003242A3"/>
    <w:rsid w:val="00330315"/>
    <w:rsid w:val="00330932"/>
    <w:rsid w:val="00335E0E"/>
    <w:rsid w:val="003371B4"/>
    <w:rsid w:val="00337C34"/>
    <w:rsid w:val="00337F4C"/>
    <w:rsid w:val="003413EC"/>
    <w:rsid w:val="00343F41"/>
    <w:rsid w:val="00352719"/>
    <w:rsid w:val="00356480"/>
    <w:rsid w:val="00360B0E"/>
    <w:rsid w:val="003615FB"/>
    <w:rsid w:val="003711C0"/>
    <w:rsid w:val="003734D3"/>
    <w:rsid w:val="00374264"/>
    <w:rsid w:val="00375A37"/>
    <w:rsid w:val="00377098"/>
    <w:rsid w:val="00380BE2"/>
    <w:rsid w:val="00382683"/>
    <w:rsid w:val="0038295F"/>
    <w:rsid w:val="00383BB6"/>
    <w:rsid w:val="00384766"/>
    <w:rsid w:val="0038504E"/>
    <w:rsid w:val="003858D5"/>
    <w:rsid w:val="00392AC2"/>
    <w:rsid w:val="003A0B81"/>
    <w:rsid w:val="003A74B7"/>
    <w:rsid w:val="003B2692"/>
    <w:rsid w:val="003B3277"/>
    <w:rsid w:val="003C0EF3"/>
    <w:rsid w:val="003C2CDF"/>
    <w:rsid w:val="003C6385"/>
    <w:rsid w:val="003C69DD"/>
    <w:rsid w:val="003C6FEF"/>
    <w:rsid w:val="003D46A5"/>
    <w:rsid w:val="003D4B50"/>
    <w:rsid w:val="003D66BD"/>
    <w:rsid w:val="003E1C5E"/>
    <w:rsid w:val="003E4795"/>
    <w:rsid w:val="003F0366"/>
    <w:rsid w:val="003F479C"/>
    <w:rsid w:val="00406D9D"/>
    <w:rsid w:val="004151F3"/>
    <w:rsid w:val="00417A3F"/>
    <w:rsid w:val="0042081D"/>
    <w:rsid w:val="004226D7"/>
    <w:rsid w:val="00423508"/>
    <w:rsid w:val="00424ADA"/>
    <w:rsid w:val="00426430"/>
    <w:rsid w:val="0044439A"/>
    <w:rsid w:val="00447762"/>
    <w:rsid w:val="00450B7A"/>
    <w:rsid w:val="004510B2"/>
    <w:rsid w:val="00452E75"/>
    <w:rsid w:val="00453309"/>
    <w:rsid w:val="00456535"/>
    <w:rsid w:val="00456A67"/>
    <w:rsid w:val="004572A8"/>
    <w:rsid w:val="004609BE"/>
    <w:rsid w:val="0046106B"/>
    <w:rsid w:val="00463013"/>
    <w:rsid w:val="00463ABF"/>
    <w:rsid w:val="00463DBB"/>
    <w:rsid w:val="00464544"/>
    <w:rsid w:val="00467362"/>
    <w:rsid w:val="00467924"/>
    <w:rsid w:val="00471B82"/>
    <w:rsid w:val="004763AA"/>
    <w:rsid w:val="00486407"/>
    <w:rsid w:val="00493212"/>
    <w:rsid w:val="004A002F"/>
    <w:rsid w:val="004A25A7"/>
    <w:rsid w:val="004A417F"/>
    <w:rsid w:val="004A4455"/>
    <w:rsid w:val="004B19B6"/>
    <w:rsid w:val="004B4F60"/>
    <w:rsid w:val="004C1457"/>
    <w:rsid w:val="004C2725"/>
    <w:rsid w:val="004D0CC7"/>
    <w:rsid w:val="004D1903"/>
    <w:rsid w:val="004D5354"/>
    <w:rsid w:val="004D578B"/>
    <w:rsid w:val="004D57DB"/>
    <w:rsid w:val="004D5A7C"/>
    <w:rsid w:val="004D6574"/>
    <w:rsid w:val="004D7BB2"/>
    <w:rsid w:val="004E039F"/>
    <w:rsid w:val="004E053D"/>
    <w:rsid w:val="004E25E2"/>
    <w:rsid w:val="004E3670"/>
    <w:rsid w:val="004E3BF3"/>
    <w:rsid w:val="004E4375"/>
    <w:rsid w:val="004E514D"/>
    <w:rsid w:val="004E664B"/>
    <w:rsid w:val="004E7219"/>
    <w:rsid w:val="004E7872"/>
    <w:rsid w:val="004F5F2B"/>
    <w:rsid w:val="004F656D"/>
    <w:rsid w:val="004F76E3"/>
    <w:rsid w:val="0050050B"/>
    <w:rsid w:val="0050128F"/>
    <w:rsid w:val="005030B7"/>
    <w:rsid w:val="005106E9"/>
    <w:rsid w:val="00513957"/>
    <w:rsid w:val="0051554F"/>
    <w:rsid w:val="005170F0"/>
    <w:rsid w:val="00517459"/>
    <w:rsid w:val="00522CB9"/>
    <w:rsid w:val="00523279"/>
    <w:rsid w:val="0052392A"/>
    <w:rsid w:val="00523965"/>
    <w:rsid w:val="005319A4"/>
    <w:rsid w:val="0053398D"/>
    <w:rsid w:val="0053503C"/>
    <w:rsid w:val="005403F2"/>
    <w:rsid w:val="00543269"/>
    <w:rsid w:val="00544A7C"/>
    <w:rsid w:val="0055003D"/>
    <w:rsid w:val="00551364"/>
    <w:rsid w:val="005525D3"/>
    <w:rsid w:val="00552AF7"/>
    <w:rsid w:val="00553801"/>
    <w:rsid w:val="005539C6"/>
    <w:rsid w:val="00553A39"/>
    <w:rsid w:val="00553D50"/>
    <w:rsid w:val="00556C60"/>
    <w:rsid w:val="0056066B"/>
    <w:rsid w:val="005623F5"/>
    <w:rsid w:val="00562455"/>
    <w:rsid w:val="0056314F"/>
    <w:rsid w:val="00563A0B"/>
    <w:rsid w:val="005717E9"/>
    <w:rsid w:val="005743C9"/>
    <w:rsid w:val="00574EC5"/>
    <w:rsid w:val="0058424C"/>
    <w:rsid w:val="00584EAB"/>
    <w:rsid w:val="005863A7"/>
    <w:rsid w:val="0059770F"/>
    <w:rsid w:val="00597B7F"/>
    <w:rsid w:val="005A5043"/>
    <w:rsid w:val="005B039B"/>
    <w:rsid w:val="005B155B"/>
    <w:rsid w:val="005B248C"/>
    <w:rsid w:val="005B3CF6"/>
    <w:rsid w:val="005B5026"/>
    <w:rsid w:val="005C07AB"/>
    <w:rsid w:val="005C3CD6"/>
    <w:rsid w:val="005C58F7"/>
    <w:rsid w:val="005C7276"/>
    <w:rsid w:val="005D25D3"/>
    <w:rsid w:val="005D7C59"/>
    <w:rsid w:val="005E0107"/>
    <w:rsid w:val="005E090C"/>
    <w:rsid w:val="005E2831"/>
    <w:rsid w:val="005E4881"/>
    <w:rsid w:val="005F1CF1"/>
    <w:rsid w:val="005F3B41"/>
    <w:rsid w:val="005F4BD2"/>
    <w:rsid w:val="005F65B4"/>
    <w:rsid w:val="005F6802"/>
    <w:rsid w:val="005F6D3C"/>
    <w:rsid w:val="005F75ED"/>
    <w:rsid w:val="005F7CFF"/>
    <w:rsid w:val="00607CC8"/>
    <w:rsid w:val="00610F49"/>
    <w:rsid w:val="00611BD0"/>
    <w:rsid w:val="006137A4"/>
    <w:rsid w:val="00615980"/>
    <w:rsid w:val="006217C8"/>
    <w:rsid w:val="006221EC"/>
    <w:rsid w:val="00624E80"/>
    <w:rsid w:val="006273F5"/>
    <w:rsid w:val="00633416"/>
    <w:rsid w:val="006335D0"/>
    <w:rsid w:val="00634818"/>
    <w:rsid w:val="00636727"/>
    <w:rsid w:val="00636F6F"/>
    <w:rsid w:val="0064310D"/>
    <w:rsid w:val="00650F76"/>
    <w:rsid w:val="006511B1"/>
    <w:rsid w:val="006514B7"/>
    <w:rsid w:val="00651C6F"/>
    <w:rsid w:val="00652414"/>
    <w:rsid w:val="00653204"/>
    <w:rsid w:val="00654549"/>
    <w:rsid w:val="00660924"/>
    <w:rsid w:val="00660A27"/>
    <w:rsid w:val="00661489"/>
    <w:rsid w:val="00661E49"/>
    <w:rsid w:val="00662B0E"/>
    <w:rsid w:val="00664FA5"/>
    <w:rsid w:val="00665EE0"/>
    <w:rsid w:val="006670FF"/>
    <w:rsid w:val="0067655C"/>
    <w:rsid w:val="00684AEF"/>
    <w:rsid w:val="00685FB2"/>
    <w:rsid w:val="006908D3"/>
    <w:rsid w:val="00691304"/>
    <w:rsid w:val="006913B6"/>
    <w:rsid w:val="00693AAB"/>
    <w:rsid w:val="006943AF"/>
    <w:rsid w:val="006A1C56"/>
    <w:rsid w:val="006B12A4"/>
    <w:rsid w:val="006B342C"/>
    <w:rsid w:val="006B4024"/>
    <w:rsid w:val="006B4545"/>
    <w:rsid w:val="006B4A0C"/>
    <w:rsid w:val="006B4EE8"/>
    <w:rsid w:val="006B683D"/>
    <w:rsid w:val="006B7429"/>
    <w:rsid w:val="006C0560"/>
    <w:rsid w:val="006D060D"/>
    <w:rsid w:val="006D1428"/>
    <w:rsid w:val="006D5288"/>
    <w:rsid w:val="006D546B"/>
    <w:rsid w:val="006D640A"/>
    <w:rsid w:val="006D721C"/>
    <w:rsid w:val="006E130B"/>
    <w:rsid w:val="006E238E"/>
    <w:rsid w:val="006E566D"/>
    <w:rsid w:val="006E5944"/>
    <w:rsid w:val="006E61C6"/>
    <w:rsid w:val="006E716B"/>
    <w:rsid w:val="006F30C5"/>
    <w:rsid w:val="006F3FA9"/>
    <w:rsid w:val="007012C0"/>
    <w:rsid w:val="00702E01"/>
    <w:rsid w:val="00703F19"/>
    <w:rsid w:val="00704F7D"/>
    <w:rsid w:val="00705048"/>
    <w:rsid w:val="007065F1"/>
    <w:rsid w:val="00707906"/>
    <w:rsid w:val="0071028C"/>
    <w:rsid w:val="00710618"/>
    <w:rsid w:val="00710E33"/>
    <w:rsid w:val="00712B2C"/>
    <w:rsid w:val="007143D6"/>
    <w:rsid w:val="00714C10"/>
    <w:rsid w:val="007157E1"/>
    <w:rsid w:val="007172F7"/>
    <w:rsid w:val="00717A8C"/>
    <w:rsid w:val="00725A96"/>
    <w:rsid w:val="0072600F"/>
    <w:rsid w:val="00726BDF"/>
    <w:rsid w:val="00734DF8"/>
    <w:rsid w:val="007426FD"/>
    <w:rsid w:val="007429FA"/>
    <w:rsid w:val="00745755"/>
    <w:rsid w:val="00747599"/>
    <w:rsid w:val="00756852"/>
    <w:rsid w:val="00762BB9"/>
    <w:rsid w:val="007659C0"/>
    <w:rsid w:val="00770099"/>
    <w:rsid w:val="00770BC3"/>
    <w:rsid w:val="007724D1"/>
    <w:rsid w:val="00775CAB"/>
    <w:rsid w:val="0077747E"/>
    <w:rsid w:val="00777A92"/>
    <w:rsid w:val="00794031"/>
    <w:rsid w:val="007A6067"/>
    <w:rsid w:val="007B4EE7"/>
    <w:rsid w:val="007C3807"/>
    <w:rsid w:val="007C69AF"/>
    <w:rsid w:val="007C6D66"/>
    <w:rsid w:val="007C79AA"/>
    <w:rsid w:val="007D043C"/>
    <w:rsid w:val="007D1D38"/>
    <w:rsid w:val="007D2158"/>
    <w:rsid w:val="007D3A36"/>
    <w:rsid w:val="007D5978"/>
    <w:rsid w:val="007D6975"/>
    <w:rsid w:val="007D7046"/>
    <w:rsid w:val="007D790E"/>
    <w:rsid w:val="007D7917"/>
    <w:rsid w:val="007E19BC"/>
    <w:rsid w:val="007E21D6"/>
    <w:rsid w:val="007F0AAC"/>
    <w:rsid w:val="007F4369"/>
    <w:rsid w:val="007F54CB"/>
    <w:rsid w:val="007F775D"/>
    <w:rsid w:val="00803A9E"/>
    <w:rsid w:val="00804DC5"/>
    <w:rsid w:val="00806358"/>
    <w:rsid w:val="00806625"/>
    <w:rsid w:val="008071F7"/>
    <w:rsid w:val="0080729F"/>
    <w:rsid w:val="00807471"/>
    <w:rsid w:val="00807C4C"/>
    <w:rsid w:val="00810CB0"/>
    <w:rsid w:val="00811901"/>
    <w:rsid w:val="00815619"/>
    <w:rsid w:val="00815E45"/>
    <w:rsid w:val="008166BC"/>
    <w:rsid w:val="008230DA"/>
    <w:rsid w:val="00824271"/>
    <w:rsid w:val="00825812"/>
    <w:rsid w:val="00825FA7"/>
    <w:rsid w:val="008300BE"/>
    <w:rsid w:val="008373EA"/>
    <w:rsid w:val="00840917"/>
    <w:rsid w:val="00841029"/>
    <w:rsid w:val="00850178"/>
    <w:rsid w:val="00850757"/>
    <w:rsid w:val="0085210D"/>
    <w:rsid w:val="00854FCC"/>
    <w:rsid w:val="0086463D"/>
    <w:rsid w:val="00864650"/>
    <w:rsid w:val="00867B13"/>
    <w:rsid w:val="0087155D"/>
    <w:rsid w:val="00871CAB"/>
    <w:rsid w:val="00875D93"/>
    <w:rsid w:val="00887135"/>
    <w:rsid w:val="00890BCD"/>
    <w:rsid w:val="00893D6E"/>
    <w:rsid w:val="00895F6D"/>
    <w:rsid w:val="008A0044"/>
    <w:rsid w:val="008A1549"/>
    <w:rsid w:val="008A32BF"/>
    <w:rsid w:val="008A4B32"/>
    <w:rsid w:val="008A6A8C"/>
    <w:rsid w:val="008B17C9"/>
    <w:rsid w:val="008B19CA"/>
    <w:rsid w:val="008B1D6D"/>
    <w:rsid w:val="008C2D2B"/>
    <w:rsid w:val="008C3396"/>
    <w:rsid w:val="008C3407"/>
    <w:rsid w:val="008D3344"/>
    <w:rsid w:val="008D3B53"/>
    <w:rsid w:val="008D6295"/>
    <w:rsid w:val="008E179B"/>
    <w:rsid w:val="008E49DC"/>
    <w:rsid w:val="008E5974"/>
    <w:rsid w:val="008F0F82"/>
    <w:rsid w:val="008F2928"/>
    <w:rsid w:val="008F47AB"/>
    <w:rsid w:val="008F662C"/>
    <w:rsid w:val="009004D4"/>
    <w:rsid w:val="00903035"/>
    <w:rsid w:val="0090320E"/>
    <w:rsid w:val="00904BD3"/>
    <w:rsid w:val="009060CB"/>
    <w:rsid w:val="00917E35"/>
    <w:rsid w:val="00917F22"/>
    <w:rsid w:val="00926AB4"/>
    <w:rsid w:val="00934D02"/>
    <w:rsid w:val="00934E3C"/>
    <w:rsid w:val="00935CAC"/>
    <w:rsid w:val="009412FA"/>
    <w:rsid w:val="009423FC"/>
    <w:rsid w:val="009440A3"/>
    <w:rsid w:val="00950989"/>
    <w:rsid w:val="00950CD1"/>
    <w:rsid w:val="00953058"/>
    <w:rsid w:val="00954753"/>
    <w:rsid w:val="0095559D"/>
    <w:rsid w:val="00980272"/>
    <w:rsid w:val="00985437"/>
    <w:rsid w:val="00985A8D"/>
    <w:rsid w:val="00985D5B"/>
    <w:rsid w:val="00986024"/>
    <w:rsid w:val="0099010B"/>
    <w:rsid w:val="00990A62"/>
    <w:rsid w:val="009923E1"/>
    <w:rsid w:val="009934D7"/>
    <w:rsid w:val="009966F7"/>
    <w:rsid w:val="009A0BA1"/>
    <w:rsid w:val="009A2A41"/>
    <w:rsid w:val="009A6A6A"/>
    <w:rsid w:val="009B023E"/>
    <w:rsid w:val="009B24AE"/>
    <w:rsid w:val="009B5EAF"/>
    <w:rsid w:val="009B7B45"/>
    <w:rsid w:val="009C59A0"/>
    <w:rsid w:val="009C79F3"/>
    <w:rsid w:val="009C7D4A"/>
    <w:rsid w:val="009C7EB1"/>
    <w:rsid w:val="009D744F"/>
    <w:rsid w:val="009E0330"/>
    <w:rsid w:val="009E34F6"/>
    <w:rsid w:val="009E4C4D"/>
    <w:rsid w:val="009F768E"/>
    <w:rsid w:val="00A01C61"/>
    <w:rsid w:val="00A04962"/>
    <w:rsid w:val="00A04EE4"/>
    <w:rsid w:val="00A10619"/>
    <w:rsid w:val="00A11950"/>
    <w:rsid w:val="00A13CA8"/>
    <w:rsid w:val="00A242D0"/>
    <w:rsid w:val="00A2774D"/>
    <w:rsid w:val="00A30540"/>
    <w:rsid w:val="00A30799"/>
    <w:rsid w:val="00A356C3"/>
    <w:rsid w:val="00A405AF"/>
    <w:rsid w:val="00A40E99"/>
    <w:rsid w:val="00A427E8"/>
    <w:rsid w:val="00A508CB"/>
    <w:rsid w:val="00A542E3"/>
    <w:rsid w:val="00A56E7C"/>
    <w:rsid w:val="00A66652"/>
    <w:rsid w:val="00A67FDE"/>
    <w:rsid w:val="00A70255"/>
    <w:rsid w:val="00A72938"/>
    <w:rsid w:val="00A75A99"/>
    <w:rsid w:val="00A85A81"/>
    <w:rsid w:val="00A91984"/>
    <w:rsid w:val="00A9414D"/>
    <w:rsid w:val="00A94DDE"/>
    <w:rsid w:val="00A95921"/>
    <w:rsid w:val="00A96B52"/>
    <w:rsid w:val="00AA6CD3"/>
    <w:rsid w:val="00AA6F3B"/>
    <w:rsid w:val="00AB0617"/>
    <w:rsid w:val="00AB0BC8"/>
    <w:rsid w:val="00AB123B"/>
    <w:rsid w:val="00AB2D79"/>
    <w:rsid w:val="00AB2DD9"/>
    <w:rsid w:val="00AB3C2E"/>
    <w:rsid w:val="00AB5794"/>
    <w:rsid w:val="00AB66F4"/>
    <w:rsid w:val="00AB7AA2"/>
    <w:rsid w:val="00AC4603"/>
    <w:rsid w:val="00AC6E6F"/>
    <w:rsid w:val="00AD1935"/>
    <w:rsid w:val="00AD1A09"/>
    <w:rsid w:val="00AD7834"/>
    <w:rsid w:val="00AD7A82"/>
    <w:rsid w:val="00AE43FD"/>
    <w:rsid w:val="00AE4646"/>
    <w:rsid w:val="00AE7510"/>
    <w:rsid w:val="00AF215D"/>
    <w:rsid w:val="00AF4889"/>
    <w:rsid w:val="00B011E4"/>
    <w:rsid w:val="00B03683"/>
    <w:rsid w:val="00B11EAE"/>
    <w:rsid w:val="00B133ED"/>
    <w:rsid w:val="00B2487A"/>
    <w:rsid w:val="00B31685"/>
    <w:rsid w:val="00B335BA"/>
    <w:rsid w:val="00B36AEC"/>
    <w:rsid w:val="00B37B89"/>
    <w:rsid w:val="00B40E99"/>
    <w:rsid w:val="00B45602"/>
    <w:rsid w:val="00B47F50"/>
    <w:rsid w:val="00B50CA0"/>
    <w:rsid w:val="00B51181"/>
    <w:rsid w:val="00B51709"/>
    <w:rsid w:val="00B5735A"/>
    <w:rsid w:val="00B60995"/>
    <w:rsid w:val="00B63B5B"/>
    <w:rsid w:val="00B669D5"/>
    <w:rsid w:val="00B72AF4"/>
    <w:rsid w:val="00B7408F"/>
    <w:rsid w:val="00B763A5"/>
    <w:rsid w:val="00B76DEA"/>
    <w:rsid w:val="00B83EAA"/>
    <w:rsid w:val="00B84905"/>
    <w:rsid w:val="00B855F5"/>
    <w:rsid w:val="00B8647C"/>
    <w:rsid w:val="00B86B9D"/>
    <w:rsid w:val="00B90474"/>
    <w:rsid w:val="00B94D5E"/>
    <w:rsid w:val="00B96C47"/>
    <w:rsid w:val="00BA3215"/>
    <w:rsid w:val="00BB20C3"/>
    <w:rsid w:val="00BB37BF"/>
    <w:rsid w:val="00BB5EFD"/>
    <w:rsid w:val="00BB6BF7"/>
    <w:rsid w:val="00BC3261"/>
    <w:rsid w:val="00BD0353"/>
    <w:rsid w:val="00BD0F23"/>
    <w:rsid w:val="00BD24EB"/>
    <w:rsid w:val="00BD399A"/>
    <w:rsid w:val="00BD63C9"/>
    <w:rsid w:val="00BD708C"/>
    <w:rsid w:val="00BE0EAA"/>
    <w:rsid w:val="00BE0F4A"/>
    <w:rsid w:val="00BE1816"/>
    <w:rsid w:val="00BE194F"/>
    <w:rsid w:val="00BE3FC4"/>
    <w:rsid w:val="00BE4E23"/>
    <w:rsid w:val="00BE7948"/>
    <w:rsid w:val="00BF116E"/>
    <w:rsid w:val="00BF1497"/>
    <w:rsid w:val="00BF1ADB"/>
    <w:rsid w:val="00BF2F6F"/>
    <w:rsid w:val="00BF549F"/>
    <w:rsid w:val="00BF55EE"/>
    <w:rsid w:val="00BF615C"/>
    <w:rsid w:val="00C02D68"/>
    <w:rsid w:val="00C040ED"/>
    <w:rsid w:val="00C050CB"/>
    <w:rsid w:val="00C06355"/>
    <w:rsid w:val="00C07082"/>
    <w:rsid w:val="00C07D71"/>
    <w:rsid w:val="00C07D7B"/>
    <w:rsid w:val="00C1161C"/>
    <w:rsid w:val="00C11B8B"/>
    <w:rsid w:val="00C12F0F"/>
    <w:rsid w:val="00C1552F"/>
    <w:rsid w:val="00C1683A"/>
    <w:rsid w:val="00C21BFC"/>
    <w:rsid w:val="00C220E3"/>
    <w:rsid w:val="00C22311"/>
    <w:rsid w:val="00C2526F"/>
    <w:rsid w:val="00C25482"/>
    <w:rsid w:val="00C2719B"/>
    <w:rsid w:val="00C3176E"/>
    <w:rsid w:val="00C32C83"/>
    <w:rsid w:val="00C41615"/>
    <w:rsid w:val="00C43084"/>
    <w:rsid w:val="00C44E46"/>
    <w:rsid w:val="00C45404"/>
    <w:rsid w:val="00C47A3A"/>
    <w:rsid w:val="00C47CAD"/>
    <w:rsid w:val="00C51318"/>
    <w:rsid w:val="00C51F92"/>
    <w:rsid w:val="00C55A9C"/>
    <w:rsid w:val="00C56073"/>
    <w:rsid w:val="00C611C9"/>
    <w:rsid w:val="00C6200A"/>
    <w:rsid w:val="00C66C0B"/>
    <w:rsid w:val="00C71D6B"/>
    <w:rsid w:val="00C743F6"/>
    <w:rsid w:val="00C808F2"/>
    <w:rsid w:val="00C81D11"/>
    <w:rsid w:val="00C81E1B"/>
    <w:rsid w:val="00C82D9C"/>
    <w:rsid w:val="00C83974"/>
    <w:rsid w:val="00C84E31"/>
    <w:rsid w:val="00C853EF"/>
    <w:rsid w:val="00C874E5"/>
    <w:rsid w:val="00C927B2"/>
    <w:rsid w:val="00C93FA1"/>
    <w:rsid w:val="00C96B2F"/>
    <w:rsid w:val="00CA1190"/>
    <w:rsid w:val="00CA4090"/>
    <w:rsid w:val="00CA7F9C"/>
    <w:rsid w:val="00CC47BA"/>
    <w:rsid w:val="00CC4B59"/>
    <w:rsid w:val="00CC52EC"/>
    <w:rsid w:val="00CD1EBE"/>
    <w:rsid w:val="00CD548E"/>
    <w:rsid w:val="00CD57DA"/>
    <w:rsid w:val="00CD799E"/>
    <w:rsid w:val="00CE063A"/>
    <w:rsid w:val="00CE1ED2"/>
    <w:rsid w:val="00CE292D"/>
    <w:rsid w:val="00CE45B6"/>
    <w:rsid w:val="00CF024B"/>
    <w:rsid w:val="00CF0586"/>
    <w:rsid w:val="00CF7BF1"/>
    <w:rsid w:val="00D01C95"/>
    <w:rsid w:val="00D02632"/>
    <w:rsid w:val="00D03B68"/>
    <w:rsid w:val="00D06C6B"/>
    <w:rsid w:val="00D07BAF"/>
    <w:rsid w:val="00D12E4F"/>
    <w:rsid w:val="00D136C3"/>
    <w:rsid w:val="00D156F0"/>
    <w:rsid w:val="00D22E38"/>
    <w:rsid w:val="00D23E56"/>
    <w:rsid w:val="00D2623A"/>
    <w:rsid w:val="00D265B4"/>
    <w:rsid w:val="00D31DC8"/>
    <w:rsid w:val="00D35BF0"/>
    <w:rsid w:val="00D40A41"/>
    <w:rsid w:val="00D41A04"/>
    <w:rsid w:val="00D4399C"/>
    <w:rsid w:val="00D46F70"/>
    <w:rsid w:val="00D473D3"/>
    <w:rsid w:val="00D47FF3"/>
    <w:rsid w:val="00D504A3"/>
    <w:rsid w:val="00D505B8"/>
    <w:rsid w:val="00D51161"/>
    <w:rsid w:val="00D5155E"/>
    <w:rsid w:val="00D51FBF"/>
    <w:rsid w:val="00D603CB"/>
    <w:rsid w:val="00D609D1"/>
    <w:rsid w:val="00D63EA5"/>
    <w:rsid w:val="00D65068"/>
    <w:rsid w:val="00D660C1"/>
    <w:rsid w:val="00D66FC2"/>
    <w:rsid w:val="00D67C64"/>
    <w:rsid w:val="00D67FAC"/>
    <w:rsid w:val="00D72565"/>
    <w:rsid w:val="00D74729"/>
    <w:rsid w:val="00D824D3"/>
    <w:rsid w:val="00D872A4"/>
    <w:rsid w:val="00D904EF"/>
    <w:rsid w:val="00D911F2"/>
    <w:rsid w:val="00D93DDA"/>
    <w:rsid w:val="00D93F38"/>
    <w:rsid w:val="00D942B1"/>
    <w:rsid w:val="00DA12A6"/>
    <w:rsid w:val="00DA19CD"/>
    <w:rsid w:val="00DB09FE"/>
    <w:rsid w:val="00DB1AAB"/>
    <w:rsid w:val="00DC08D2"/>
    <w:rsid w:val="00DC48AE"/>
    <w:rsid w:val="00DC5519"/>
    <w:rsid w:val="00DD0598"/>
    <w:rsid w:val="00DD2632"/>
    <w:rsid w:val="00DD51A5"/>
    <w:rsid w:val="00DD5C87"/>
    <w:rsid w:val="00DD7855"/>
    <w:rsid w:val="00DE0B69"/>
    <w:rsid w:val="00DE23F2"/>
    <w:rsid w:val="00DE3B1D"/>
    <w:rsid w:val="00DE3C90"/>
    <w:rsid w:val="00DE3D22"/>
    <w:rsid w:val="00DE4D7D"/>
    <w:rsid w:val="00DE5AC6"/>
    <w:rsid w:val="00DF4A77"/>
    <w:rsid w:val="00DF554A"/>
    <w:rsid w:val="00DF6A22"/>
    <w:rsid w:val="00DF6F79"/>
    <w:rsid w:val="00DF7CA2"/>
    <w:rsid w:val="00E0076A"/>
    <w:rsid w:val="00E11DAD"/>
    <w:rsid w:val="00E122F1"/>
    <w:rsid w:val="00E12ADB"/>
    <w:rsid w:val="00E229C5"/>
    <w:rsid w:val="00E25398"/>
    <w:rsid w:val="00E25B72"/>
    <w:rsid w:val="00E31F2A"/>
    <w:rsid w:val="00E335F9"/>
    <w:rsid w:val="00E33BD7"/>
    <w:rsid w:val="00E45030"/>
    <w:rsid w:val="00E45930"/>
    <w:rsid w:val="00E50E54"/>
    <w:rsid w:val="00E52A46"/>
    <w:rsid w:val="00E5451A"/>
    <w:rsid w:val="00E54E6C"/>
    <w:rsid w:val="00E55A63"/>
    <w:rsid w:val="00E56278"/>
    <w:rsid w:val="00E56327"/>
    <w:rsid w:val="00E617F8"/>
    <w:rsid w:val="00E645EB"/>
    <w:rsid w:val="00E70471"/>
    <w:rsid w:val="00E7157F"/>
    <w:rsid w:val="00E71F38"/>
    <w:rsid w:val="00E762B6"/>
    <w:rsid w:val="00E808DB"/>
    <w:rsid w:val="00E80F4B"/>
    <w:rsid w:val="00E82BA3"/>
    <w:rsid w:val="00E83C60"/>
    <w:rsid w:val="00E90772"/>
    <w:rsid w:val="00E90EDE"/>
    <w:rsid w:val="00E92562"/>
    <w:rsid w:val="00E94DE1"/>
    <w:rsid w:val="00E95C5C"/>
    <w:rsid w:val="00E97B5F"/>
    <w:rsid w:val="00EA176A"/>
    <w:rsid w:val="00EA1A0A"/>
    <w:rsid w:val="00EA5DB3"/>
    <w:rsid w:val="00EB1D28"/>
    <w:rsid w:val="00EB1ECE"/>
    <w:rsid w:val="00EB2AA4"/>
    <w:rsid w:val="00EB40E2"/>
    <w:rsid w:val="00EC21EA"/>
    <w:rsid w:val="00EC76D5"/>
    <w:rsid w:val="00EE53F4"/>
    <w:rsid w:val="00EE667C"/>
    <w:rsid w:val="00EE6ED3"/>
    <w:rsid w:val="00EF0A90"/>
    <w:rsid w:val="00EF26DC"/>
    <w:rsid w:val="00EF28BA"/>
    <w:rsid w:val="00EF2D8F"/>
    <w:rsid w:val="00F00CA9"/>
    <w:rsid w:val="00F03ED2"/>
    <w:rsid w:val="00F04AEE"/>
    <w:rsid w:val="00F0573C"/>
    <w:rsid w:val="00F06A02"/>
    <w:rsid w:val="00F110BA"/>
    <w:rsid w:val="00F11899"/>
    <w:rsid w:val="00F122BB"/>
    <w:rsid w:val="00F140FF"/>
    <w:rsid w:val="00F156F3"/>
    <w:rsid w:val="00F16B5D"/>
    <w:rsid w:val="00F20985"/>
    <w:rsid w:val="00F2191E"/>
    <w:rsid w:val="00F21BA7"/>
    <w:rsid w:val="00F221C4"/>
    <w:rsid w:val="00F243DA"/>
    <w:rsid w:val="00F26121"/>
    <w:rsid w:val="00F30C90"/>
    <w:rsid w:val="00F325EE"/>
    <w:rsid w:val="00F35A29"/>
    <w:rsid w:val="00F41795"/>
    <w:rsid w:val="00F450AF"/>
    <w:rsid w:val="00F47FCC"/>
    <w:rsid w:val="00F50280"/>
    <w:rsid w:val="00F56A92"/>
    <w:rsid w:val="00F57825"/>
    <w:rsid w:val="00F61211"/>
    <w:rsid w:val="00F64BAE"/>
    <w:rsid w:val="00F65CEF"/>
    <w:rsid w:val="00F72D5F"/>
    <w:rsid w:val="00F8117A"/>
    <w:rsid w:val="00F81B2F"/>
    <w:rsid w:val="00F87957"/>
    <w:rsid w:val="00F97203"/>
    <w:rsid w:val="00F972A2"/>
    <w:rsid w:val="00F97B52"/>
    <w:rsid w:val="00FA0597"/>
    <w:rsid w:val="00FA1922"/>
    <w:rsid w:val="00FA2F9E"/>
    <w:rsid w:val="00FA321D"/>
    <w:rsid w:val="00FA36B8"/>
    <w:rsid w:val="00FA715E"/>
    <w:rsid w:val="00FB0F22"/>
    <w:rsid w:val="00FB3D83"/>
    <w:rsid w:val="00FC0473"/>
    <w:rsid w:val="00FC1BEE"/>
    <w:rsid w:val="00FC43CA"/>
    <w:rsid w:val="00FC48AB"/>
    <w:rsid w:val="00FC60E2"/>
    <w:rsid w:val="00FC7783"/>
    <w:rsid w:val="00FD01B0"/>
    <w:rsid w:val="00FD14F3"/>
    <w:rsid w:val="00FD5083"/>
    <w:rsid w:val="00FD63B7"/>
    <w:rsid w:val="00FD7691"/>
    <w:rsid w:val="00FE00A1"/>
    <w:rsid w:val="00FE2F6B"/>
    <w:rsid w:val="00FE6677"/>
    <w:rsid w:val="00FE712E"/>
    <w:rsid w:val="00FF3ABE"/>
    <w:rsid w:val="00FF5A97"/>
    <w:rsid w:val="00FF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4742"/>
  <w15:docId w15:val="{A94129C8-DD1F-4BBB-9835-624E2C2F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8"/>
    <w:pPr>
      <w:spacing w:after="0" w:line="240" w:lineRule="auto"/>
    </w:pPr>
    <w:tblPr>
      <w:tblStyleRowBandSize w:val="1"/>
      <w:tblStyleColBandSize w:val="1"/>
      <w:tblCellMar>
        <w:left w:w="255" w:type="dxa"/>
        <w:right w:w="108" w:type="dxa"/>
      </w:tblCellMar>
    </w:tblPr>
  </w:style>
  <w:style w:type="table" w:customStyle="1" w:styleId="a1">
    <w:basedOn w:val="TableNormal8"/>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6"/>
    <w:pPr>
      <w:spacing w:after="0" w:line="240" w:lineRule="auto"/>
    </w:pPr>
    <w:tblPr>
      <w:tblStyleRowBandSize w:val="1"/>
      <w:tblStyleColBandSize w:val="1"/>
      <w:tblCellMar>
        <w:left w:w="255" w:type="dxa"/>
        <w:right w:w="108" w:type="dxa"/>
      </w:tblCellMar>
    </w:tblPr>
  </w:style>
  <w:style w:type="table" w:customStyle="1" w:styleId="a3">
    <w:basedOn w:val="TableNormal5"/>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4"/>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3"/>
    <w:pPr>
      <w:spacing w:after="0" w:line="240" w:lineRule="auto"/>
    </w:pPr>
    <w:tblPr>
      <w:tblStyleRowBandSize w:val="1"/>
      <w:tblStyleColBandSize w:val="1"/>
      <w:tblCellMar>
        <w:left w:w="255" w:type="dxa"/>
        <w:right w:w="108" w:type="dxa"/>
      </w:tblCellMar>
    </w:tblPr>
  </w:style>
  <w:style w:type="table" w:customStyle="1" w:styleId="a6">
    <w:basedOn w:val="TableNormal2"/>
    <w:pPr>
      <w:spacing w:after="0" w:line="240" w:lineRule="auto"/>
    </w:pPr>
    <w:tblPr>
      <w:tblStyleRowBandSize w:val="1"/>
      <w:tblStyleColBandSize w:val="1"/>
      <w:tblCellMar>
        <w:left w:w="255" w:type="dxa"/>
        <w:right w:w="108" w:type="dxa"/>
      </w:tblCellMar>
    </w:tblPr>
  </w:style>
  <w:style w:type="table" w:customStyle="1" w:styleId="a7">
    <w:basedOn w:val="TableNormal1"/>
    <w:pPr>
      <w:spacing w:after="0" w:line="240" w:lineRule="auto"/>
    </w:pPr>
    <w:tblPr>
      <w:tblStyleRowBandSize w:val="1"/>
      <w:tblStyleColBandSize w:val="1"/>
      <w:tblCellMar>
        <w:left w:w="255" w:type="dxa"/>
        <w:right w:w="108" w:type="dxa"/>
      </w:tblCellMar>
    </w:tblPr>
  </w:style>
  <w:style w:type="table" w:customStyle="1" w:styleId="a8">
    <w:basedOn w:val="TableNormal1"/>
    <w:pPr>
      <w:spacing w:after="0" w:line="240" w:lineRule="auto"/>
    </w:pPr>
    <w:tblPr>
      <w:tblStyleRowBandSize w:val="1"/>
      <w:tblStyleColBandSize w:val="1"/>
      <w:tblCellMar>
        <w:left w:w="255" w:type="dxa"/>
        <w:right w:w="108" w:type="dxa"/>
      </w:tblCellMar>
    </w:tblPr>
  </w:style>
  <w:style w:type="paragraph" w:styleId="Tekstprzypisudolnego">
    <w:name w:val="footnote text"/>
    <w:basedOn w:val="Normalny"/>
    <w:link w:val="TekstprzypisudolnegoZnak"/>
    <w:uiPriority w:val="99"/>
    <w:semiHidden/>
    <w:unhideWhenUsed/>
    <w:rsid w:val="00D51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1161"/>
    <w:rPr>
      <w:sz w:val="20"/>
      <w:szCs w:val="20"/>
    </w:rPr>
  </w:style>
  <w:style w:type="character" w:styleId="Odwoanieprzypisudolnego">
    <w:name w:val="footnote reference"/>
    <w:basedOn w:val="Domylnaczcionkaakapitu"/>
    <w:uiPriority w:val="99"/>
    <w:semiHidden/>
    <w:unhideWhenUsed/>
    <w:rsid w:val="00D51161"/>
    <w:rPr>
      <w:vertAlign w:val="superscript"/>
    </w:rPr>
  </w:style>
  <w:style w:type="paragraph" w:styleId="Poprawka">
    <w:name w:val="Revision"/>
    <w:hidden/>
    <w:uiPriority w:val="99"/>
    <w:semiHidden/>
    <w:rsid w:val="00770099"/>
    <w:pPr>
      <w:spacing w:after="0" w:line="240" w:lineRule="auto"/>
    </w:pPr>
  </w:style>
  <w:style w:type="paragraph" w:styleId="Tekstprzypisukocowego">
    <w:name w:val="endnote text"/>
    <w:basedOn w:val="Normalny"/>
    <w:link w:val="TekstprzypisukocowegoZnak"/>
    <w:uiPriority w:val="99"/>
    <w:semiHidden/>
    <w:unhideWhenUsed/>
    <w:rsid w:val="00556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C60"/>
    <w:rPr>
      <w:sz w:val="20"/>
      <w:szCs w:val="20"/>
    </w:rPr>
  </w:style>
  <w:style w:type="character" w:styleId="Odwoanieprzypisukocowego">
    <w:name w:val="endnote reference"/>
    <w:basedOn w:val="Domylnaczcionkaakapitu"/>
    <w:uiPriority w:val="99"/>
    <w:semiHidden/>
    <w:unhideWhenUsed/>
    <w:rsid w:val="00556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2164">
      <w:bodyDiv w:val="1"/>
      <w:marLeft w:val="0"/>
      <w:marRight w:val="0"/>
      <w:marTop w:val="0"/>
      <w:marBottom w:val="0"/>
      <w:divBdr>
        <w:top w:val="none" w:sz="0" w:space="0" w:color="auto"/>
        <w:left w:val="none" w:sz="0" w:space="0" w:color="auto"/>
        <w:bottom w:val="none" w:sz="0" w:space="0" w:color="auto"/>
        <w:right w:val="none" w:sz="0" w:space="0" w:color="auto"/>
      </w:divBdr>
    </w:div>
    <w:div w:id="120422272">
      <w:bodyDiv w:val="1"/>
      <w:marLeft w:val="0"/>
      <w:marRight w:val="0"/>
      <w:marTop w:val="0"/>
      <w:marBottom w:val="0"/>
      <w:divBdr>
        <w:top w:val="none" w:sz="0" w:space="0" w:color="auto"/>
        <w:left w:val="none" w:sz="0" w:space="0" w:color="auto"/>
        <w:bottom w:val="none" w:sz="0" w:space="0" w:color="auto"/>
        <w:right w:val="none" w:sz="0" w:space="0" w:color="auto"/>
      </w:divBdr>
    </w:div>
    <w:div w:id="180120788">
      <w:bodyDiv w:val="1"/>
      <w:marLeft w:val="0"/>
      <w:marRight w:val="0"/>
      <w:marTop w:val="0"/>
      <w:marBottom w:val="0"/>
      <w:divBdr>
        <w:top w:val="none" w:sz="0" w:space="0" w:color="auto"/>
        <w:left w:val="none" w:sz="0" w:space="0" w:color="auto"/>
        <w:bottom w:val="none" w:sz="0" w:space="0" w:color="auto"/>
        <w:right w:val="none" w:sz="0" w:space="0" w:color="auto"/>
      </w:divBdr>
    </w:div>
    <w:div w:id="265701647">
      <w:bodyDiv w:val="1"/>
      <w:marLeft w:val="0"/>
      <w:marRight w:val="0"/>
      <w:marTop w:val="0"/>
      <w:marBottom w:val="0"/>
      <w:divBdr>
        <w:top w:val="none" w:sz="0" w:space="0" w:color="auto"/>
        <w:left w:val="none" w:sz="0" w:space="0" w:color="auto"/>
        <w:bottom w:val="none" w:sz="0" w:space="0" w:color="auto"/>
        <w:right w:val="none" w:sz="0" w:space="0" w:color="auto"/>
      </w:divBdr>
    </w:div>
    <w:div w:id="563296835">
      <w:bodyDiv w:val="1"/>
      <w:marLeft w:val="0"/>
      <w:marRight w:val="0"/>
      <w:marTop w:val="0"/>
      <w:marBottom w:val="0"/>
      <w:divBdr>
        <w:top w:val="none" w:sz="0" w:space="0" w:color="auto"/>
        <w:left w:val="none" w:sz="0" w:space="0" w:color="auto"/>
        <w:bottom w:val="none" w:sz="0" w:space="0" w:color="auto"/>
        <w:right w:val="none" w:sz="0" w:space="0" w:color="auto"/>
      </w:divBdr>
    </w:div>
    <w:div w:id="658115666">
      <w:bodyDiv w:val="1"/>
      <w:marLeft w:val="0"/>
      <w:marRight w:val="0"/>
      <w:marTop w:val="0"/>
      <w:marBottom w:val="0"/>
      <w:divBdr>
        <w:top w:val="none" w:sz="0" w:space="0" w:color="auto"/>
        <w:left w:val="none" w:sz="0" w:space="0" w:color="auto"/>
        <w:bottom w:val="none" w:sz="0" w:space="0" w:color="auto"/>
        <w:right w:val="none" w:sz="0" w:space="0" w:color="auto"/>
      </w:divBdr>
    </w:div>
    <w:div w:id="812915191">
      <w:bodyDiv w:val="1"/>
      <w:marLeft w:val="0"/>
      <w:marRight w:val="0"/>
      <w:marTop w:val="0"/>
      <w:marBottom w:val="0"/>
      <w:divBdr>
        <w:top w:val="none" w:sz="0" w:space="0" w:color="auto"/>
        <w:left w:val="none" w:sz="0" w:space="0" w:color="auto"/>
        <w:bottom w:val="none" w:sz="0" w:space="0" w:color="auto"/>
        <w:right w:val="none" w:sz="0" w:space="0" w:color="auto"/>
      </w:divBdr>
    </w:div>
    <w:div w:id="814417376">
      <w:bodyDiv w:val="1"/>
      <w:marLeft w:val="0"/>
      <w:marRight w:val="0"/>
      <w:marTop w:val="0"/>
      <w:marBottom w:val="0"/>
      <w:divBdr>
        <w:top w:val="none" w:sz="0" w:space="0" w:color="auto"/>
        <w:left w:val="none" w:sz="0" w:space="0" w:color="auto"/>
        <w:bottom w:val="none" w:sz="0" w:space="0" w:color="auto"/>
        <w:right w:val="none" w:sz="0" w:space="0" w:color="auto"/>
      </w:divBdr>
    </w:div>
    <w:div w:id="850222127">
      <w:bodyDiv w:val="1"/>
      <w:marLeft w:val="0"/>
      <w:marRight w:val="0"/>
      <w:marTop w:val="0"/>
      <w:marBottom w:val="0"/>
      <w:divBdr>
        <w:top w:val="none" w:sz="0" w:space="0" w:color="auto"/>
        <w:left w:val="none" w:sz="0" w:space="0" w:color="auto"/>
        <w:bottom w:val="none" w:sz="0" w:space="0" w:color="auto"/>
        <w:right w:val="none" w:sz="0" w:space="0" w:color="auto"/>
      </w:divBdr>
    </w:div>
    <w:div w:id="923143818">
      <w:bodyDiv w:val="1"/>
      <w:marLeft w:val="0"/>
      <w:marRight w:val="0"/>
      <w:marTop w:val="0"/>
      <w:marBottom w:val="0"/>
      <w:divBdr>
        <w:top w:val="none" w:sz="0" w:space="0" w:color="auto"/>
        <w:left w:val="none" w:sz="0" w:space="0" w:color="auto"/>
        <w:bottom w:val="none" w:sz="0" w:space="0" w:color="auto"/>
        <w:right w:val="none" w:sz="0" w:space="0" w:color="auto"/>
      </w:divBdr>
    </w:div>
    <w:div w:id="943418401">
      <w:bodyDiv w:val="1"/>
      <w:marLeft w:val="0"/>
      <w:marRight w:val="0"/>
      <w:marTop w:val="0"/>
      <w:marBottom w:val="0"/>
      <w:divBdr>
        <w:top w:val="none" w:sz="0" w:space="0" w:color="auto"/>
        <w:left w:val="none" w:sz="0" w:space="0" w:color="auto"/>
        <w:bottom w:val="none" w:sz="0" w:space="0" w:color="auto"/>
        <w:right w:val="none" w:sz="0" w:space="0" w:color="auto"/>
      </w:divBdr>
    </w:div>
    <w:div w:id="1047989724">
      <w:bodyDiv w:val="1"/>
      <w:marLeft w:val="0"/>
      <w:marRight w:val="0"/>
      <w:marTop w:val="0"/>
      <w:marBottom w:val="0"/>
      <w:divBdr>
        <w:top w:val="none" w:sz="0" w:space="0" w:color="auto"/>
        <w:left w:val="none" w:sz="0" w:space="0" w:color="auto"/>
        <w:bottom w:val="none" w:sz="0" w:space="0" w:color="auto"/>
        <w:right w:val="none" w:sz="0" w:space="0" w:color="auto"/>
      </w:divBdr>
    </w:div>
    <w:div w:id="1122653823">
      <w:bodyDiv w:val="1"/>
      <w:marLeft w:val="0"/>
      <w:marRight w:val="0"/>
      <w:marTop w:val="0"/>
      <w:marBottom w:val="0"/>
      <w:divBdr>
        <w:top w:val="none" w:sz="0" w:space="0" w:color="auto"/>
        <w:left w:val="none" w:sz="0" w:space="0" w:color="auto"/>
        <w:bottom w:val="none" w:sz="0" w:space="0" w:color="auto"/>
        <w:right w:val="none" w:sz="0" w:space="0" w:color="auto"/>
      </w:divBdr>
    </w:div>
    <w:div w:id="1206871151">
      <w:bodyDiv w:val="1"/>
      <w:marLeft w:val="0"/>
      <w:marRight w:val="0"/>
      <w:marTop w:val="0"/>
      <w:marBottom w:val="0"/>
      <w:divBdr>
        <w:top w:val="none" w:sz="0" w:space="0" w:color="auto"/>
        <w:left w:val="none" w:sz="0" w:space="0" w:color="auto"/>
        <w:bottom w:val="none" w:sz="0" w:space="0" w:color="auto"/>
        <w:right w:val="none" w:sz="0" w:space="0" w:color="auto"/>
      </w:divBdr>
    </w:div>
    <w:div w:id="1227257740">
      <w:bodyDiv w:val="1"/>
      <w:marLeft w:val="0"/>
      <w:marRight w:val="0"/>
      <w:marTop w:val="0"/>
      <w:marBottom w:val="0"/>
      <w:divBdr>
        <w:top w:val="none" w:sz="0" w:space="0" w:color="auto"/>
        <w:left w:val="none" w:sz="0" w:space="0" w:color="auto"/>
        <w:bottom w:val="none" w:sz="0" w:space="0" w:color="auto"/>
        <w:right w:val="none" w:sz="0" w:space="0" w:color="auto"/>
      </w:divBdr>
    </w:div>
    <w:div w:id="1267688862">
      <w:bodyDiv w:val="1"/>
      <w:marLeft w:val="0"/>
      <w:marRight w:val="0"/>
      <w:marTop w:val="0"/>
      <w:marBottom w:val="0"/>
      <w:divBdr>
        <w:top w:val="none" w:sz="0" w:space="0" w:color="auto"/>
        <w:left w:val="none" w:sz="0" w:space="0" w:color="auto"/>
        <w:bottom w:val="none" w:sz="0" w:space="0" w:color="auto"/>
        <w:right w:val="none" w:sz="0" w:space="0" w:color="auto"/>
      </w:divBdr>
    </w:div>
    <w:div w:id="1400518115">
      <w:bodyDiv w:val="1"/>
      <w:marLeft w:val="0"/>
      <w:marRight w:val="0"/>
      <w:marTop w:val="0"/>
      <w:marBottom w:val="0"/>
      <w:divBdr>
        <w:top w:val="none" w:sz="0" w:space="0" w:color="auto"/>
        <w:left w:val="none" w:sz="0" w:space="0" w:color="auto"/>
        <w:bottom w:val="none" w:sz="0" w:space="0" w:color="auto"/>
        <w:right w:val="none" w:sz="0" w:space="0" w:color="auto"/>
      </w:divBdr>
    </w:div>
    <w:div w:id="1417047523">
      <w:bodyDiv w:val="1"/>
      <w:marLeft w:val="0"/>
      <w:marRight w:val="0"/>
      <w:marTop w:val="0"/>
      <w:marBottom w:val="0"/>
      <w:divBdr>
        <w:top w:val="none" w:sz="0" w:space="0" w:color="auto"/>
        <w:left w:val="none" w:sz="0" w:space="0" w:color="auto"/>
        <w:bottom w:val="none" w:sz="0" w:space="0" w:color="auto"/>
        <w:right w:val="none" w:sz="0" w:space="0" w:color="auto"/>
      </w:divBdr>
    </w:div>
    <w:div w:id="1522625008">
      <w:bodyDiv w:val="1"/>
      <w:marLeft w:val="0"/>
      <w:marRight w:val="0"/>
      <w:marTop w:val="0"/>
      <w:marBottom w:val="0"/>
      <w:divBdr>
        <w:top w:val="none" w:sz="0" w:space="0" w:color="auto"/>
        <w:left w:val="none" w:sz="0" w:space="0" w:color="auto"/>
        <w:bottom w:val="none" w:sz="0" w:space="0" w:color="auto"/>
        <w:right w:val="none" w:sz="0" w:space="0" w:color="auto"/>
      </w:divBdr>
    </w:div>
    <w:div w:id="1737505226">
      <w:bodyDiv w:val="1"/>
      <w:marLeft w:val="0"/>
      <w:marRight w:val="0"/>
      <w:marTop w:val="0"/>
      <w:marBottom w:val="0"/>
      <w:divBdr>
        <w:top w:val="none" w:sz="0" w:space="0" w:color="auto"/>
        <w:left w:val="none" w:sz="0" w:space="0" w:color="auto"/>
        <w:bottom w:val="none" w:sz="0" w:space="0" w:color="auto"/>
        <w:right w:val="none" w:sz="0" w:space="0" w:color="auto"/>
      </w:divBdr>
    </w:div>
    <w:div w:id="1870333076">
      <w:bodyDiv w:val="1"/>
      <w:marLeft w:val="0"/>
      <w:marRight w:val="0"/>
      <w:marTop w:val="0"/>
      <w:marBottom w:val="0"/>
      <w:divBdr>
        <w:top w:val="none" w:sz="0" w:space="0" w:color="auto"/>
        <w:left w:val="none" w:sz="0" w:space="0" w:color="auto"/>
        <w:bottom w:val="none" w:sz="0" w:space="0" w:color="auto"/>
        <w:right w:val="none" w:sz="0" w:space="0" w:color="auto"/>
      </w:divBdr>
    </w:div>
    <w:div w:id="1879468714">
      <w:bodyDiv w:val="1"/>
      <w:marLeft w:val="0"/>
      <w:marRight w:val="0"/>
      <w:marTop w:val="0"/>
      <w:marBottom w:val="0"/>
      <w:divBdr>
        <w:top w:val="none" w:sz="0" w:space="0" w:color="auto"/>
        <w:left w:val="none" w:sz="0" w:space="0" w:color="auto"/>
        <w:bottom w:val="none" w:sz="0" w:space="0" w:color="auto"/>
        <w:right w:val="none" w:sz="0" w:space="0" w:color="auto"/>
      </w:divBdr>
      <w:divsChild>
        <w:div w:id="1665082779">
          <w:marLeft w:val="274"/>
          <w:marRight w:val="0"/>
          <w:marTop w:val="0"/>
          <w:marBottom w:val="0"/>
          <w:divBdr>
            <w:top w:val="none" w:sz="0" w:space="0" w:color="auto"/>
            <w:left w:val="none" w:sz="0" w:space="0" w:color="auto"/>
            <w:bottom w:val="none" w:sz="0" w:space="0" w:color="auto"/>
            <w:right w:val="none" w:sz="0" w:space="0" w:color="auto"/>
          </w:divBdr>
        </w:div>
        <w:div w:id="727654409">
          <w:marLeft w:val="274"/>
          <w:marRight w:val="0"/>
          <w:marTop w:val="0"/>
          <w:marBottom w:val="0"/>
          <w:divBdr>
            <w:top w:val="none" w:sz="0" w:space="0" w:color="auto"/>
            <w:left w:val="none" w:sz="0" w:space="0" w:color="auto"/>
            <w:bottom w:val="none" w:sz="0" w:space="0" w:color="auto"/>
            <w:right w:val="none" w:sz="0" w:space="0" w:color="auto"/>
          </w:divBdr>
        </w:div>
        <w:div w:id="2072995510">
          <w:marLeft w:val="274"/>
          <w:marRight w:val="0"/>
          <w:marTop w:val="0"/>
          <w:marBottom w:val="0"/>
          <w:divBdr>
            <w:top w:val="none" w:sz="0" w:space="0" w:color="auto"/>
            <w:left w:val="none" w:sz="0" w:space="0" w:color="auto"/>
            <w:bottom w:val="none" w:sz="0" w:space="0" w:color="auto"/>
            <w:right w:val="none" w:sz="0" w:space="0" w:color="auto"/>
          </w:divBdr>
        </w:div>
      </w:divsChild>
    </w:div>
    <w:div w:id="1932277973">
      <w:bodyDiv w:val="1"/>
      <w:marLeft w:val="0"/>
      <w:marRight w:val="0"/>
      <w:marTop w:val="0"/>
      <w:marBottom w:val="0"/>
      <w:divBdr>
        <w:top w:val="none" w:sz="0" w:space="0" w:color="auto"/>
        <w:left w:val="none" w:sz="0" w:space="0" w:color="auto"/>
        <w:bottom w:val="none" w:sz="0" w:space="0" w:color="auto"/>
        <w:right w:val="none" w:sz="0" w:space="0" w:color="auto"/>
      </w:divBdr>
      <w:divsChild>
        <w:div w:id="701780476">
          <w:marLeft w:val="274"/>
          <w:marRight w:val="0"/>
          <w:marTop w:val="0"/>
          <w:marBottom w:val="0"/>
          <w:divBdr>
            <w:top w:val="none" w:sz="0" w:space="0" w:color="auto"/>
            <w:left w:val="none" w:sz="0" w:space="0" w:color="auto"/>
            <w:bottom w:val="none" w:sz="0" w:space="0" w:color="auto"/>
            <w:right w:val="none" w:sz="0" w:space="0" w:color="auto"/>
          </w:divBdr>
        </w:div>
        <w:div w:id="2006014328">
          <w:marLeft w:val="274"/>
          <w:marRight w:val="0"/>
          <w:marTop w:val="0"/>
          <w:marBottom w:val="0"/>
          <w:divBdr>
            <w:top w:val="none" w:sz="0" w:space="0" w:color="auto"/>
            <w:left w:val="none" w:sz="0" w:space="0" w:color="auto"/>
            <w:bottom w:val="none" w:sz="0" w:space="0" w:color="auto"/>
            <w:right w:val="none" w:sz="0" w:space="0" w:color="auto"/>
          </w:divBdr>
        </w:div>
        <w:div w:id="1957592980">
          <w:marLeft w:val="274"/>
          <w:marRight w:val="0"/>
          <w:marTop w:val="0"/>
          <w:marBottom w:val="0"/>
          <w:divBdr>
            <w:top w:val="none" w:sz="0" w:space="0" w:color="auto"/>
            <w:left w:val="none" w:sz="0" w:space="0" w:color="auto"/>
            <w:bottom w:val="none" w:sz="0" w:space="0" w:color="auto"/>
            <w:right w:val="none" w:sz="0" w:space="0" w:color="auto"/>
          </w:divBdr>
        </w:div>
        <w:div w:id="1913925148">
          <w:marLeft w:val="274"/>
          <w:marRight w:val="0"/>
          <w:marTop w:val="0"/>
          <w:marBottom w:val="0"/>
          <w:divBdr>
            <w:top w:val="none" w:sz="0" w:space="0" w:color="auto"/>
            <w:left w:val="none" w:sz="0" w:space="0" w:color="auto"/>
            <w:bottom w:val="none" w:sz="0" w:space="0" w:color="auto"/>
            <w:right w:val="none" w:sz="0" w:space="0" w:color="auto"/>
          </w:divBdr>
        </w:div>
        <w:div w:id="1296761978">
          <w:marLeft w:val="274"/>
          <w:marRight w:val="0"/>
          <w:marTop w:val="0"/>
          <w:marBottom w:val="0"/>
          <w:divBdr>
            <w:top w:val="none" w:sz="0" w:space="0" w:color="auto"/>
            <w:left w:val="none" w:sz="0" w:space="0" w:color="auto"/>
            <w:bottom w:val="none" w:sz="0" w:space="0" w:color="auto"/>
            <w:right w:val="none" w:sz="0" w:space="0" w:color="auto"/>
          </w:divBdr>
        </w:div>
        <w:div w:id="1376197949">
          <w:marLeft w:val="274"/>
          <w:marRight w:val="0"/>
          <w:marTop w:val="0"/>
          <w:marBottom w:val="0"/>
          <w:divBdr>
            <w:top w:val="none" w:sz="0" w:space="0" w:color="auto"/>
            <w:left w:val="none" w:sz="0" w:space="0" w:color="auto"/>
            <w:bottom w:val="none" w:sz="0" w:space="0" w:color="auto"/>
            <w:right w:val="none" w:sz="0" w:space="0" w:color="auto"/>
          </w:divBdr>
        </w:div>
        <w:div w:id="1407612887">
          <w:marLeft w:val="274"/>
          <w:marRight w:val="0"/>
          <w:marTop w:val="0"/>
          <w:marBottom w:val="0"/>
          <w:divBdr>
            <w:top w:val="none" w:sz="0" w:space="0" w:color="auto"/>
            <w:left w:val="none" w:sz="0" w:space="0" w:color="auto"/>
            <w:bottom w:val="none" w:sz="0" w:space="0" w:color="auto"/>
            <w:right w:val="none" w:sz="0" w:space="0" w:color="auto"/>
          </w:divBdr>
        </w:div>
        <w:div w:id="1259484508">
          <w:marLeft w:val="274"/>
          <w:marRight w:val="0"/>
          <w:marTop w:val="0"/>
          <w:marBottom w:val="0"/>
          <w:divBdr>
            <w:top w:val="none" w:sz="0" w:space="0" w:color="auto"/>
            <w:left w:val="none" w:sz="0" w:space="0" w:color="auto"/>
            <w:bottom w:val="none" w:sz="0" w:space="0" w:color="auto"/>
            <w:right w:val="none" w:sz="0" w:space="0" w:color="auto"/>
          </w:divBdr>
        </w:div>
        <w:div w:id="430779976">
          <w:marLeft w:val="274"/>
          <w:marRight w:val="0"/>
          <w:marTop w:val="0"/>
          <w:marBottom w:val="0"/>
          <w:divBdr>
            <w:top w:val="none" w:sz="0" w:space="0" w:color="auto"/>
            <w:left w:val="none" w:sz="0" w:space="0" w:color="auto"/>
            <w:bottom w:val="none" w:sz="0" w:space="0" w:color="auto"/>
            <w:right w:val="none" w:sz="0" w:space="0" w:color="auto"/>
          </w:divBdr>
        </w:div>
        <w:div w:id="1311399437">
          <w:marLeft w:val="274"/>
          <w:marRight w:val="0"/>
          <w:marTop w:val="0"/>
          <w:marBottom w:val="0"/>
          <w:divBdr>
            <w:top w:val="none" w:sz="0" w:space="0" w:color="auto"/>
            <w:left w:val="none" w:sz="0" w:space="0" w:color="auto"/>
            <w:bottom w:val="none" w:sz="0" w:space="0" w:color="auto"/>
            <w:right w:val="none" w:sz="0" w:space="0" w:color="auto"/>
          </w:divBdr>
        </w:div>
        <w:div w:id="1061636868">
          <w:marLeft w:val="274"/>
          <w:marRight w:val="0"/>
          <w:marTop w:val="0"/>
          <w:marBottom w:val="0"/>
          <w:divBdr>
            <w:top w:val="none" w:sz="0" w:space="0" w:color="auto"/>
            <w:left w:val="none" w:sz="0" w:space="0" w:color="auto"/>
            <w:bottom w:val="none" w:sz="0" w:space="0" w:color="auto"/>
            <w:right w:val="none" w:sz="0" w:space="0" w:color="auto"/>
          </w:divBdr>
        </w:div>
      </w:divsChild>
    </w:div>
    <w:div w:id="1973166243">
      <w:bodyDiv w:val="1"/>
      <w:marLeft w:val="0"/>
      <w:marRight w:val="0"/>
      <w:marTop w:val="0"/>
      <w:marBottom w:val="0"/>
      <w:divBdr>
        <w:top w:val="none" w:sz="0" w:space="0" w:color="auto"/>
        <w:left w:val="none" w:sz="0" w:space="0" w:color="auto"/>
        <w:bottom w:val="none" w:sz="0" w:space="0" w:color="auto"/>
        <w:right w:val="none" w:sz="0" w:space="0" w:color="auto"/>
      </w:divBdr>
    </w:div>
    <w:div w:id="2006858521">
      <w:bodyDiv w:val="1"/>
      <w:marLeft w:val="0"/>
      <w:marRight w:val="0"/>
      <w:marTop w:val="0"/>
      <w:marBottom w:val="0"/>
      <w:divBdr>
        <w:top w:val="none" w:sz="0" w:space="0" w:color="auto"/>
        <w:left w:val="none" w:sz="0" w:space="0" w:color="auto"/>
        <w:bottom w:val="none" w:sz="0" w:space="0" w:color="auto"/>
        <w:right w:val="none" w:sz="0" w:space="0" w:color="auto"/>
      </w:divBdr>
    </w:div>
    <w:div w:id="2097553858">
      <w:bodyDiv w:val="1"/>
      <w:marLeft w:val="0"/>
      <w:marRight w:val="0"/>
      <w:marTop w:val="0"/>
      <w:marBottom w:val="0"/>
      <w:divBdr>
        <w:top w:val="none" w:sz="0" w:space="0" w:color="auto"/>
        <w:left w:val="none" w:sz="0" w:space="0" w:color="auto"/>
        <w:bottom w:val="none" w:sz="0" w:space="0" w:color="auto"/>
        <w:right w:val="none" w:sz="0" w:space="0" w:color="auto"/>
      </w:divBdr>
    </w:div>
    <w:div w:id="213964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budimex.p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chal.wrzosek@budimex.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o23bhZiq9gIJc2H6Ifib6JsTyw==">AMUW2mUxnMf2l6g7cEe03YceFHGW7RsJmkmY4cBNkhj7hAmSFzS6Wj4IC0z4guUoq5kFp31sT6fnmUdqVOmx+z9fhSaoZCbggrsr/yX+1ow2mQww0y5B8+pelFlr/b6OreRGoMprXVru3gV4FUDPM7N0q9217hTYGA==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CE1AF6-A0EE-41F2-A491-45D0E3D876BA}">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contentBits="0" removed="0"/>
</clbl:labelList>
</file>

<file path=docProps/app.xml><?xml version="1.0" encoding="utf-8"?>
<Properties xmlns="http://schemas.openxmlformats.org/officeDocument/2006/extended-properties" xmlns:vt="http://schemas.openxmlformats.org/officeDocument/2006/docPropsVTypes">
  <Template>Normal</Template>
  <TotalTime>13</TotalTime>
  <Pages>7</Pages>
  <Words>1850</Words>
  <Characters>11100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Wójcik</dc:creator>
  <cp:lastModifiedBy>program1</cp:lastModifiedBy>
  <cp:revision>5</cp:revision>
  <cp:lastPrinted>2023-05-10T07:22:00Z</cp:lastPrinted>
  <dcterms:created xsi:type="dcterms:W3CDTF">2023-05-10T07:32:00Z</dcterms:created>
  <dcterms:modified xsi:type="dcterms:W3CDTF">2023-05-12T09:26:00Z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b9fa3555e7069b1605814e952542b734913939f201daf39c36f02291627dd226</vt:lpwstr>
  </property>
</Properties>
</file>