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E3078F" w:rsidR="008817A6" w:rsidRDefault="004673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Sezon na wypadki drogowe otwiera się w maju</w:t>
      </w:r>
    </w:p>
    <w:p w14:paraId="3CBC1179" w14:textId="77777777" w:rsidR="003C42E1" w:rsidRPr="00C3148C" w:rsidRDefault="003C42E1">
      <w:pPr>
        <w:jc w:val="both"/>
        <w:rPr>
          <w:b/>
          <w:sz w:val="20"/>
          <w:szCs w:val="20"/>
        </w:rPr>
      </w:pPr>
    </w:p>
    <w:p w14:paraId="00000002" w14:textId="48F2BE65" w:rsidR="008817A6" w:rsidRPr="00C3148C" w:rsidRDefault="00A32E32" w:rsidP="00A32E32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jc w:val="both"/>
        <w:rPr>
          <w:sz w:val="20"/>
          <w:szCs w:val="20"/>
        </w:rPr>
      </w:pPr>
      <w:r>
        <w:rPr>
          <w:b/>
          <w:sz w:val="20"/>
          <w:szCs w:val="20"/>
        </w:rPr>
        <w:t>W maju każdego roku zaczyna rosnąć l</w:t>
      </w:r>
      <w:r w:rsidR="00BC570E">
        <w:rPr>
          <w:b/>
          <w:sz w:val="20"/>
          <w:szCs w:val="20"/>
        </w:rPr>
        <w:t>iczba wypadków</w:t>
      </w:r>
      <w:r w:rsidR="00997586">
        <w:rPr>
          <w:b/>
          <w:sz w:val="20"/>
          <w:szCs w:val="20"/>
        </w:rPr>
        <w:t xml:space="preserve"> drogowych.</w:t>
      </w:r>
      <w:r w:rsidR="003B7B68">
        <w:rPr>
          <w:b/>
          <w:sz w:val="20"/>
          <w:szCs w:val="20"/>
        </w:rPr>
        <w:t xml:space="preserve"> N</w:t>
      </w:r>
      <w:r w:rsidR="00BC570E">
        <w:rPr>
          <w:b/>
          <w:sz w:val="20"/>
          <w:szCs w:val="20"/>
        </w:rPr>
        <w:t>ajniebezpieczniejszy okres trwa</w:t>
      </w:r>
      <w:r w:rsidR="00560F50">
        <w:rPr>
          <w:b/>
          <w:sz w:val="20"/>
          <w:szCs w:val="20"/>
        </w:rPr>
        <w:t xml:space="preserve"> zazwyczaj</w:t>
      </w:r>
      <w:r w:rsidR="00BC570E">
        <w:rPr>
          <w:b/>
          <w:sz w:val="20"/>
          <w:szCs w:val="20"/>
        </w:rPr>
        <w:t xml:space="preserve"> do jesieni.</w:t>
      </w:r>
      <w:r>
        <w:rPr>
          <w:b/>
          <w:sz w:val="20"/>
          <w:szCs w:val="20"/>
        </w:rPr>
        <w:t xml:space="preserve"> Kiedy, gdzie i w jakich warunkach ryzyko udziału w wypadku jest największe?</w:t>
      </w:r>
    </w:p>
    <w:p w14:paraId="00000005" w14:textId="77777777" w:rsidR="008817A6" w:rsidRPr="00C3148C" w:rsidRDefault="008817A6" w:rsidP="00A32E32">
      <w:pPr>
        <w:jc w:val="both"/>
        <w:rPr>
          <w:b/>
          <w:sz w:val="20"/>
          <w:szCs w:val="20"/>
        </w:rPr>
      </w:pPr>
    </w:p>
    <w:p w14:paraId="00000006" w14:textId="650A52AE" w:rsidR="008817A6" w:rsidRPr="00C3148C" w:rsidRDefault="002A709F">
      <w:pPr>
        <w:jc w:val="both"/>
        <w:rPr>
          <w:sz w:val="20"/>
          <w:szCs w:val="20"/>
        </w:rPr>
      </w:pPr>
      <w:r w:rsidRPr="00C3148C">
        <w:rPr>
          <w:sz w:val="20"/>
          <w:szCs w:val="20"/>
        </w:rPr>
        <w:t>W porównaniu z początkiem roku maj</w:t>
      </w:r>
      <w:r w:rsidR="007B1646">
        <w:rPr>
          <w:sz w:val="20"/>
          <w:szCs w:val="20"/>
        </w:rPr>
        <w:t xml:space="preserve"> przynosi z reguły wyraźny wzrost </w:t>
      </w:r>
      <w:r w:rsidRPr="00C3148C">
        <w:rPr>
          <w:sz w:val="20"/>
          <w:szCs w:val="20"/>
        </w:rPr>
        <w:t>liczb</w:t>
      </w:r>
      <w:r w:rsidR="007B1646">
        <w:rPr>
          <w:sz w:val="20"/>
          <w:szCs w:val="20"/>
        </w:rPr>
        <w:t>y</w:t>
      </w:r>
      <w:r w:rsidRPr="00C3148C">
        <w:rPr>
          <w:sz w:val="20"/>
          <w:szCs w:val="20"/>
        </w:rPr>
        <w:t xml:space="preserve"> wypadków drogowych – wynika ze statystyk Komendy Głównej Policji. Dobrze obrazują to zeszłoroczne dane</w:t>
      </w:r>
      <w:r w:rsidR="00CF2C25">
        <w:rPr>
          <w:sz w:val="20"/>
          <w:szCs w:val="20"/>
        </w:rPr>
        <w:t xml:space="preserve"> – w </w:t>
      </w:r>
      <w:r w:rsidRPr="00C3148C">
        <w:rPr>
          <w:sz w:val="20"/>
          <w:szCs w:val="20"/>
        </w:rPr>
        <w:t>maju 2022 r. doszło do 2119 zdarzeń, czyli prawie 10% ogólnej liczby wypadków (21 322). Średnia</w:t>
      </w:r>
      <w:r w:rsidR="005661E2" w:rsidRPr="00C3148C">
        <w:rPr>
          <w:sz w:val="20"/>
          <w:szCs w:val="20"/>
        </w:rPr>
        <w:t xml:space="preserve"> z okresu</w:t>
      </w:r>
      <w:r w:rsidRPr="00C3148C">
        <w:rPr>
          <w:sz w:val="20"/>
          <w:szCs w:val="20"/>
        </w:rPr>
        <w:t xml:space="preserve"> </w:t>
      </w:r>
      <w:r w:rsidR="005661E2" w:rsidRPr="00C3148C">
        <w:rPr>
          <w:sz w:val="20"/>
          <w:szCs w:val="20"/>
        </w:rPr>
        <w:t>styczeń-kwiecień</w:t>
      </w:r>
      <w:r w:rsidRPr="00C3148C">
        <w:rPr>
          <w:sz w:val="20"/>
          <w:szCs w:val="20"/>
        </w:rPr>
        <w:t xml:space="preserve"> wynosiła „jedynie” 1396 wypadków na miesiąc. </w:t>
      </w:r>
      <w:r w:rsidR="00B5666B">
        <w:rPr>
          <w:sz w:val="20"/>
          <w:szCs w:val="20"/>
        </w:rPr>
        <w:t>R</w:t>
      </w:r>
      <w:r w:rsidR="00B5666B" w:rsidRPr="00C3148C">
        <w:rPr>
          <w:sz w:val="20"/>
          <w:szCs w:val="20"/>
        </w:rPr>
        <w:t>ok wcześniej</w:t>
      </w:r>
      <w:r w:rsidR="00B5666B">
        <w:rPr>
          <w:sz w:val="20"/>
          <w:szCs w:val="20"/>
        </w:rPr>
        <w:t xml:space="preserve"> te p</w:t>
      </w:r>
      <w:r w:rsidR="005661E2" w:rsidRPr="00C3148C">
        <w:rPr>
          <w:sz w:val="20"/>
          <w:szCs w:val="20"/>
        </w:rPr>
        <w:t xml:space="preserve">roporcje </w:t>
      </w:r>
      <w:r w:rsidR="00B5666B">
        <w:rPr>
          <w:sz w:val="20"/>
          <w:szCs w:val="20"/>
        </w:rPr>
        <w:t xml:space="preserve">były </w:t>
      </w:r>
      <w:r w:rsidR="005661E2" w:rsidRPr="00C3148C">
        <w:rPr>
          <w:sz w:val="20"/>
          <w:szCs w:val="20"/>
        </w:rPr>
        <w:t>niemal identyczne. To pokazuje, że maj otwiera „sezon” na wypadki</w:t>
      </w:r>
      <w:r w:rsidR="00061BAC">
        <w:rPr>
          <w:sz w:val="20"/>
          <w:szCs w:val="20"/>
        </w:rPr>
        <w:t xml:space="preserve">. Na drogach zaczyna robić się spokojniej zazwyczaj dopiero od listopada. </w:t>
      </w:r>
    </w:p>
    <w:p w14:paraId="00000007" w14:textId="77777777" w:rsidR="008817A6" w:rsidRPr="00C3148C" w:rsidRDefault="008817A6">
      <w:pPr>
        <w:jc w:val="both"/>
        <w:rPr>
          <w:sz w:val="20"/>
          <w:szCs w:val="20"/>
        </w:rPr>
      </w:pPr>
    </w:p>
    <w:p w14:paraId="00000008" w14:textId="562A576D" w:rsidR="008817A6" w:rsidRPr="00C3148C" w:rsidRDefault="00A408C9">
      <w:pPr>
        <w:jc w:val="both"/>
        <w:rPr>
          <w:iCs/>
          <w:sz w:val="20"/>
          <w:szCs w:val="20"/>
        </w:rPr>
      </w:pPr>
      <w:r w:rsidRPr="00C3148C">
        <w:rPr>
          <w:sz w:val="20"/>
          <w:szCs w:val="20"/>
        </w:rPr>
        <w:t xml:space="preserve">– </w:t>
      </w:r>
      <w:r w:rsidR="005661E2" w:rsidRPr="00C3148C">
        <w:rPr>
          <w:i/>
          <w:sz w:val="20"/>
          <w:szCs w:val="20"/>
        </w:rPr>
        <w:t xml:space="preserve">To zjawisko </w:t>
      </w:r>
      <w:r w:rsidRPr="00C3148C">
        <w:rPr>
          <w:i/>
          <w:sz w:val="20"/>
          <w:szCs w:val="20"/>
        </w:rPr>
        <w:t xml:space="preserve">obserwujemy </w:t>
      </w:r>
      <w:r w:rsidR="00352F85">
        <w:rPr>
          <w:i/>
          <w:sz w:val="20"/>
          <w:szCs w:val="20"/>
        </w:rPr>
        <w:t>corocznie</w:t>
      </w:r>
      <w:r w:rsidR="003C036B">
        <w:rPr>
          <w:i/>
          <w:sz w:val="20"/>
          <w:szCs w:val="20"/>
        </w:rPr>
        <w:t xml:space="preserve"> również </w:t>
      </w:r>
      <w:r w:rsidR="007B4CA9" w:rsidRPr="00C3148C">
        <w:rPr>
          <w:i/>
          <w:sz w:val="20"/>
          <w:szCs w:val="20"/>
        </w:rPr>
        <w:t>w</w:t>
      </w:r>
      <w:r w:rsidR="005661E2" w:rsidRPr="00C3148C">
        <w:rPr>
          <w:i/>
          <w:sz w:val="20"/>
          <w:szCs w:val="20"/>
        </w:rPr>
        <w:t xml:space="preserve"> likwidacji szkód</w:t>
      </w:r>
      <w:r w:rsidRPr="00C3148C">
        <w:rPr>
          <w:i/>
          <w:sz w:val="20"/>
          <w:szCs w:val="20"/>
        </w:rPr>
        <w:t>.</w:t>
      </w:r>
      <w:r w:rsidR="005661E2" w:rsidRPr="00C3148C">
        <w:rPr>
          <w:i/>
          <w:sz w:val="20"/>
          <w:szCs w:val="20"/>
        </w:rPr>
        <w:t xml:space="preserve"> </w:t>
      </w:r>
      <w:r w:rsidR="007B4CA9" w:rsidRPr="00C3148C">
        <w:rPr>
          <w:i/>
          <w:sz w:val="20"/>
          <w:szCs w:val="20"/>
        </w:rPr>
        <w:t>Większa liczba trafiających do ubezpieczycieli zgłoszeń wynika oczywiście z</w:t>
      </w:r>
      <w:r w:rsidR="00A84712">
        <w:rPr>
          <w:i/>
          <w:sz w:val="20"/>
          <w:szCs w:val="20"/>
        </w:rPr>
        <w:t>e</w:t>
      </w:r>
      <w:r w:rsidR="007B4CA9" w:rsidRPr="00C3148C">
        <w:rPr>
          <w:i/>
          <w:sz w:val="20"/>
          <w:szCs w:val="20"/>
        </w:rPr>
        <w:t xml:space="preserve"> wzmożonego ruchu w sezonie turystycznym, który nieoficjalnie rozpoczyna się majówką. </w:t>
      </w:r>
      <w:r w:rsidR="00E52818">
        <w:rPr>
          <w:i/>
          <w:sz w:val="20"/>
          <w:szCs w:val="20"/>
        </w:rPr>
        <w:t xml:space="preserve">Maj oznacza też </w:t>
      </w:r>
      <w:r w:rsidR="00676A18" w:rsidRPr="00C3148C">
        <w:rPr>
          <w:i/>
          <w:sz w:val="20"/>
          <w:szCs w:val="20"/>
        </w:rPr>
        <w:t>– przynajmniej</w:t>
      </w:r>
      <w:r w:rsidR="007B4CA9" w:rsidRPr="00C3148C">
        <w:rPr>
          <w:i/>
          <w:sz w:val="20"/>
          <w:szCs w:val="20"/>
        </w:rPr>
        <w:t xml:space="preserve"> teoretycznie – </w:t>
      </w:r>
      <w:r w:rsidR="00835B1B">
        <w:rPr>
          <w:i/>
          <w:sz w:val="20"/>
          <w:szCs w:val="20"/>
        </w:rPr>
        <w:t xml:space="preserve">lepszą </w:t>
      </w:r>
      <w:r w:rsidR="00233577">
        <w:rPr>
          <w:i/>
          <w:sz w:val="20"/>
          <w:szCs w:val="20"/>
        </w:rPr>
        <w:t>pogod</w:t>
      </w:r>
      <w:r w:rsidR="00835B1B">
        <w:rPr>
          <w:i/>
          <w:sz w:val="20"/>
          <w:szCs w:val="20"/>
        </w:rPr>
        <w:t>ę</w:t>
      </w:r>
      <w:r w:rsidR="00233577">
        <w:rPr>
          <w:i/>
          <w:sz w:val="20"/>
          <w:szCs w:val="20"/>
        </w:rPr>
        <w:t>, a</w:t>
      </w:r>
      <w:r w:rsidR="00835B1B">
        <w:rPr>
          <w:i/>
          <w:sz w:val="20"/>
          <w:szCs w:val="20"/>
        </w:rPr>
        <w:t> </w:t>
      </w:r>
      <w:r w:rsidR="00233577">
        <w:rPr>
          <w:i/>
          <w:sz w:val="20"/>
          <w:szCs w:val="20"/>
        </w:rPr>
        <w:t xml:space="preserve">co za tym idzie – </w:t>
      </w:r>
      <w:r w:rsidR="00835B1B">
        <w:rPr>
          <w:i/>
          <w:sz w:val="20"/>
          <w:szCs w:val="20"/>
        </w:rPr>
        <w:t xml:space="preserve">lepsze </w:t>
      </w:r>
      <w:r w:rsidR="007B4CA9" w:rsidRPr="00C3148C">
        <w:rPr>
          <w:i/>
          <w:sz w:val="20"/>
          <w:szCs w:val="20"/>
        </w:rPr>
        <w:t>warunk</w:t>
      </w:r>
      <w:r w:rsidR="00835B1B">
        <w:rPr>
          <w:i/>
          <w:sz w:val="20"/>
          <w:szCs w:val="20"/>
        </w:rPr>
        <w:t>i</w:t>
      </w:r>
      <w:r w:rsidR="00233577">
        <w:rPr>
          <w:i/>
          <w:sz w:val="20"/>
          <w:szCs w:val="20"/>
        </w:rPr>
        <w:t xml:space="preserve"> </w:t>
      </w:r>
      <w:r w:rsidR="007B4CA9" w:rsidRPr="00C3148C">
        <w:rPr>
          <w:i/>
          <w:sz w:val="20"/>
          <w:szCs w:val="20"/>
        </w:rPr>
        <w:t>drogow</w:t>
      </w:r>
      <w:r w:rsidR="00835B1B">
        <w:rPr>
          <w:i/>
          <w:sz w:val="20"/>
          <w:szCs w:val="20"/>
        </w:rPr>
        <w:t>e</w:t>
      </w:r>
      <w:r w:rsidR="006F074F">
        <w:rPr>
          <w:i/>
          <w:sz w:val="20"/>
          <w:szCs w:val="20"/>
        </w:rPr>
        <w:t xml:space="preserve">, które </w:t>
      </w:r>
      <w:r w:rsidR="007B4CA9" w:rsidRPr="00C3148C">
        <w:rPr>
          <w:i/>
          <w:sz w:val="20"/>
          <w:szCs w:val="20"/>
        </w:rPr>
        <w:t>„prowokuj</w:t>
      </w:r>
      <w:r w:rsidR="006F074F">
        <w:rPr>
          <w:i/>
          <w:sz w:val="20"/>
          <w:szCs w:val="20"/>
        </w:rPr>
        <w:t>ą</w:t>
      </w:r>
      <w:r w:rsidR="007B4CA9" w:rsidRPr="00C3148C">
        <w:rPr>
          <w:i/>
          <w:sz w:val="20"/>
          <w:szCs w:val="20"/>
        </w:rPr>
        <w:t>” do szybszej</w:t>
      </w:r>
      <w:r w:rsidR="001A3A18">
        <w:rPr>
          <w:i/>
          <w:sz w:val="20"/>
          <w:szCs w:val="20"/>
        </w:rPr>
        <w:t xml:space="preserve"> i</w:t>
      </w:r>
      <w:r w:rsidR="00676A18" w:rsidRPr="00C3148C">
        <w:rPr>
          <w:i/>
          <w:sz w:val="20"/>
          <w:szCs w:val="20"/>
        </w:rPr>
        <w:t xml:space="preserve"> mniej ostrożnej</w:t>
      </w:r>
      <w:r w:rsidR="007B4CA9" w:rsidRPr="00C3148C">
        <w:rPr>
          <w:i/>
          <w:sz w:val="20"/>
          <w:szCs w:val="20"/>
        </w:rPr>
        <w:t xml:space="preserve"> jazdy. Warto mieć to z tyłu głowy, wyjeżdżając na drogę </w:t>
      </w:r>
      <w:r w:rsidR="00676A18" w:rsidRPr="00C3148C">
        <w:rPr>
          <w:iCs/>
          <w:sz w:val="20"/>
          <w:szCs w:val="20"/>
        </w:rPr>
        <w:t xml:space="preserve">– mówi Damian Andruszkiewicz, odpowiedzialny za ubezpieczenia komunikacyjne w Compensa TU SA </w:t>
      </w:r>
      <w:proofErr w:type="spellStart"/>
      <w:r w:rsidR="00676A18" w:rsidRPr="00C3148C">
        <w:rPr>
          <w:iCs/>
          <w:sz w:val="20"/>
          <w:szCs w:val="20"/>
        </w:rPr>
        <w:t>Vienna</w:t>
      </w:r>
      <w:proofErr w:type="spellEnd"/>
      <w:r w:rsidR="00676A18" w:rsidRPr="00C3148C">
        <w:rPr>
          <w:iCs/>
          <w:sz w:val="20"/>
          <w:szCs w:val="20"/>
        </w:rPr>
        <w:t xml:space="preserve"> </w:t>
      </w:r>
      <w:proofErr w:type="spellStart"/>
      <w:r w:rsidR="00676A18" w:rsidRPr="00C3148C">
        <w:rPr>
          <w:iCs/>
          <w:sz w:val="20"/>
          <w:szCs w:val="20"/>
        </w:rPr>
        <w:t>Insurance</w:t>
      </w:r>
      <w:proofErr w:type="spellEnd"/>
      <w:r w:rsidR="00676A18" w:rsidRPr="00C3148C">
        <w:rPr>
          <w:iCs/>
          <w:sz w:val="20"/>
          <w:szCs w:val="20"/>
        </w:rPr>
        <w:t xml:space="preserve"> </w:t>
      </w:r>
      <w:proofErr w:type="spellStart"/>
      <w:r w:rsidR="00676A18" w:rsidRPr="00C3148C">
        <w:rPr>
          <w:iCs/>
          <w:sz w:val="20"/>
          <w:szCs w:val="20"/>
        </w:rPr>
        <w:t>Group</w:t>
      </w:r>
      <w:proofErr w:type="spellEnd"/>
      <w:r w:rsidR="00676A18" w:rsidRPr="00C3148C">
        <w:rPr>
          <w:iCs/>
          <w:sz w:val="20"/>
          <w:szCs w:val="20"/>
        </w:rPr>
        <w:t>.</w:t>
      </w:r>
    </w:p>
    <w:p w14:paraId="00000009" w14:textId="77777777" w:rsidR="008817A6" w:rsidRPr="00C3148C" w:rsidRDefault="008817A6">
      <w:pPr>
        <w:jc w:val="both"/>
        <w:rPr>
          <w:i/>
          <w:sz w:val="20"/>
          <w:szCs w:val="20"/>
        </w:rPr>
      </w:pPr>
    </w:p>
    <w:p w14:paraId="0000000A" w14:textId="66E485B0" w:rsidR="008817A6" w:rsidRPr="00C3148C" w:rsidRDefault="00676A18">
      <w:pPr>
        <w:jc w:val="both"/>
        <w:rPr>
          <w:sz w:val="20"/>
          <w:szCs w:val="20"/>
        </w:rPr>
      </w:pPr>
      <w:r w:rsidRPr="00C3148C">
        <w:rPr>
          <w:sz w:val="20"/>
          <w:szCs w:val="20"/>
        </w:rPr>
        <w:t xml:space="preserve">Policyjne i ubezpieczeniowe statystyki odsłaniają często </w:t>
      </w:r>
      <w:r w:rsidR="007C3270">
        <w:rPr>
          <w:sz w:val="20"/>
          <w:szCs w:val="20"/>
        </w:rPr>
        <w:t>nieznany</w:t>
      </w:r>
      <w:r w:rsidRPr="00C3148C">
        <w:rPr>
          <w:sz w:val="20"/>
          <w:szCs w:val="20"/>
        </w:rPr>
        <w:t xml:space="preserve"> obraz wypadków w Polsce. Poniżej kilka danych, które dobrze jest brać pod uwagę za kierownicą.</w:t>
      </w:r>
    </w:p>
    <w:p w14:paraId="0000000B" w14:textId="77777777" w:rsidR="008817A6" w:rsidRPr="00C3148C" w:rsidRDefault="008817A6">
      <w:pPr>
        <w:jc w:val="both"/>
        <w:rPr>
          <w:sz w:val="20"/>
          <w:szCs w:val="20"/>
        </w:rPr>
      </w:pPr>
    </w:p>
    <w:p w14:paraId="78B0CFDE" w14:textId="4ECDC3FC" w:rsidR="00676A18" w:rsidRPr="00C3148C" w:rsidRDefault="001377F9" w:rsidP="00676A18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piątki lepiej nie wyjeżdżać z garażu</w:t>
      </w:r>
    </w:p>
    <w:p w14:paraId="0000000D" w14:textId="5E25B506" w:rsidR="008817A6" w:rsidRPr="00C3148C" w:rsidRDefault="00676A18" w:rsidP="00676A18">
      <w:pPr>
        <w:ind w:left="360"/>
        <w:jc w:val="both"/>
        <w:rPr>
          <w:sz w:val="20"/>
          <w:szCs w:val="20"/>
        </w:rPr>
      </w:pPr>
      <w:r w:rsidRPr="00C3148C">
        <w:rPr>
          <w:sz w:val="20"/>
          <w:szCs w:val="20"/>
        </w:rPr>
        <w:t>Do największej liczby zdarzeń na drogach dochodzi w piątki. Policja podaje, że w zeszłym roku w</w:t>
      </w:r>
      <w:r w:rsidR="0055427A">
        <w:rPr>
          <w:sz w:val="20"/>
          <w:szCs w:val="20"/>
        </w:rPr>
        <w:t> </w:t>
      </w:r>
      <w:r w:rsidRPr="00C3148C">
        <w:rPr>
          <w:sz w:val="20"/>
          <w:szCs w:val="20"/>
        </w:rPr>
        <w:t>tym dniu miało miejsce 3617</w:t>
      </w:r>
      <w:r w:rsidR="00997586">
        <w:rPr>
          <w:sz w:val="20"/>
          <w:szCs w:val="20"/>
        </w:rPr>
        <w:t xml:space="preserve">, czyli </w:t>
      </w:r>
      <w:r w:rsidRPr="00C3148C">
        <w:rPr>
          <w:sz w:val="20"/>
          <w:szCs w:val="20"/>
        </w:rPr>
        <w:t>aż 17% ogółu</w:t>
      </w:r>
      <w:r w:rsidR="00B42C12">
        <w:rPr>
          <w:sz w:val="20"/>
          <w:szCs w:val="20"/>
        </w:rPr>
        <w:t xml:space="preserve"> wypadków</w:t>
      </w:r>
      <w:r w:rsidRPr="00C3148C">
        <w:rPr>
          <w:sz w:val="20"/>
          <w:szCs w:val="20"/>
        </w:rPr>
        <w:t xml:space="preserve">. Dla porównania: na drugim miejscu znalazła się środa (3252), a na trzecim poniedziałek (3248). </w:t>
      </w:r>
      <w:r w:rsidR="00B923EC" w:rsidRPr="00C3148C">
        <w:rPr>
          <w:sz w:val="20"/>
          <w:szCs w:val="20"/>
        </w:rPr>
        <w:t>Zdecydowanie n</w:t>
      </w:r>
      <w:r w:rsidRPr="00C3148C">
        <w:rPr>
          <w:sz w:val="20"/>
          <w:szCs w:val="20"/>
        </w:rPr>
        <w:t>ajbezpieczniej jest na drogach w soboty i niedziele.</w:t>
      </w:r>
    </w:p>
    <w:p w14:paraId="0000000E" w14:textId="77777777" w:rsidR="008817A6" w:rsidRPr="00C3148C" w:rsidRDefault="008817A6">
      <w:pPr>
        <w:jc w:val="both"/>
        <w:rPr>
          <w:sz w:val="20"/>
          <w:szCs w:val="20"/>
        </w:rPr>
      </w:pPr>
    </w:p>
    <w:p w14:paraId="2EE2AA4C" w14:textId="4BE80DBA" w:rsidR="00B923EC" w:rsidRPr="00C3148C" w:rsidRDefault="00A408C9" w:rsidP="00B923EC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3148C">
        <w:rPr>
          <w:b/>
          <w:sz w:val="20"/>
          <w:szCs w:val="20"/>
        </w:rPr>
        <w:t>Godziny szczytu</w:t>
      </w:r>
      <w:r w:rsidR="00447C3D">
        <w:rPr>
          <w:b/>
          <w:sz w:val="20"/>
          <w:szCs w:val="20"/>
        </w:rPr>
        <w:t xml:space="preserve"> trwają od 14 do 18</w:t>
      </w:r>
    </w:p>
    <w:p w14:paraId="00000010" w14:textId="1BFF3E09" w:rsidR="008817A6" w:rsidRDefault="00447C3D" w:rsidP="00B923E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C3148C">
        <w:rPr>
          <w:sz w:val="20"/>
          <w:szCs w:val="20"/>
        </w:rPr>
        <w:t xml:space="preserve">ntensywny ruch drogowy </w:t>
      </w:r>
      <w:r w:rsidR="002A73FB">
        <w:rPr>
          <w:sz w:val="20"/>
          <w:szCs w:val="20"/>
        </w:rPr>
        <w:t>zwiększa</w:t>
      </w:r>
      <w:r>
        <w:rPr>
          <w:sz w:val="20"/>
          <w:szCs w:val="20"/>
        </w:rPr>
        <w:t xml:space="preserve"> ryzyko </w:t>
      </w:r>
      <w:r w:rsidRPr="00C3148C">
        <w:rPr>
          <w:sz w:val="20"/>
          <w:szCs w:val="20"/>
        </w:rPr>
        <w:t xml:space="preserve">wypadków na drodze. </w:t>
      </w:r>
      <w:r>
        <w:rPr>
          <w:sz w:val="20"/>
          <w:szCs w:val="20"/>
        </w:rPr>
        <w:t>Z policyjnego podsumowania wynika, że na drogach „gęsto” zaczyna robić się między godz. 14</w:t>
      </w:r>
      <w:r w:rsidR="002A73FB">
        <w:rPr>
          <w:sz w:val="20"/>
          <w:szCs w:val="20"/>
        </w:rPr>
        <w:t xml:space="preserve"> a </w:t>
      </w:r>
      <w:r>
        <w:rPr>
          <w:sz w:val="20"/>
          <w:szCs w:val="20"/>
        </w:rPr>
        <w:t>15</w:t>
      </w:r>
      <w:r w:rsidR="002A73FB">
        <w:rPr>
          <w:sz w:val="20"/>
          <w:szCs w:val="20"/>
        </w:rPr>
        <w:t>. O</w:t>
      </w:r>
      <w:r>
        <w:rPr>
          <w:sz w:val="20"/>
          <w:szCs w:val="20"/>
        </w:rPr>
        <w:t xml:space="preserve"> tej porze dnia doszło w</w:t>
      </w:r>
      <w:r w:rsidR="008A0452">
        <w:rPr>
          <w:sz w:val="20"/>
          <w:szCs w:val="20"/>
        </w:rPr>
        <w:t> ubiegłym</w:t>
      </w:r>
      <w:r>
        <w:rPr>
          <w:sz w:val="20"/>
          <w:szCs w:val="20"/>
        </w:rPr>
        <w:t xml:space="preserve"> roku do 7,7% zdarzeń. Więcej wypadków miało miejsce tylko w przedziale godzinowym 15-16 i 16-17 (odpowiednio 1711 i 1715, czyli po 8% wszystkich zdarzeń). Sytuacja na drogach zaczyna uspokaja</w:t>
      </w:r>
      <w:r w:rsidR="00BD725D">
        <w:rPr>
          <w:sz w:val="20"/>
          <w:szCs w:val="20"/>
        </w:rPr>
        <w:t>ć</w:t>
      </w:r>
      <w:r>
        <w:rPr>
          <w:sz w:val="20"/>
          <w:szCs w:val="20"/>
        </w:rPr>
        <w:t xml:space="preserve"> się </w:t>
      </w:r>
      <w:r w:rsidR="001C78A7">
        <w:rPr>
          <w:sz w:val="20"/>
          <w:szCs w:val="20"/>
        </w:rPr>
        <w:t>w</w:t>
      </w:r>
      <w:r>
        <w:rPr>
          <w:sz w:val="20"/>
          <w:szCs w:val="20"/>
        </w:rPr>
        <w:t xml:space="preserve"> godz. 17-18 (7,4%).</w:t>
      </w:r>
    </w:p>
    <w:p w14:paraId="2F459EF0" w14:textId="77777777" w:rsidR="00CA54A9" w:rsidRDefault="00CA54A9" w:rsidP="00B923EC">
      <w:pPr>
        <w:ind w:left="360"/>
        <w:jc w:val="both"/>
        <w:rPr>
          <w:sz w:val="20"/>
          <w:szCs w:val="20"/>
        </w:rPr>
      </w:pPr>
    </w:p>
    <w:p w14:paraId="4555E574" w14:textId="77777777" w:rsidR="00CA54A9" w:rsidRPr="00C3148C" w:rsidRDefault="00CA54A9" w:rsidP="00CA54A9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C3148C">
        <w:rPr>
          <w:b/>
          <w:bCs/>
          <w:sz w:val="20"/>
          <w:szCs w:val="20"/>
        </w:rPr>
        <w:t>Prawie 10 mld zł odszkodowań z polis OC</w:t>
      </w:r>
    </w:p>
    <w:p w14:paraId="0B5070CE" w14:textId="5EB78917" w:rsidR="00CA54A9" w:rsidRPr="00C3148C" w:rsidRDefault="00CA54A9" w:rsidP="00CA54A9">
      <w:pPr>
        <w:ind w:left="360"/>
        <w:jc w:val="both"/>
        <w:rPr>
          <w:b/>
          <w:bCs/>
          <w:sz w:val="20"/>
          <w:szCs w:val="20"/>
        </w:rPr>
      </w:pPr>
      <w:r w:rsidRPr="00C3148C">
        <w:rPr>
          <w:sz w:val="20"/>
          <w:szCs w:val="20"/>
        </w:rPr>
        <w:t>Wysoka inflacja podnosi ceny samochodów, części i usług w warsztatach. W efekcie nawet zbliżona do wcześniejszych lat liczba wypadków i kolizji drogowych kosztuje obecnie dużo więcej. Jak informuje Polska Izba Ubezpieczeń, w 2022 r. odszkodowania i świadczenia z obowiązkowego OC sięgnęły niemal 9,9 mld złotych – to wzrost o 6% w porównaniu z wcześniejszym rokiem. W</w:t>
      </w:r>
      <w:r w:rsidR="00581E33">
        <w:rPr>
          <w:sz w:val="20"/>
          <w:szCs w:val="20"/>
        </w:rPr>
        <w:t> </w:t>
      </w:r>
      <w:r w:rsidRPr="00C3148C">
        <w:rPr>
          <w:sz w:val="20"/>
          <w:szCs w:val="20"/>
        </w:rPr>
        <w:t xml:space="preserve">ramach AC ubezpieczyciele wypłacili kierowcom 6,4 </w:t>
      </w:r>
      <w:r w:rsidR="00AF0F45">
        <w:rPr>
          <w:sz w:val="20"/>
          <w:szCs w:val="20"/>
        </w:rPr>
        <w:t>mld</w:t>
      </w:r>
      <w:r w:rsidR="00AF0F45" w:rsidRPr="00C3148C">
        <w:rPr>
          <w:sz w:val="20"/>
          <w:szCs w:val="20"/>
        </w:rPr>
        <w:t xml:space="preserve"> </w:t>
      </w:r>
      <w:r w:rsidRPr="00C3148C">
        <w:rPr>
          <w:sz w:val="20"/>
          <w:szCs w:val="20"/>
        </w:rPr>
        <w:t>złotych – w tym przypadku wzrost wyniósł prawie 7%.</w:t>
      </w:r>
    </w:p>
    <w:p w14:paraId="28044443" w14:textId="77777777" w:rsidR="00CA54A9" w:rsidRPr="00C3148C" w:rsidRDefault="00CA54A9" w:rsidP="00CA54A9">
      <w:pPr>
        <w:ind w:left="360"/>
        <w:jc w:val="both"/>
        <w:rPr>
          <w:b/>
          <w:bCs/>
          <w:sz w:val="20"/>
          <w:szCs w:val="20"/>
        </w:rPr>
      </w:pPr>
    </w:p>
    <w:p w14:paraId="46BB855F" w14:textId="2C1FBD88" w:rsidR="00CA54A9" w:rsidRPr="00C3148C" w:rsidRDefault="00CA54A9" w:rsidP="00CA54A9">
      <w:pPr>
        <w:ind w:left="360"/>
        <w:jc w:val="both"/>
        <w:rPr>
          <w:sz w:val="20"/>
          <w:szCs w:val="20"/>
        </w:rPr>
      </w:pPr>
      <w:r w:rsidRPr="00C3148C">
        <w:rPr>
          <w:sz w:val="20"/>
          <w:szCs w:val="20"/>
        </w:rPr>
        <w:t xml:space="preserve">– </w:t>
      </w:r>
      <w:r w:rsidR="00534287">
        <w:rPr>
          <w:i/>
          <w:iCs/>
          <w:sz w:val="20"/>
          <w:szCs w:val="20"/>
        </w:rPr>
        <w:t>T</w:t>
      </w:r>
      <w:r w:rsidRPr="00C3148C">
        <w:rPr>
          <w:i/>
          <w:iCs/>
          <w:sz w:val="20"/>
          <w:szCs w:val="20"/>
        </w:rPr>
        <w:t>rwają prace nad zmianą ustawy o ubezpieczeniach obowiązkowych</w:t>
      </w:r>
      <w:r w:rsidRPr="00C3148C">
        <w:rPr>
          <w:rStyle w:val="Odwoanieprzypisudolnego"/>
          <w:i/>
          <w:iCs/>
          <w:sz w:val="20"/>
          <w:szCs w:val="20"/>
        </w:rPr>
        <w:footnoteReference w:id="1"/>
      </w:r>
      <w:r>
        <w:rPr>
          <w:i/>
          <w:iCs/>
          <w:sz w:val="20"/>
          <w:szCs w:val="20"/>
        </w:rPr>
        <w:t xml:space="preserve">, które dostosują ją do unijnych wymogów. Dla kierowców oznacza to, że polisa OC zapewni im ochronę do wysokości 29,88 mln zł w przypadku szkód osobowych wyrządzonych innym użytkownikom dróg i 6,02 mln zł </w:t>
      </w:r>
      <w:r w:rsidR="00862B4D">
        <w:rPr>
          <w:i/>
          <w:iCs/>
          <w:sz w:val="20"/>
          <w:szCs w:val="20"/>
        </w:rPr>
        <w:t xml:space="preserve">w przypadku szkód </w:t>
      </w:r>
      <w:r>
        <w:rPr>
          <w:i/>
          <w:iCs/>
          <w:sz w:val="20"/>
          <w:szCs w:val="20"/>
        </w:rPr>
        <w:t xml:space="preserve">na ich mieniu. Sumy gwarancyjne wzrosną więc bardzo wyraźnie, bo o ponad 20%. W przypadku ubezpieczeń AC sumę w polisie wyznacza wartość samochodu </w:t>
      </w:r>
      <w:r w:rsidR="00E5538A">
        <w:rPr>
          <w:sz w:val="20"/>
          <w:szCs w:val="20"/>
        </w:rPr>
        <w:t>–</w:t>
      </w:r>
      <w:r>
        <w:rPr>
          <w:sz w:val="20"/>
          <w:szCs w:val="20"/>
        </w:rPr>
        <w:t xml:space="preserve"> zauważa</w:t>
      </w:r>
      <w:r w:rsidR="00E5538A">
        <w:rPr>
          <w:sz w:val="20"/>
          <w:szCs w:val="20"/>
        </w:rPr>
        <w:t xml:space="preserve"> </w:t>
      </w:r>
      <w:r>
        <w:rPr>
          <w:sz w:val="20"/>
          <w:szCs w:val="20"/>
        </w:rPr>
        <w:t>Damian Andruszkiewicz z Compensy.</w:t>
      </w:r>
    </w:p>
    <w:p w14:paraId="00000013" w14:textId="77777777" w:rsidR="008817A6" w:rsidRPr="00C3148C" w:rsidRDefault="008817A6">
      <w:pPr>
        <w:jc w:val="both"/>
        <w:rPr>
          <w:sz w:val="20"/>
          <w:szCs w:val="20"/>
        </w:rPr>
      </w:pPr>
    </w:p>
    <w:p w14:paraId="0026C05F" w14:textId="49405BA2" w:rsidR="00865CDD" w:rsidRDefault="00A40AE9" w:rsidP="00865CDD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Prawdopodobieństwo wypadku najniższe na Podlasiu</w:t>
      </w:r>
    </w:p>
    <w:p w14:paraId="3534DA88" w14:textId="258A1260" w:rsidR="00865CDD" w:rsidRDefault="00865CDD" w:rsidP="00E4084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2022 r. najniższy wskaźnik wypadków na 100 tys. mieszkańców zanotowano w woj. podlaskim</w:t>
      </w:r>
      <w:r w:rsidR="00A40AE9">
        <w:rPr>
          <w:sz w:val="20"/>
          <w:szCs w:val="20"/>
        </w:rPr>
        <w:t xml:space="preserve"> (29,1), kujawsko-pomorskim (38,3) i lubelskim (38,7). Zdecydowanie najwyższy</w:t>
      </w:r>
      <w:r w:rsidR="009E224E">
        <w:rPr>
          <w:sz w:val="20"/>
          <w:szCs w:val="20"/>
        </w:rPr>
        <w:t xml:space="preserve"> wskaźnik odnotowano </w:t>
      </w:r>
      <w:r w:rsidR="00A40AE9">
        <w:rPr>
          <w:sz w:val="20"/>
          <w:szCs w:val="20"/>
        </w:rPr>
        <w:t xml:space="preserve">w woj. </w:t>
      </w:r>
      <w:r w:rsidR="00761023">
        <w:rPr>
          <w:sz w:val="20"/>
          <w:szCs w:val="20"/>
        </w:rPr>
        <w:t>ł</w:t>
      </w:r>
      <w:r w:rsidR="00A40AE9">
        <w:rPr>
          <w:sz w:val="20"/>
          <w:szCs w:val="20"/>
        </w:rPr>
        <w:t>ódzkim (aż 92,6), za którym znalazły się Mazowsze</w:t>
      </w:r>
      <w:r w:rsidR="00E40841">
        <w:rPr>
          <w:sz w:val="20"/>
          <w:szCs w:val="20"/>
        </w:rPr>
        <w:t xml:space="preserve"> (liczone bez danych Komendy Stołecznej Policji) – 75,3</w:t>
      </w:r>
      <w:r w:rsidR="00A40AE9">
        <w:rPr>
          <w:sz w:val="20"/>
          <w:szCs w:val="20"/>
        </w:rPr>
        <w:t xml:space="preserve"> oraz Pomorze (67,5). Co ciekawe, „spokojne” Podlasie ma najwyższy wskaźnik liczby zabitych na 100 wypadków – 20,7 osób to 4 razy więcej </w:t>
      </w:r>
      <w:r w:rsidR="00E374CE">
        <w:rPr>
          <w:sz w:val="20"/>
          <w:szCs w:val="20"/>
        </w:rPr>
        <w:t>niż w</w:t>
      </w:r>
      <w:r w:rsidR="00A40AE9">
        <w:rPr>
          <w:sz w:val="20"/>
          <w:szCs w:val="20"/>
        </w:rPr>
        <w:t xml:space="preserve"> woj. małopolskim i</w:t>
      </w:r>
      <w:r w:rsidR="00E374CE">
        <w:rPr>
          <w:sz w:val="20"/>
          <w:szCs w:val="20"/>
        </w:rPr>
        <w:t> </w:t>
      </w:r>
      <w:r w:rsidR="00A40AE9">
        <w:rPr>
          <w:sz w:val="20"/>
          <w:szCs w:val="20"/>
        </w:rPr>
        <w:t>pomorskim!</w:t>
      </w:r>
    </w:p>
    <w:p w14:paraId="00000016" w14:textId="77777777" w:rsidR="008817A6" w:rsidRPr="00C3148C" w:rsidRDefault="008817A6">
      <w:pPr>
        <w:jc w:val="both"/>
        <w:rPr>
          <w:sz w:val="20"/>
          <w:szCs w:val="20"/>
        </w:rPr>
      </w:pPr>
    </w:p>
    <w:p w14:paraId="63333E42" w14:textId="77777777" w:rsidR="003B0740" w:rsidRDefault="003B0740" w:rsidP="003B074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Dobre warunki pogodowe są… najgorsze?</w:t>
      </w:r>
    </w:p>
    <w:p w14:paraId="00000021" w14:textId="5D8878AD" w:rsidR="008817A6" w:rsidRDefault="000A7E15" w:rsidP="00CA54A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Dobre</w:t>
      </w:r>
      <w:r w:rsidRPr="003B0740">
        <w:rPr>
          <w:sz w:val="20"/>
          <w:szCs w:val="20"/>
        </w:rPr>
        <w:t xml:space="preserve"> warunki atmosferyczne dają</w:t>
      </w:r>
      <w:r>
        <w:rPr>
          <w:sz w:val="20"/>
          <w:szCs w:val="20"/>
        </w:rPr>
        <w:t xml:space="preserve"> niestety</w:t>
      </w:r>
      <w:r w:rsidRPr="003B0740">
        <w:rPr>
          <w:sz w:val="20"/>
          <w:szCs w:val="20"/>
        </w:rPr>
        <w:t xml:space="preserve"> złudne poczucie bezpieczeństwa. </w:t>
      </w:r>
      <w:r>
        <w:rPr>
          <w:sz w:val="20"/>
          <w:szCs w:val="20"/>
        </w:rPr>
        <w:t>W</w:t>
      </w:r>
      <w:r w:rsidRPr="003B0740">
        <w:rPr>
          <w:sz w:val="20"/>
          <w:szCs w:val="20"/>
        </w:rPr>
        <w:t xml:space="preserve"> takich warunkach </w:t>
      </w:r>
      <w:r>
        <w:rPr>
          <w:sz w:val="20"/>
          <w:szCs w:val="20"/>
        </w:rPr>
        <w:t>doszło w ubiegłym roku</w:t>
      </w:r>
      <w:r w:rsidRPr="003B0740">
        <w:rPr>
          <w:sz w:val="20"/>
          <w:szCs w:val="20"/>
        </w:rPr>
        <w:t xml:space="preserve"> do 14</w:t>
      </w:r>
      <w:r>
        <w:rPr>
          <w:sz w:val="20"/>
          <w:szCs w:val="20"/>
        </w:rPr>
        <w:t xml:space="preserve"> 349</w:t>
      </w:r>
      <w:r w:rsidRPr="003B0740">
        <w:rPr>
          <w:sz w:val="20"/>
          <w:szCs w:val="20"/>
        </w:rPr>
        <w:t xml:space="preserve"> wypadków</w:t>
      </w:r>
      <w:r>
        <w:rPr>
          <w:sz w:val="20"/>
          <w:szCs w:val="20"/>
        </w:rPr>
        <w:t xml:space="preserve">, w których zginęło 1210 osób. Dla porównania, </w:t>
      </w:r>
      <w:r w:rsidR="00E30E74">
        <w:rPr>
          <w:sz w:val="20"/>
          <w:szCs w:val="20"/>
        </w:rPr>
        <w:t xml:space="preserve">2557 </w:t>
      </w:r>
      <w:r w:rsidR="00B5763E">
        <w:rPr>
          <w:sz w:val="20"/>
          <w:szCs w:val="20"/>
        </w:rPr>
        <w:t xml:space="preserve">wypadków </w:t>
      </w:r>
      <w:r w:rsidR="00E30E74">
        <w:rPr>
          <w:sz w:val="20"/>
          <w:szCs w:val="20"/>
        </w:rPr>
        <w:t>zdarz</w:t>
      </w:r>
      <w:r w:rsidR="00B5763E">
        <w:rPr>
          <w:sz w:val="20"/>
          <w:szCs w:val="20"/>
        </w:rPr>
        <w:t xml:space="preserve">yło się </w:t>
      </w:r>
      <w:r w:rsidR="00E30E74">
        <w:rPr>
          <w:sz w:val="20"/>
          <w:szCs w:val="20"/>
        </w:rPr>
        <w:t>w czasie deszcz</w:t>
      </w:r>
      <w:r w:rsidR="00B5763E">
        <w:rPr>
          <w:sz w:val="20"/>
          <w:szCs w:val="20"/>
        </w:rPr>
        <w:t>u</w:t>
      </w:r>
      <w:r>
        <w:rPr>
          <w:sz w:val="20"/>
          <w:szCs w:val="20"/>
        </w:rPr>
        <w:t xml:space="preserve">, a 3991 </w:t>
      </w:r>
      <w:r w:rsidR="00E30E74">
        <w:rPr>
          <w:sz w:val="20"/>
          <w:szCs w:val="20"/>
        </w:rPr>
        <w:t xml:space="preserve">– </w:t>
      </w:r>
      <w:r>
        <w:rPr>
          <w:sz w:val="20"/>
          <w:szCs w:val="20"/>
        </w:rPr>
        <w:t>gdy</w:t>
      </w:r>
      <w:r w:rsidR="00E30E74">
        <w:rPr>
          <w:sz w:val="20"/>
          <w:szCs w:val="20"/>
        </w:rPr>
        <w:t xml:space="preserve"> </w:t>
      </w:r>
      <w:r>
        <w:rPr>
          <w:sz w:val="20"/>
          <w:szCs w:val="20"/>
        </w:rPr>
        <w:t>niebo było zachmurzone</w:t>
      </w:r>
      <w:r w:rsidRPr="003B0740">
        <w:rPr>
          <w:sz w:val="20"/>
          <w:szCs w:val="20"/>
        </w:rPr>
        <w:t>.</w:t>
      </w:r>
    </w:p>
    <w:p w14:paraId="0B9AECAA" w14:textId="77777777" w:rsidR="00392688" w:rsidRDefault="00392688" w:rsidP="00CA54A9">
      <w:pPr>
        <w:ind w:left="360"/>
        <w:jc w:val="both"/>
        <w:rPr>
          <w:sz w:val="20"/>
          <w:szCs w:val="20"/>
        </w:rPr>
      </w:pPr>
    </w:p>
    <w:p w14:paraId="32847FDA" w14:textId="518FD40F" w:rsidR="00392688" w:rsidRPr="00392688" w:rsidRDefault="00392688" w:rsidP="0039268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Spadła liczba sprawców po alkoholu</w:t>
      </w:r>
    </w:p>
    <w:p w14:paraId="113A42E3" w14:textId="1ECBAA52" w:rsidR="00392688" w:rsidRDefault="00392688" w:rsidP="0039268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Pijani użytkownicy ruchu spowodowali 1729 (8,1%) wypadków drogowych w 2022 r.</w:t>
      </w:r>
      <w:r w:rsidR="0010428B">
        <w:rPr>
          <w:sz w:val="20"/>
          <w:szCs w:val="20"/>
        </w:rPr>
        <w:t xml:space="preserve">, czyli </w:t>
      </w:r>
      <w:r>
        <w:rPr>
          <w:sz w:val="20"/>
          <w:szCs w:val="20"/>
        </w:rPr>
        <w:t xml:space="preserve">o </w:t>
      </w:r>
      <w:r w:rsidR="00ED0261">
        <w:rPr>
          <w:sz w:val="20"/>
          <w:szCs w:val="20"/>
        </w:rPr>
        <w:t>ok. 12% mniej niż r</w:t>
      </w:r>
      <w:r>
        <w:rPr>
          <w:sz w:val="20"/>
          <w:szCs w:val="20"/>
        </w:rPr>
        <w:t>ok wcześniej</w:t>
      </w:r>
      <w:r w:rsidR="00B4151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D0261">
        <w:rPr>
          <w:sz w:val="20"/>
          <w:szCs w:val="20"/>
        </w:rPr>
        <w:t xml:space="preserve">Kierowcy samochodów osobowych odpowiadają za 65% tych zdarzeń. Nietrzeźwi sprawcy zabili 220 osób. Największe zagrożenie stanowią </w:t>
      </w:r>
      <w:r w:rsidR="00C31FC5">
        <w:rPr>
          <w:sz w:val="20"/>
          <w:szCs w:val="20"/>
        </w:rPr>
        <w:t xml:space="preserve">oni </w:t>
      </w:r>
      <w:r w:rsidR="00ED0261">
        <w:rPr>
          <w:sz w:val="20"/>
          <w:szCs w:val="20"/>
        </w:rPr>
        <w:t>w soboty i</w:t>
      </w:r>
      <w:r w:rsidR="00C31FC5">
        <w:rPr>
          <w:sz w:val="20"/>
          <w:szCs w:val="20"/>
        </w:rPr>
        <w:t> </w:t>
      </w:r>
      <w:r w:rsidR="00ED0261">
        <w:rPr>
          <w:sz w:val="20"/>
          <w:szCs w:val="20"/>
        </w:rPr>
        <w:t>niedziele – w te dni doszło do odpowiednio 19 i 17% wypadków po alkoholu.</w:t>
      </w:r>
    </w:p>
    <w:p w14:paraId="29C6AC39" w14:textId="77777777" w:rsidR="00392688" w:rsidRDefault="00392688" w:rsidP="00392688">
      <w:pPr>
        <w:ind w:left="360"/>
        <w:jc w:val="both"/>
        <w:rPr>
          <w:sz w:val="20"/>
          <w:szCs w:val="20"/>
        </w:rPr>
      </w:pPr>
    </w:p>
    <w:p w14:paraId="68571EF7" w14:textId="108A0643" w:rsidR="00392688" w:rsidRPr="00392688" w:rsidRDefault="008B017D" w:rsidP="00392688">
      <w:pPr>
        <w:ind w:left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Nietrzeźwy kierowca </w:t>
      </w:r>
      <w:r w:rsidR="00F7304F">
        <w:rPr>
          <w:i/>
          <w:iCs/>
          <w:sz w:val="20"/>
          <w:szCs w:val="20"/>
        </w:rPr>
        <w:t>zagraża innym uczestnikom ruchu oraz sobie, za co grożą mu wysokie kary. Nie może też liczyć na wsparcie z ubezpieczenia, jeżeli spowoduje szkodę.</w:t>
      </w:r>
      <w:r w:rsidR="00392688" w:rsidRPr="00392688">
        <w:rPr>
          <w:i/>
          <w:iCs/>
          <w:sz w:val="20"/>
          <w:szCs w:val="20"/>
        </w:rPr>
        <w:t xml:space="preserve"> </w:t>
      </w:r>
      <w:r w:rsidR="00F7304F">
        <w:rPr>
          <w:i/>
          <w:iCs/>
          <w:sz w:val="20"/>
          <w:szCs w:val="20"/>
        </w:rPr>
        <w:t>Poszkodowani</w:t>
      </w:r>
      <w:r w:rsidR="00392688" w:rsidRPr="00392688">
        <w:rPr>
          <w:i/>
          <w:iCs/>
          <w:sz w:val="20"/>
          <w:szCs w:val="20"/>
        </w:rPr>
        <w:t xml:space="preserve"> przez</w:t>
      </w:r>
      <w:r w:rsidR="00D64A80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>pijanego kierowcę otrzymają rekompensatę z jego polisy OC, ale ubezpieczyciel może zwrócić się do winnego kierowcy z tzw.</w:t>
      </w:r>
      <w:r w:rsidR="00F7304F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>regresem, czyli zażądać</w:t>
      </w:r>
      <w:r w:rsidR="00DD1859">
        <w:rPr>
          <w:i/>
          <w:iCs/>
          <w:sz w:val="20"/>
          <w:szCs w:val="20"/>
        </w:rPr>
        <w:t xml:space="preserve"> od niego</w:t>
      </w:r>
      <w:r w:rsidR="00392688" w:rsidRPr="00392688">
        <w:rPr>
          <w:i/>
          <w:iCs/>
          <w:sz w:val="20"/>
          <w:szCs w:val="20"/>
        </w:rPr>
        <w:t xml:space="preserve"> zwrotu wartości wypłaconego</w:t>
      </w:r>
      <w:r w:rsidR="00D64A80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>odszkodowania.</w:t>
      </w:r>
      <w:r w:rsidR="005D61DB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>W</w:t>
      </w:r>
      <w:r w:rsidR="005D61DB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>praktyce</w:t>
      </w:r>
      <w:r w:rsidR="000A1775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>oznacza to, że nietrzeźwi</w:t>
      </w:r>
      <w:r w:rsidR="00D64A80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>sprawcy zdarzeń drogowych muszą</w:t>
      </w:r>
      <w:r w:rsidR="000A1775">
        <w:rPr>
          <w:i/>
          <w:iCs/>
          <w:sz w:val="20"/>
          <w:szCs w:val="20"/>
        </w:rPr>
        <w:t xml:space="preserve"> </w:t>
      </w:r>
      <w:r w:rsidR="00392688" w:rsidRPr="00392688">
        <w:rPr>
          <w:i/>
          <w:iCs/>
          <w:sz w:val="20"/>
          <w:szCs w:val="20"/>
        </w:rPr>
        <w:t xml:space="preserve">sami pokrywać straty sięgające </w:t>
      </w:r>
      <w:r w:rsidR="000A1775">
        <w:rPr>
          <w:i/>
          <w:iCs/>
          <w:sz w:val="20"/>
          <w:szCs w:val="20"/>
        </w:rPr>
        <w:t>nieraz kolosalnych kwot</w:t>
      </w:r>
      <w:r w:rsidR="00392688" w:rsidRPr="00392688">
        <w:rPr>
          <w:sz w:val="20"/>
          <w:szCs w:val="20"/>
        </w:rPr>
        <w:t xml:space="preserve"> –</w:t>
      </w:r>
      <w:r w:rsidR="000A1775">
        <w:rPr>
          <w:sz w:val="20"/>
          <w:szCs w:val="20"/>
        </w:rPr>
        <w:t xml:space="preserve"> </w:t>
      </w:r>
      <w:r w:rsidR="00392688">
        <w:rPr>
          <w:sz w:val="20"/>
          <w:szCs w:val="20"/>
        </w:rPr>
        <w:t>wyjaśnia Damian Andruszkiewicz z Co</w:t>
      </w:r>
      <w:r w:rsidR="00392688" w:rsidRPr="00392688">
        <w:rPr>
          <w:sz w:val="20"/>
          <w:szCs w:val="20"/>
        </w:rPr>
        <w:t>mpensy.</w:t>
      </w:r>
    </w:p>
    <w:p w14:paraId="1D2A65D6" w14:textId="77777777" w:rsidR="00CA54A9" w:rsidRPr="00C3148C" w:rsidRDefault="00CA54A9" w:rsidP="00CA54A9">
      <w:pPr>
        <w:ind w:left="360"/>
        <w:jc w:val="both"/>
        <w:rPr>
          <w:i/>
          <w:sz w:val="20"/>
          <w:szCs w:val="20"/>
        </w:rPr>
      </w:pPr>
    </w:p>
    <w:p w14:paraId="00000024" w14:textId="2507B3FE" w:rsidR="008817A6" w:rsidRPr="00E5497C" w:rsidRDefault="00A408C9" w:rsidP="000258DE">
      <w:pPr>
        <w:jc w:val="right"/>
        <w:rPr>
          <w:sz w:val="20"/>
          <w:szCs w:val="20"/>
          <w:lang w:val="en-GB"/>
        </w:rPr>
      </w:pPr>
      <w:proofErr w:type="spellStart"/>
      <w:r w:rsidRPr="00E5497C">
        <w:rPr>
          <w:sz w:val="20"/>
          <w:szCs w:val="20"/>
          <w:lang w:val="en-GB"/>
        </w:rPr>
        <w:t>Źródło</w:t>
      </w:r>
      <w:proofErr w:type="spellEnd"/>
      <w:r w:rsidRPr="00E5497C">
        <w:rPr>
          <w:sz w:val="20"/>
          <w:szCs w:val="20"/>
          <w:lang w:val="en-GB"/>
        </w:rPr>
        <w:t>: Compensa TU S.A. Vienna Insurance Group</w:t>
      </w:r>
    </w:p>
    <w:sectPr w:rsidR="008817A6" w:rsidRPr="00E5497C" w:rsidSect="00C3148C">
      <w:footnotePr>
        <w:numFmt w:val="chicago"/>
      </w:footnotePr>
      <w:type w:val="continuous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6EBB" w14:textId="77777777" w:rsidR="00DC192C" w:rsidRDefault="00DC192C" w:rsidP="00C3148C">
      <w:pPr>
        <w:spacing w:line="240" w:lineRule="auto"/>
      </w:pPr>
      <w:r>
        <w:separator/>
      </w:r>
    </w:p>
  </w:endnote>
  <w:endnote w:type="continuationSeparator" w:id="0">
    <w:p w14:paraId="65521BD0" w14:textId="77777777" w:rsidR="00DC192C" w:rsidRDefault="00DC192C" w:rsidP="00C31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9A86" w14:textId="77777777" w:rsidR="00DC192C" w:rsidRDefault="00DC192C" w:rsidP="00C3148C">
      <w:pPr>
        <w:spacing w:line="240" w:lineRule="auto"/>
      </w:pPr>
      <w:r>
        <w:separator/>
      </w:r>
    </w:p>
  </w:footnote>
  <w:footnote w:type="continuationSeparator" w:id="0">
    <w:p w14:paraId="5B46F057" w14:textId="77777777" w:rsidR="00DC192C" w:rsidRDefault="00DC192C" w:rsidP="00C3148C">
      <w:pPr>
        <w:spacing w:line="240" w:lineRule="auto"/>
      </w:pPr>
      <w:r>
        <w:continuationSeparator/>
      </w:r>
    </w:p>
  </w:footnote>
  <w:footnote w:id="1">
    <w:p w14:paraId="22F86ED8" w14:textId="77777777" w:rsidR="00CA54A9" w:rsidRPr="000A3740" w:rsidRDefault="00CA54A9" w:rsidP="00CA54A9">
      <w:pPr>
        <w:pStyle w:val="Tekstprzypisudolnego"/>
        <w:jc w:val="both"/>
        <w:rPr>
          <w:sz w:val="18"/>
          <w:szCs w:val="18"/>
          <w:lang w:val="pl-PL"/>
        </w:rPr>
      </w:pPr>
      <w:r w:rsidRPr="000A3740">
        <w:rPr>
          <w:rStyle w:val="Odwoanieprzypisudolnego"/>
          <w:sz w:val="18"/>
          <w:szCs w:val="18"/>
        </w:rPr>
        <w:footnoteRef/>
      </w:r>
      <w:r w:rsidRPr="000A3740">
        <w:rPr>
          <w:sz w:val="18"/>
          <w:szCs w:val="18"/>
        </w:rPr>
        <w:t xml:space="preserve"> Pełna nazwa: ustawa o ubezpieczeniach obowiązkowych, Ubezpieczeniowym Funduszu Gwarancyjnym i Polskim Biurze Ubezpieczycieli Komunikacyjnych oraz ustawy o działalności ubezpieczeniowej i reasekuracyjnej.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086"/>
    <w:multiLevelType w:val="hybridMultilevel"/>
    <w:tmpl w:val="EC90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6A1E"/>
    <w:multiLevelType w:val="multilevel"/>
    <w:tmpl w:val="8B4A2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0948514">
    <w:abstractNumId w:val="1"/>
  </w:num>
  <w:num w:numId="2" w16cid:durableId="47575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A6"/>
    <w:rsid w:val="000258DE"/>
    <w:rsid w:val="00061BAC"/>
    <w:rsid w:val="000A1775"/>
    <w:rsid w:val="000A3740"/>
    <w:rsid w:val="000A7E15"/>
    <w:rsid w:val="000B34EA"/>
    <w:rsid w:val="001030D0"/>
    <w:rsid w:val="0010428B"/>
    <w:rsid w:val="00112B2E"/>
    <w:rsid w:val="00131D77"/>
    <w:rsid w:val="001377F9"/>
    <w:rsid w:val="00145AD0"/>
    <w:rsid w:val="001A3A18"/>
    <w:rsid w:val="001B1A54"/>
    <w:rsid w:val="001C78A7"/>
    <w:rsid w:val="00233577"/>
    <w:rsid w:val="00247DC3"/>
    <w:rsid w:val="00257F93"/>
    <w:rsid w:val="002A709F"/>
    <w:rsid w:val="002A73FB"/>
    <w:rsid w:val="00334A0D"/>
    <w:rsid w:val="00336925"/>
    <w:rsid w:val="00352F85"/>
    <w:rsid w:val="00392688"/>
    <w:rsid w:val="003B0740"/>
    <w:rsid w:val="003B7B68"/>
    <w:rsid w:val="003C036B"/>
    <w:rsid w:val="003C42E1"/>
    <w:rsid w:val="00411594"/>
    <w:rsid w:val="00414C3A"/>
    <w:rsid w:val="00447C3D"/>
    <w:rsid w:val="0046730F"/>
    <w:rsid w:val="004F432A"/>
    <w:rsid w:val="0052743C"/>
    <w:rsid w:val="00534287"/>
    <w:rsid w:val="0055427A"/>
    <w:rsid w:val="00560F50"/>
    <w:rsid w:val="005661E2"/>
    <w:rsid w:val="00581E33"/>
    <w:rsid w:val="005A1C70"/>
    <w:rsid w:val="005D61DB"/>
    <w:rsid w:val="00676A18"/>
    <w:rsid w:val="006F074F"/>
    <w:rsid w:val="006F0F20"/>
    <w:rsid w:val="00761023"/>
    <w:rsid w:val="0079471B"/>
    <w:rsid w:val="007B1646"/>
    <w:rsid w:val="007B4CA9"/>
    <w:rsid w:val="007C3270"/>
    <w:rsid w:val="007E5DF4"/>
    <w:rsid w:val="00835B1B"/>
    <w:rsid w:val="00862B4D"/>
    <w:rsid w:val="00865CDD"/>
    <w:rsid w:val="0087276B"/>
    <w:rsid w:val="008817A6"/>
    <w:rsid w:val="008975FE"/>
    <w:rsid w:val="008A0452"/>
    <w:rsid w:val="008B017D"/>
    <w:rsid w:val="008B5E2F"/>
    <w:rsid w:val="008C0FBE"/>
    <w:rsid w:val="008F57A2"/>
    <w:rsid w:val="00920BDD"/>
    <w:rsid w:val="00997586"/>
    <w:rsid w:val="009B29B2"/>
    <w:rsid w:val="009E224E"/>
    <w:rsid w:val="00A32E32"/>
    <w:rsid w:val="00A408C9"/>
    <w:rsid w:val="00A40AE9"/>
    <w:rsid w:val="00A65906"/>
    <w:rsid w:val="00A84712"/>
    <w:rsid w:val="00AF0F45"/>
    <w:rsid w:val="00B41517"/>
    <w:rsid w:val="00B42C12"/>
    <w:rsid w:val="00B5666B"/>
    <w:rsid w:val="00B5763E"/>
    <w:rsid w:val="00B818B6"/>
    <w:rsid w:val="00B923EC"/>
    <w:rsid w:val="00BC570E"/>
    <w:rsid w:val="00BD725D"/>
    <w:rsid w:val="00C3148C"/>
    <w:rsid w:val="00C31FC5"/>
    <w:rsid w:val="00C51D2B"/>
    <w:rsid w:val="00C71851"/>
    <w:rsid w:val="00CA54A9"/>
    <w:rsid w:val="00CF2C25"/>
    <w:rsid w:val="00D64A80"/>
    <w:rsid w:val="00D95F60"/>
    <w:rsid w:val="00DC192C"/>
    <w:rsid w:val="00DD1859"/>
    <w:rsid w:val="00DE4379"/>
    <w:rsid w:val="00E222BF"/>
    <w:rsid w:val="00E30E74"/>
    <w:rsid w:val="00E374CE"/>
    <w:rsid w:val="00E40841"/>
    <w:rsid w:val="00E52818"/>
    <w:rsid w:val="00E5497C"/>
    <w:rsid w:val="00E5538A"/>
    <w:rsid w:val="00EC5087"/>
    <w:rsid w:val="00ED0261"/>
    <w:rsid w:val="00F33DCE"/>
    <w:rsid w:val="00F60C0C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0C81"/>
  <w15:docId w15:val="{0C4A5B3F-B597-48F5-B2F2-E3336B1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6ACD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76A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4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MTOPbxu+NiAt6BOlCzPQcTNnpw==">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</go:docsCustomData>
</go:gDocsCustomXmlDataStorage>
</file>

<file path=customXml/itemProps1.xml><?xml version="1.0" encoding="utf-8"?>
<ds:datastoreItem xmlns:ds="http://schemas.openxmlformats.org/officeDocument/2006/customXml" ds:itemID="{EBA747CC-B373-4810-B085-DB7D54CD0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Kulig</dc:creator>
  <cp:lastModifiedBy>Wadowska, Aleksandra</cp:lastModifiedBy>
  <cp:revision>3</cp:revision>
  <dcterms:created xsi:type="dcterms:W3CDTF">2023-05-18T14:33:00Z</dcterms:created>
  <dcterms:modified xsi:type="dcterms:W3CDTF">2023-05-18T14:34:00Z</dcterms:modified>
</cp:coreProperties>
</file>