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383" w14:textId="22B0025B" w:rsidR="00D824D3" w:rsidRPr="00FC43CA" w:rsidRDefault="00F65CEF">
      <w:pPr>
        <w:tabs>
          <w:tab w:val="left" w:pos="905"/>
          <w:tab w:val="right" w:pos="9298"/>
        </w:tabs>
        <w:spacing w:after="0" w:line="360" w:lineRule="auto"/>
        <w:jc w:val="right"/>
        <w:rPr>
          <w:color w:val="808080"/>
          <w:sz w:val="20"/>
          <w:szCs w:val="20"/>
          <w:highlight w:val="red"/>
          <w:rFonts w:ascii="Tahoma" w:eastAsia="Tahoma" w:hAnsi="Tahoma" w:cs="Tahoma"/>
        </w:rPr>
      </w:pPr>
      <w:r>
        <w:rPr>
          <w:color w:val="808080"/>
          <w:sz w:val="20"/>
          <w:rFonts w:ascii="Tahoma" w:hAnsi="Tahoma"/>
        </w:rPr>
        <w:tab/>
      </w:r>
      <w:r>
        <w:rPr>
          <w:color w:val="808080"/>
          <w:sz w:val="20"/>
          <w:rFonts w:ascii="Tahoma" w:hAnsi="Tahoma"/>
        </w:rPr>
        <w:tab/>
      </w:r>
      <w:r>
        <w:rPr>
          <w:color w:val="808080"/>
          <w:sz w:val="20"/>
          <w:rFonts w:ascii="Tahoma" w:hAnsi="Tahoma"/>
        </w:rPr>
        <w:t xml:space="preserve">Warsaw, 19 May 2023</w:t>
      </w:r>
    </w:p>
    <w:p w14:paraId="09B71CDC" w14:textId="77D19649" w:rsidR="00D824D3" w:rsidRDefault="00B63B5B">
      <w:pPr>
        <w:spacing w:line="360" w:lineRule="auto"/>
        <w:jc w:val="center"/>
        <w:rPr>
          <w:b/>
          <w:color w:val="FFC000"/>
          <w:rFonts w:ascii="Tahoma" w:eastAsia="Tahoma" w:hAnsi="Tahoma" w:cs="Tahoma"/>
        </w:rPr>
      </w:pPr>
      <w:r>
        <w:drawing>
          <wp:anchor distT="0" distB="0" distL="114300" distR="114300" simplePos="0" relativeHeight="251658240" behindDoc="0" locked="0" layoutInCell="1" hidden="0" allowOverlap="1" wp14:anchorId="2629EEB8" wp14:editId="2D5C56E0">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0830" cy="290830"/>
                    </a:xfrm>
                    <a:prstGeom prst="rect">
                      <a:avLst/>
                    </a:prstGeom>
                    <a:ln/>
                  </pic:spPr>
                </pic:pic>
              </a:graphicData>
            </a:graphic>
          </wp:anchor>
        </w:drawing>
      </w:r>
      <w:r>
        <w:drawing>
          <wp:anchor distT="0" distB="0" distL="114300" distR="114300" simplePos="0" relativeHeight="251659264"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2890" cy="262890"/>
                    </a:xfrm>
                    <a:prstGeom prst="rect">
                      <a:avLst/>
                    </a:prstGeom>
                    <a:ln/>
                  </pic:spPr>
                </pic:pic>
              </a:graphicData>
            </a:graphic>
          </wp:anchor>
        </w:drawing>
      </w:r>
      <w:r>
        <w:drawing>
          <wp:anchor distT="0" distB="0" distL="114300" distR="114300" simplePos="0" relativeHeight="251660288"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48920" cy="248920"/>
                    </a:xfrm>
                    <a:prstGeom prst="rect">
                      <a:avLst/>
                    </a:prstGeom>
                    <a:ln/>
                  </pic:spPr>
                </pic:pic>
              </a:graphicData>
            </a:graphic>
          </wp:anchor>
        </w:drawing>
      </w:r>
    </w:p>
    <w:tbl>
      <w:tblPr>
        <w:tblStyle w:val="a8"/>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11"/>
        <w:gridCol w:w="3166"/>
      </w:tblGrid>
      <w:tr w:rsidR="00D824D3" w:rsidRPr="00775CAB" w14:paraId="18FE4A91" w14:textId="77777777" w:rsidTr="00A96B52">
        <w:tc>
          <w:tcPr>
            <w:tcW w:w="7111" w:type="dxa"/>
          </w:tcPr>
          <w:p w14:paraId="50DAD41A" w14:textId="7319EBA4" w:rsidR="00D824D3" w:rsidRPr="006C6E94" w:rsidRDefault="00FD7772">
            <w:pPr>
              <w:spacing w:line="360" w:lineRule="auto"/>
              <w:rPr>
                <w:bCs/>
                <w:color w:val="7F7F7F"/>
                <w:sz w:val="20"/>
                <w:szCs w:val="20"/>
                <w:rFonts w:ascii="Tahoma" w:eastAsia="Tahoma" w:hAnsi="Tahoma" w:cs="Tahoma"/>
              </w:rPr>
            </w:pPr>
            <w:r>
              <w:rPr>
                <w:color w:val="7F7F7F"/>
                <w:sz w:val="20"/>
                <w:rFonts w:ascii="Tahoma" w:hAnsi="Tahoma"/>
              </w:rPr>
              <w:t xml:space="preserve">#report #ESG #CSR #recommended</w:t>
            </w:r>
          </w:p>
          <w:p w14:paraId="78C40F7D" w14:textId="77777777" w:rsidR="006C6E94" w:rsidRDefault="006C6E94" w:rsidP="006C6E94">
            <w:pPr>
              <w:pBdr>
                <w:top w:val="nil"/>
                <w:left w:val="nil"/>
                <w:bottom w:val="nil"/>
                <w:right w:val="nil"/>
                <w:between w:val="nil"/>
              </w:pBdr>
              <w:spacing w:line="360" w:lineRule="auto"/>
              <w:rPr>
                <w:rFonts w:ascii="Tahoma" w:eastAsia="Tahoma" w:hAnsi="Tahoma" w:cs="Tahoma"/>
                <w:b/>
                <w:color w:val="FFC000"/>
                <w:sz w:val="24"/>
                <w:szCs w:val="24"/>
              </w:rPr>
            </w:pPr>
          </w:p>
          <w:p w14:paraId="1F08E350" w14:textId="56118264" w:rsidR="009A2A41" w:rsidRPr="006C6E94" w:rsidRDefault="00FD7772" w:rsidP="006C6E94">
            <w:pPr>
              <w:pBdr>
                <w:top w:val="nil"/>
                <w:left w:val="nil"/>
                <w:bottom w:val="nil"/>
                <w:right w:val="nil"/>
                <w:between w:val="nil"/>
              </w:pBdr>
              <w:spacing w:line="360" w:lineRule="auto"/>
              <w:rPr>
                <w:b/>
                <w:color w:val="FFC000"/>
                <w:sz w:val="24"/>
                <w:szCs w:val="24"/>
                <w:rFonts w:ascii="Tahoma" w:eastAsia="Tahoma" w:hAnsi="Tahoma" w:cs="Tahoma"/>
              </w:rPr>
            </w:pPr>
            <w:r>
              <w:rPr>
                <w:b/>
                <w:color w:val="FFC000"/>
                <w:sz w:val="24"/>
                <w:rFonts w:ascii="Tahoma" w:hAnsi="Tahoma"/>
              </w:rPr>
              <w:t xml:space="preserve">Budimex publishes the Integrated Report for the year 2022</w:t>
            </w:r>
          </w:p>
          <w:p w14:paraId="1572AF94" w14:textId="77777777" w:rsidR="0082528E" w:rsidRDefault="0082528E" w:rsidP="005B039B">
            <w:pPr>
              <w:spacing w:line="360" w:lineRule="auto"/>
              <w:jc w:val="both"/>
              <w:rPr>
                <w:rFonts w:ascii="Tahoma" w:eastAsia="Tahoma" w:hAnsi="Tahoma" w:cs="Tahoma"/>
                <w:b/>
                <w:color w:val="FFC000"/>
              </w:rPr>
            </w:pPr>
          </w:p>
          <w:p w14:paraId="17131B14" w14:textId="1D17E4E4" w:rsidR="008F03FB" w:rsidRDefault="00AD718C" w:rsidP="005B039B">
            <w:pPr>
              <w:spacing w:line="360" w:lineRule="auto"/>
              <w:jc w:val="both"/>
              <w:rPr>
                <w:b/>
                <w:color w:val="808080"/>
                <w:sz w:val="18"/>
                <w:szCs w:val="18"/>
                <w:rFonts w:ascii="Tahoma" w:eastAsia="Tahoma" w:hAnsi="Tahoma" w:cs="Tahoma"/>
              </w:rPr>
            </w:pPr>
            <w:r>
              <w:rPr>
                <w:b/>
                <w:color w:val="808080"/>
                <w:sz w:val="18"/>
                <w:rFonts w:ascii="Tahoma" w:hAnsi="Tahoma"/>
              </w:rPr>
              <w:t xml:space="preserve">Fewer accidents, substantial growth of waste re-use on construction sites, and reduction of the wage gap and disproportion between women and men in job positions – these are the conclusions drawn from a part of social indices included under ESG reporting, achieved by Budimex over past years – according to the 2022 non-financial report of the Budimex Group.</w:t>
            </w:r>
            <w:r>
              <w:rPr>
                <w:b/>
                <w:color w:val="808080"/>
                <w:sz w:val="18"/>
                <w:rFonts w:ascii="Tahoma" w:hAnsi="Tahoma"/>
              </w:rPr>
              <w:t xml:space="preserve"> </w:t>
            </w:r>
          </w:p>
          <w:p w14:paraId="21637145" w14:textId="77777777" w:rsidR="008F03FB" w:rsidRDefault="008F03FB" w:rsidP="005B039B">
            <w:pPr>
              <w:spacing w:line="360" w:lineRule="auto"/>
              <w:jc w:val="both"/>
              <w:rPr>
                <w:rFonts w:ascii="Tahoma" w:eastAsia="Tahoma" w:hAnsi="Tahoma" w:cs="Tahoma"/>
                <w:b/>
                <w:color w:val="808080"/>
                <w:sz w:val="18"/>
                <w:szCs w:val="18"/>
              </w:rPr>
            </w:pPr>
          </w:p>
          <w:p w14:paraId="428679F8" w14:textId="7EFD1524" w:rsidR="004C1457" w:rsidRPr="008F03FB" w:rsidRDefault="008F03FB" w:rsidP="005B039B">
            <w:pPr>
              <w:spacing w:line="360" w:lineRule="auto"/>
              <w:jc w:val="both"/>
              <w:rPr>
                <w:bCs/>
                <w:color w:val="808080"/>
                <w:sz w:val="18"/>
                <w:szCs w:val="18"/>
                <w:rFonts w:ascii="Tahoma" w:eastAsia="Tahoma" w:hAnsi="Tahoma" w:cs="Tahoma"/>
              </w:rPr>
            </w:pPr>
            <w:r>
              <w:rPr>
                <w:color w:val="808080"/>
                <w:sz w:val="18"/>
                <w:rFonts w:ascii="Tahoma" w:hAnsi="Tahoma"/>
              </w:rPr>
              <w:t xml:space="preserve">The next edition of the report, which includes environmental and social activities, as well as the basic principles of sustainable management, has been presented by Budimex.</w:t>
            </w:r>
            <w:r>
              <w:rPr>
                <w:color w:val="808080"/>
                <w:sz w:val="18"/>
                <w:rFonts w:ascii="Tahoma" w:hAnsi="Tahoma"/>
              </w:rPr>
              <w:t xml:space="preserve"> </w:t>
            </w:r>
            <w:r>
              <w:rPr>
                <w:color w:val="808080"/>
                <w:sz w:val="18"/>
                <w:rFonts w:ascii="Tahoma" w:hAnsi="Tahoma"/>
              </w:rPr>
              <w:t xml:space="preserve">Over 80 indices based on GRI standards mark the Group’s involvement in shaping better life conditions for the current and future generations.</w:t>
            </w:r>
          </w:p>
          <w:p w14:paraId="61886233" w14:textId="77777777" w:rsidR="00C47A3A" w:rsidRPr="00FC43CA" w:rsidRDefault="00C47A3A" w:rsidP="005B039B">
            <w:pPr>
              <w:spacing w:line="360" w:lineRule="auto"/>
              <w:jc w:val="both"/>
              <w:rPr>
                <w:rFonts w:ascii="Tahoma" w:eastAsia="Tahoma" w:hAnsi="Tahoma" w:cs="Tahoma"/>
                <w:bCs/>
                <w:color w:val="808080"/>
                <w:sz w:val="18"/>
                <w:szCs w:val="18"/>
                <w:highlight w:val="green"/>
              </w:rPr>
            </w:pPr>
          </w:p>
          <w:p w14:paraId="2C355323" w14:textId="0C8AC5A8" w:rsidR="00B83ABC" w:rsidRDefault="00B83ABC" w:rsidP="00976C6C">
            <w:pPr>
              <w:spacing w:line="360" w:lineRule="auto"/>
              <w:jc w:val="both"/>
              <w:rPr>
                <w:bCs/>
                <w:color w:val="808080"/>
                <w:sz w:val="18"/>
                <w:szCs w:val="18"/>
                <w:rFonts w:ascii="Tahoma" w:eastAsia="Tahoma" w:hAnsi="Tahoma" w:cs="Tahoma"/>
              </w:rPr>
            </w:pPr>
            <w:r>
              <w:rPr>
                <w:color w:val="808080"/>
                <w:sz w:val="18"/>
                <w:rFonts w:ascii="Tahoma" w:hAnsi="Tahoma"/>
              </w:rPr>
              <w:t xml:space="preserve">Financial and non-financial aspects of the Group’s functioning were presented in the “Dla Ludzi. Dla lepszego życia” [For People. For better life] report, along with its approach to environmental matters, social environment, Employees, Clients, and Partners.</w:t>
            </w:r>
            <w:r>
              <w:rPr>
                <w:color w:val="808080"/>
                <w:sz w:val="18"/>
                <w:rFonts w:ascii="Tahoma" w:hAnsi="Tahoma"/>
              </w:rPr>
              <w:t xml:space="preserve"> </w:t>
            </w:r>
          </w:p>
          <w:p w14:paraId="6B21C44E" w14:textId="77777777" w:rsidR="00B83ABC" w:rsidRDefault="00B83ABC" w:rsidP="00976C6C">
            <w:pPr>
              <w:spacing w:line="360" w:lineRule="auto"/>
              <w:jc w:val="both"/>
              <w:rPr>
                <w:rFonts w:ascii="Tahoma" w:eastAsia="Tahoma" w:hAnsi="Tahoma" w:cs="Tahoma"/>
                <w:bCs/>
                <w:color w:val="808080"/>
                <w:sz w:val="18"/>
                <w:szCs w:val="18"/>
              </w:rPr>
            </w:pPr>
          </w:p>
          <w:p w14:paraId="64DE1A22" w14:textId="42CD721B" w:rsidR="00C745D0" w:rsidRPr="007A64CD" w:rsidRDefault="00B83ABC" w:rsidP="00976C6C">
            <w:pPr>
              <w:spacing w:line="360" w:lineRule="auto"/>
              <w:jc w:val="both"/>
              <w:rPr>
                <w:bCs/>
                <w:i/>
                <w:iCs/>
                <w:color w:val="808080"/>
                <w:sz w:val="18"/>
                <w:szCs w:val="18"/>
                <w:rFonts w:ascii="Tahoma" w:eastAsia="Tahoma" w:hAnsi="Tahoma" w:cs="Tahoma"/>
              </w:rPr>
            </w:pPr>
            <w:r>
              <w:rPr>
                <w:color w:val="808080"/>
                <w:sz w:val="18"/>
                <w:rFonts w:ascii="Tahoma" w:hAnsi="Tahoma"/>
              </w:rPr>
              <w:t xml:space="preserve">- </w:t>
            </w:r>
            <w:r>
              <w:rPr>
                <w:color w:val="808080"/>
                <w:sz w:val="18"/>
                <w:i/>
                <w:rFonts w:ascii="Tahoma" w:hAnsi="Tahoma"/>
              </w:rPr>
              <w:t xml:space="preserve">People are always at the heart of our business.</w:t>
            </w:r>
            <w:r>
              <w:rPr>
                <w:color w:val="808080"/>
                <w:sz w:val="18"/>
                <w:i/>
                <w:rFonts w:ascii="Tahoma" w:hAnsi="Tahoma"/>
              </w:rPr>
              <w:t xml:space="preserve"> </w:t>
            </w:r>
            <w:r>
              <w:rPr>
                <w:color w:val="808080"/>
                <w:sz w:val="18"/>
                <w:i/>
                <w:rFonts w:ascii="Tahoma" w:hAnsi="Tahoma"/>
              </w:rPr>
              <w:t xml:space="preserve">It is with people and for people that we implement investments and projects entrusted to us – ones that support mobility, improve access to education and culture establishments, and impact safety and energy transition in Poland.</w:t>
            </w:r>
            <w:r>
              <w:rPr>
                <w:color w:val="808080"/>
                <w:sz w:val="18"/>
                <w:i/>
                <w:rFonts w:ascii="Tahoma" w:hAnsi="Tahoma"/>
              </w:rPr>
              <w:t xml:space="preserve"> </w:t>
            </w:r>
            <w:r>
              <w:rPr>
                <w:color w:val="808080"/>
                <w:sz w:val="18"/>
                <w:i/>
                <w:rFonts w:ascii="Tahoma" w:hAnsi="Tahoma"/>
              </w:rPr>
              <w:t xml:space="preserve">The feeling of responsibility and awareness of the impact we have are our motivation to present our activities in a detailed and transparent way, continuously expanding the scope of this analysis </w:t>
            </w:r>
            <w:r>
              <w:rPr>
                <w:color w:val="808080"/>
                <w:sz w:val="18"/>
                <w:rFonts w:ascii="Tahoma" w:hAnsi="Tahoma"/>
              </w:rPr>
              <w:t xml:space="preserve">– </w:t>
            </w:r>
            <w:r>
              <w:rPr>
                <w:color w:val="808080"/>
                <w:sz w:val="18"/>
                <w:b/>
                <w:rFonts w:ascii="Tahoma" w:hAnsi="Tahoma"/>
              </w:rPr>
              <w:t xml:space="preserve">said the Director of the Management Board of Budimex SA, Artur Popko.</w:t>
            </w:r>
          </w:p>
          <w:p w14:paraId="2CA37744" w14:textId="77777777" w:rsidR="00C745D0" w:rsidRDefault="00C745D0" w:rsidP="00976C6C">
            <w:pPr>
              <w:spacing w:line="360" w:lineRule="auto"/>
              <w:jc w:val="both"/>
              <w:rPr>
                <w:rFonts w:ascii="Tahoma" w:eastAsia="Tahoma" w:hAnsi="Tahoma" w:cs="Tahoma"/>
                <w:bCs/>
                <w:i/>
                <w:iCs/>
                <w:color w:val="808080"/>
                <w:sz w:val="18"/>
                <w:szCs w:val="18"/>
              </w:rPr>
            </w:pPr>
          </w:p>
          <w:p w14:paraId="2CDE30B5" w14:textId="3B3AA6B4" w:rsidR="008D7459" w:rsidRPr="000E47D5" w:rsidRDefault="008D7459" w:rsidP="000E47D5">
            <w:pPr>
              <w:spacing w:line="360" w:lineRule="auto"/>
              <w:jc w:val="both"/>
              <w:rPr>
                <w:bCs/>
                <w:color w:val="808080"/>
                <w:sz w:val="18"/>
                <w:szCs w:val="18"/>
                <w:rFonts w:ascii="Tahoma" w:eastAsia="Tahoma" w:hAnsi="Tahoma" w:cs="Tahoma"/>
              </w:rPr>
            </w:pPr>
            <w:r>
              <w:rPr>
                <w:color w:val="808080"/>
                <w:sz w:val="18"/>
                <w:rFonts w:ascii="Tahoma" w:hAnsi="Tahoma"/>
              </w:rPr>
              <w:t xml:space="preserve">This year’s report includes three main areas outside of the scope of our objectives: </w:t>
            </w:r>
            <w:r>
              <w:rPr>
                <w:color w:val="808080"/>
                <w:sz w:val="18"/>
                <w:b/>
                <w:rFonts w:ascii="Tahoma" w:hAnsi="Tahoma"/>
              </w:rPr>
              <w:t xml:space="preserve">climate changes and natural environment, employees’ matters</w:t>
            </w:r>
            <w:r>
              <w:rPr>
                <w:color w:val="808080"/>
                <w:sz w:val="18"/>
                <w:rFonts w:ascii="Tahoma" w:hAnsi="Tahoma"/>
              </w:rPr>
              <w:t xml:space="preserve">, and </w:t>
            </w:r>
            <w:r>
              <w:rPr>
                <w:color w:val="808080"/>
                <w:sz w:val="18"/>
                <w:b/>
                <w:rFonts w:ascii="Tahoma" w:hAnsi="Tahoma"/>
              </w:rPr>
              <w:t xml:space="preserve">social matters</w:t>
            </w:r>
            <w:r>
              <w:rPr>
                <w:color w:val="808080"/>
                <w:sz w:val="18"/>
                <w:rFonts w:ascii="Tahoma" w:hAnsi="Tahoma"/>
              </w:rPr>
              <w:t xml:space="preserve">.</w:t>
            </w:r>
            <w:r>
              <w:rPr>
                <w:color w:val="808080"/>
                <w:sz w:val="18"/>
                <w:rFonts w:ascii="Tahoma" w:hAnsi="Tahoma"/>
              </w:rPr>
              <w:t xml:space="preserve"> </w:t>
            </w:r>
            <w:r>
              <w:rPr>
                <w:color w:val="808080"/>
                <w:sz w:val="18"/>
                <w:rFonts w:ascii="Tahoma" w:hAnsi="Tahoma"/>
              </w:rPr>
              <w:t xml:space="preserve">The report was also a chance to summarize the implementation of goals included in the </w:t>
            </w:r>
            <w:r>
              <w:rPr>
                <w:color w:val="808080"/>
                <w:sz w:val="18"/>
                <w:b/>
                <w:rFonts w:ascii="Tahoma" w:hAnsi="Tahoma"/>
              </w:rPr>
              <w:t xml:space="preserve">CSR Strategy of the Budimex Group for 2021-2023</w:t>
            </w:r>
            <w:r>
              <w:rPr>
                <w:color w:val="808080"/>
                <w:sz w:val="18"/>
                <w:rFonts w:ascii="Tahoma" w:hAnsi="Tahoma"/>
              </w:rPr>
              <w:t xml:space="preserve"> and the goals of Agenda 2030.</w:t>
            </w:r>
            <w:r>
              <w:rPr>
                <w:color w:val="808080"/>
                <w:sz w:val="18"/>
                <w:rFonts w:ascii="Tahoma" w:hAnsi="Tahoma"/>
              </w:rPr>
              <w:t xml:space="preserve"> </w:t>
            </w:r>
            <w:r>
              <w:rPr>
                <w:color w:val="808080"/>
                <w:sz w:val="18"/>
                <w:rFonts w:ascii="Tahoma" w:hAnsi="Tahoma"/>
              </w:rPr>
              <w:t xml:space="preserve">In the last year, the Company joined the </w:t>
            </w:r>
            <w:r>
              <w:rPr>
                <w:color w:val="808080"/>
                <w:sz w:val="18"/>
                <w:b/>
                <w:rFonts w:ascii="Tahoma" w:hAnsi="Tahoma"/>
              </w:rPr>
              <w:t xml:space="preserve">Partnership for Sustainable Development Goals</w:t>
            </w:r>
            <w:r>
              <w:rPr>
                <w:color w:val="808080"/>
                <w:sz w:val="18"/>
                <w:rFonts w:ascii="Tahoma" w:hAnsi="Tahoma"/>
              </w:rPr>
              <w:t xml:space="preserve">, undertaking to achieve 9 goals for global development.</w:t>
            </w:r>
          </w:p>
          <w:p w14:paraId="1AB3BF86" w14:textId="77777777" w:rsidR="00813D55" w:rsidRDefault="00813D55" w:rsidP="00813D55">
            <w:pPr>
              <w:spacing w:line="360" w:lineRule="auto"/>
              <w:jc w:val="both"/>
              <w:rPr>
                <w:rFonts w:ascii="Tahoma" w:eastAsia="Tahoma" w:hAnsi="Tahoma" w:cs="Tahoma"/>
                <w:bCs/>
                <w:color w:val="808080"/>
                <w:sz w:val="18"/>
                <w:szCs w:val="18"/>
              </w:rPr>
            </w:pPr>
          </w:p>
          <w:p w14:paraId="659DF1DF" w14:textId="0439CC96" w:rsidR="00813D55" w:rsidRPr="00E8456B" w:rsidRDefault="00813D55" w:rsidP="00976C6C">
            <w:pPr>
              <w:spacing w:line="360" w:lineRule="auto"/>
              <w:jc w:val="both"/>
              <w:rPr>
                <w:bCs/>
                <w:i/>
                <w:iCs/>
                <w:color w:val="808080"/>
                <w:sz w:val="18"/>
                <w:szCs w:val="18"/>
                <w:rFonts w:ascii="Tahoma" w:eastAsia="Tahoma" w:hAnsi="Tahoma" w:cs="Tahoma"/>
              </w:rPr>
            </w:pPr>
            <w:r>
              <w:rPr>
                <w:color w:val="808080"/>
                <w:sz w:val="18"/>
                <w:rFonts w:ascii="Tahoma" w:hAnsi="Tahoma"/>
              </w:rPr>
              <w:t xml:space="preserve">– </w:t>
            </w:r>
            <w:r>
              <w:rPr>
                <w:color w:val="808080"/>
                <w:sz w:val="18"/>
                <w:i/>
                <w:rFonts w:ascii="Tahoma" w:hAnsi="Tahoma"/>
              </w:rPr>
              <w:t xml:space="preserve">In 2022 we maintained the expected level of goal implementation in the scope indicated in the CSR Strategy.</w:t>
            </w:r>
            <w:r>
              <w:rPr>
                <w:color w:val="808080"/>
                <w:sz w:val="18"/>
                <w:i/>
                <w:rFonts w:ascii="Tahoma" w:hAnsi="Tahoma"/>
              </w:rPr>
              <w:t xml:space="preserve"> </w:t>
            </w:r>
            <w:r>
              <w:rPr>
                <w:color w:val="808080"/>
                <w:sz w:val="18"/>
                <w:i/>
                <w:rFonts w:ascii="Tahoma" w:hAnsi="Tahoma"/>
              </w:rPr>
              <w:t xml:space="preserve">We have started implementation or introduced specific actions to improve standards or increase our involvement in each of these areas – especially in the area of due diligence, ethics, and OHS – </w:t>
            </w:r>
            <w:r>
              <w:rPr>
                <w:color w:val="808080"/>
                <w:sz w:val="18"/>
                <w:b/>
                <w:rFonts w:ascii="Tahoma" w:hAnsi="Tahoma"/>
              </w:rPr>
              <w:t xml:space="preserve">emphasized the Director of the Management Board of Budimex SA, Artur Popko.</w:t>
            </w:r>
            <w:r>
              <w:rPr>
                <w:color w:val="808080"/>
                <w:sz w:val="18"/>
                <w:i/>
                <w:rFonts w:ascii="Tahoma" w:hAnsi="Tahoma"/>
              </w:rPr>
              <w:t xml:space="preserve"> </w:t>
            </w:r>
            <w:r>
              <w:rPr>
                <w:color w:val="808080"/>
                <w:sz w:val="18"/>
                <w:i/>
                <w:rFonts w:ascii="Tahoma" w:hAnsi="Tahoma"/>
              </w:rPr>
              <w:t xml:space="preserve">– In Budimex, social impact and concern for ecology are equal to employee’s interests and responsible business management.</w:t>
            </w:r>
            <w:r>
              <w:rPr>
                <w:color w:val="808080"/>
                <w:sz w:val="18"/>
                <w:i/>
                <w:rFonts w:ascii="Tahoma" w:hAnsi="Tahoma"/>
              </w:rPr>
              <w:t xml:space="preserve"> </w:t>
            </w:r>
            <w:r>
              <w:rPr>
                <w:color w:val="808080"/>
                <w:sz w:val="18"/>
                <w:i/>
                <w:rFonts w:ascii="Tahoma" w:hAnsi="Tahoma"/>
              </w:rPr>
              <w:t xml:space="preserve">This is one of the reasons for starting the training project last year that is concerning the significance of Compliance in the functioning of our Group.</w:t>
            </w:r>
            <w:r>
              <w:rPr>
                <w:color w:val="808080"/>
                <w:sz w:val="18"/>
                <w:i/>
                <w:rFonts w:ascii="Tahoma" w:hAnsi="Tahoma"/>
              </w:rPr>
              <w:t xml:space="preserve"> </w:t>
            </w:r>
            <w:r>
              <w:rPr>
                <w:color w:val="808080"/>
                <w:sz w:val="18"/>
                <w:i/>
                <w:rFonts w:ascii="Tahoma" w:hAnsi="Tahoma"/>
              </w:rPr>
              <w:t xml:space="preserve">A broader view on CSR also foreshadows the 2023-2026 ESG Strategy developed by us – aimed to grow and expand areas of social commitment of Budimex </w:t>
            </w:r>
            <w:r>
              <w:rPr>
                <w:color w:val="808080"/>
                <w:sz w:val="18"/>
                <w:rFonts w:ascii="Tahoma" w:hAnsi="Tahoma"/>
              </w:rPr>
              <w:t xml:space="preserve">– </w:t>
            </w:r>
            <w:r>
              <w:rPr>
                <w:color w:val="808080"/>
                <w:sz w:val="18"/>
                <w:b/>
                <w:rFonts w:ascii="Tahoma" w:hAnsi="Tahoma"/>
              </w:rPr>
              <w:t xml:space="preserve">added the CEO, Artur Popko.</w:t>
            </w:r>
          </w:p>
          <w:p w14:paraId="0325AC64" w14:textId="77777777" w:rsidR="006750BF" w:rsidRDefault="006750BF" w:rsidP="00976C6C">
            <w:pPr>
              <w:spacing w:line="360" w:lineRule="auto"/>
              <w:jc w:val="both"/>
              <w:rPr>
                <w:rFonts w:ascii="Tahoma" w:eastAsia="Tahoma" w:hAnsi="Tahoma" w:cs="Tahoma"/>
                <w:b/>
                <w:color w:val="808080"/>
                <w:sz w:val="18"/>
                <w:szCs w:val="18"/>
              </w:rPr>
            </w:pPr>
          </w:p>
          <w:p w14:paraId="5A9C9163" w14:textId="5753213D" w:rsidR="008D7459" w:rsidRDefault="006750BF" w:rsidP="00976C6C">
            <w:pPr>
              <w:spacing w:line="360" w:lineRule="auto"/>
              <w:jc w:val="both"/>
              <w:rPr>
                <w:b/>
                <w:color w:val="808080"/>
                <w:sz w:val="18"/>
                <w:szCs w:val="18"/>
                <w:rFonts w:ascii="Tahoma" w:eastAsia="Tahoma" w:hAnsi="Tahoma" w:cs="Tahoma"/>
              </w:rPr>
            </w:pPr>
            <w:r>
              <w:rPr>
                <w:b/>
                <w:color w:val="808080"/>
                <w:sz w:val="18"/>
                <w:rFonts w:ascii="Tahoma" w:hAnsi="Tahoma"/>
              </w:rPr>
              <w:t xml:space="preserve">Climate changes and natural environment</w:t>
            </w:r>
          </w:p>
          <w:p w14:paraId="4562CC09" w14:textId="77777777" w:rsidR="006750BF" w:rsidRDefault="006750BF" w:rsidP="00976C6C">
            <w:pPr>
              <w:spacing w:line="360" w:lineRule="auto"/>
              <w:jc w:val="both"/>
              <w:rPr>
                <w:rFonts w:ascii="Tahoma" w:eastAsia="Tahoma" w:hAnsi="Tahoma" w:cs="Tahoma"/>
                <w:b/>
                <w:color w:val="808080"/>
                <w:sz w:val="18"/>
                <w:szCs w:val="18"/>
              </w:rPr>
            </w:pPr>
          </w:p>
          <w:p w14:paraId="1CFA182D" w14:textId="2EC792CC" w:rsidR="00395C6C" w:rsidRDefault="00744CE7" w:rsidP="00976C6C">
            <w:pPr>
              <w:spacing w:line="360" w:lineRule="auto"/>
              <w:jc w:val="both"/>
              <w:rPr>
                <w:bCs/>
                <w:color w:val="808080"/>
                <w:sz w:val="18"/>
                <w:szCs w:val="18"/>
                <w:rFonts w:ascii="Tahoma" w:eastAsia="Tahoma" w:hAnsi="Tahoma" w:cs="Tahoma"/>
              </w:rPr>
            </w:pPr>
            <w:r>
              <w:rPr>
                <w:color w:val="808080"/>
                <w:sz w:val="18"/>
                <w:rFonts w:ascii="Tahoma" w:hAnsi="Tahoma"/>
              </w:rPr>
              <w:t xml:space="preserve">In 2022 Budimex Group expanded its ecological activities by actively participating in the process of the national energy transition.</w:t>
            </w:r>
            <w:r>
              <w:rPr>
                <w:color w:val="808080"/>
                <w:sz w:val="18"/>
                <w:rFonts w:ascii="Tahoma" w:hAnsi="Tahoma"/>
              </w:rPr>
              <w:t xml:space="preserve"> </w:t>
            </w:r>
            <w:r>
              <w:rPr>
                <w:color w:val="808080"/>
                <w:sz w:val="18"/>
                <w:rFonts w:ascii="Tahoma" w:hAnsi="Tahoma"/>
              </w:rPr>
              <w:t xml:space="preserve">Its portfolio included, among others, Magnolia Energy, responsible for the construction project of a wind farm.</w:t>
            </w:r>
            <w:r>
              <w:rPr>
                <w:color w:val="808080"/>
                <w:sz w:val="18"/>
                <w:rFonts w:ascii="Tahoma" w:hAnsi="Tahoma"/>
              </w:rPr>
              <w:t xml:space="preserve"> </w:t>
            </w:r>
            <w:r>
              <w:rPr>
                <w:color w:val="808080"/>
                <w:sz w:val="18"/>
                <w:rFonts w:ascii="Tahoma" w:hAnsi="Tahoma"/>
              </w:rPr>
              <w:t xml:space="preserve">Overall, the company invested </w:t>
            </w:r>
            <w:r>
              <w:rPr>
                <w:color w:val="808080"/>
                <w:sz w:val="18"/>
                <w:b/>
                <w:rFonts w:ascii="Tahoma" w:hAnsi="Tahoma"/>
              </w:rPr>
              <w:t xml:space="preserve">PLN 32.3 million</w:t>
            </w:r>
            <w:r>
              <w:rPr>
                <w:color w:val="808080"/>
                <w:sz w:val="18"/>
                <w:rFonts w:ascii="Tahoma" w:hAnsi="Tahoma"/>
              </w:rPr>
              <w:t xml:space="preserve"> in this RES segment last year.</w:t>
            </w:r>
            <w:r>
              <w:rPr>
                <w:color w:val="808080"/>
                <w:sz w:val="18"/>
                <w:rFonts w:ascii="Tahoma" w:hAnsi="Tahoma"/>
              </w:rPr>
              <w:t xml:space="preserve"> </w:t>
            </w:r>
            <w:r>
              <w:rPr>
                <w:color w:val="808080"/>
                <w:sz w:val="18"/>
                <w:rFonts w:ascii="Tahoma" w:hAnsi="Tahoma"/>
              </w:rPr>
              <w:t xml:space="preserve">Implemented solutions in the scope of efficient energy use and the current policy of rationalisation of energy consumption have been a factor in the</w:t>
            </w:r>
            <w:r>
              <w:rPr>
                <w:color w:val="808080"/>
                <w:sz w:val="18"/>
                <w:b/>
                <w:rFonts w:ascii="Tahoma" w:hAnsi="Tahoma"/>
              </w:rPr>
              <w:t xml:space="preserve"> decrease in fuel use in Group’s buildings and installations by 16.1 percent, compared to the previous year.</w:t>
            </w:r>
            <w:r>
              <w:rPr>
                <w:color w:val="808080"/>
                <w:sz w:val="18"/>
                <w:rFonts w:ascii="Tahoma" w:hAnsi="Tahoma"/>
              </w:rPr>
              <w:t xml:space="preserve"> </w:t>
            </w:r>
          </w:p>
          <w:p w14:paraId="5F29118D" w14:textId="77777777" w:rsidR="00DB59A3" w:rsidRDefault="00DB59A3" w:rsidP="00976C6C">
            <w:pPr>
              <w:spacing w:line="360" w:lineRule="auto"/>
              <w:jc w:val="both"/>
              <w:rPr>
                <w:rFonts w:ascii="Tahoma" w:eastAsia="Tahoma" w:hAnsi="Tahoma" w:cs="Tahoma"/>
                <w:bCs/>
                <w:color w:val="808080"/>
                <w:sz w:val="18"/>
                <w:szCs w:val="18"/>
              </w:rPr>
            </w:pPr>
          </w:p>
          <w:p w14:paraId="14866535" w14:textId="06E1A3FC" w:rsidR="00DB59A3" w:rsidRDefault="00395C6C" w:rsidP="007044C2">
            <w:pPr>
              <w:spacing w:line="360" w:lineRule="auto"/>
              <w:jc w:val="both"/>
              <w:rPr>
                <w:bCs/>
                <w:color w:val="808080"/>
                <w:sz w:val="18"/>
                <w:szCs w:val="18"/>
                <w:rFonts w:ascii="Tahoma" w:eastAsia="Tahoma" w:hAnsi="Tahoma" w:cs="Tahoma"/>
              </w:rPr>
            </w:pPr>
            <w:r>
              <w:rPr>
                <w:color w:val="808080"/>
                <w:sz w:val="18"/>
                <w:i/>
                <w:rFonts w:ascii="Tahoma" w:hAnsi="Tahoma"/>
              </w:rPr>
              <w:t xml:space="preserve">– Acting for the development of zero-emission economy and transport, for the neutralization of environmental impact of the construction industry and for the clean air is one of the main and long-term goals of the Group.</w:t>
            </w:r>
            <w:r>
              <w:rPr>
                <w:color w:val="808080"/>
                <w:sz w:val="18"/>
                <w:i/>
                <w:rFonts w:ascii="Tahoma" w:hAnsi="Tahoma"/>
              </w:rPr>
              <w:t xml:space="preserve"> </w:t>
            </w:r>
            <w:r>
              <w:rPr>
                <w:color w:val="808080"/>
                <w:sz w:val="18"/>
                <w:i/>
                <w:rFonts w:ascii="Tahoma" w:hAnsi="Tahoma"/>
              </w:rPr>
              <w:t xml:space="preserve">In the last year, we almost doubled (215 percent y/y) the percentage of RES energy we produce.</w:t>
            </w:r>
            <w:r>
              <w:rPr>
                <w:color w:val="808080"/>
                <w:sz w:val="18"/>
                <w:i/>
                <w:rFonts w:ascii="Tahoma" w:hAnsi="Tahoma"/>
              </w:rPr>
              <w:t xml:space="preserve"> </w:t>
            </w:r>
            <w:r>
              <w:rPr>
                <w:color w:val="808080"/>
                <w:sz w:val="18"/>
                <w:i/>
                <w:rFonts w:ascii="Tahoma" w:hAnsi="Tahoma"/>
              </w:rPr>
              <w:t xml:space="preserve">At the same time, we pay close attention to the processing and reusing of construction materials and waste.</w:t>
            </w:r>
            <w:r>
              <w:rPr>
                <w:color w:val="808080"/>
                <w:sz w:val="18"/>
                <w:i/>
                <w:rFonts w:ascii="Tahoma" w:hAnsi="Tahoma"/>
              </w:rPr>
              <w:t xml:space="preserve"> </w:t>
            </w:r>
            <w:r>
              <w:rPr>
                <w:color w:val="808080"/>
                <w:sz w:val="18"/>
                <w:i/>
                <w:rFonts w:ascii="Tahoma" w:hAnsi="Tahoma"/>
              </w:rPr>
              <w:t xml:space="preserve">We have an ambitious goal of introducing principles of circular economy in Budimex –</w:t>
            </w:r>
            <w:r>
              <w:rPr>
                <w:color w:val="808080"/>
                <w:sz w:val="18"/>
                <w:rFonts w:ascii="Tahoma" w:hAnsi="Tahoma"/>
              </w:rPr>
              <w:t xml:space="preserve"> </w:t>
            </w:r>
            <w:r>
              <w:rPr>
                <w:color w:val="808080"/>
                <w:sz w:val="18"/>
                <w:b/>
                <w:rFonts w:ascii="Tahoma" w:hAnsi="Tahoma"/>
              </w:rPr>
              <w:t xml:space="preserve">said the CEO, Artur Popko.</w:t>
            </w:r>
          </w:p>
          <w:p w14:paraId="6E8B2B5D" w14:textId="77777777" w:rsidR="00FF3032" w:rsidRPr="00FF3032" w:rsidRDefault="00FF3032" w:rsidP="007044C2">
            <w:pPr>
              <w:spacing w:line="360" w:lineRule="auto"/>
              <w:jc w:val="both"/>
              <w:rPr>
                <w:rFonts w:ascii="Tahoma" w:eastAsia="Tahoma" w:hAnsi="Tahoma" w:cs="Tahoma"/>
                <w:bCs/>
                <w:color w:val="808080"/>
                <w:sz w:val="18"/>
                <w:szCs w:val="18"/>
              </w:rPr>
            </w:pPr>
          </w:p>
          <w:p w14:paraId="01849DC8" w14:textId="6E2E37F9" w:rsidR="007044C2" w:rsidRDefault="00FF3032" w:rsidP="007044C2">
            <w:pPr>
              <w:spacing w:line="360" w:lineRule="auto"/>
              <w:jc w:val="both"/>
              <w:rPr>
                <w:bCs/>
                <w:color w:val="808080"/>
                <w:sz w:val="18"/>
                <w:szCs w:val="18"/>
                <w:rFonts w:ascii="Tahoma" w:eastAsia="Tahoma" w:hAnsi="Tahoma" w:cs="Tahoma"/>
              </w:rPr>
            </w:pPr>
            <w:r>
              <w:rPr>
                <w:color w:val="808080"/>
                <w:sz w:val="18"/>
                <w:rFonts w:ascii="Tahoma" w:hAnsi="Tahoma"/>
              </w:rPr>
              <w:t xml:space="preserve">In 2022 Budimex SA recirculated </w:t>
            </w:r>
            <w:r>
              <w:rPr>
                <w:color w:val="808080"/>
                <w:sz w:val="18"/>
                <w:b/>
                <w:rFonts w:ascii="Tahoma" w:hAnsi="Tahoma"/>
              </w:rPr>
              <w:t xml:space="preserve">45.3 percent of used waste other than hazardous waste</w:t>
            </w:r>
            <w:r>
              <w:rPr>
                <w:color w:val="808080"/>
                <w:sz w:val="18"/>
                <w:rFonts w:ascii="Tahoma" w:hAnsi="Tahoma"/>
              </w:rPr>
              <w:t xml:space="preserve">.</w:t>
            </w:r>
            <w:r>
              <w:rPr>
                <w:color w:val="808080"/>
                <w:sz w:val="18"/>
                <w:rFonts w:ascii="Tahoma" w:hAnsi="Tahoma"/>
              </w:rPr>
              <w:t xml:space="preserve"> </w:t>
            </w:r>
            <w:r>
              <w:rPr>
                <w:color w:val="808080"/>
                <w:sz w:val="18"/>
                <w:rFonts w:ascii="Tahoma" w:hAnsi="Tahoma"/>
              </w:rPr>
              <w:t xml:space="preserve">In addition, 28.3 percent was handed over for recycling outside of the Company.</w:t>
            </w:r>
            <w:r>
              <w:rPr>
                <w:color w:val="808080"/>
                <w:sz w:val="18"/>
                <w:rFonts w:ascii="Tahoma" w:hAnsi="Tahoma"/>
              </w:rPr>
              <w:t xml:space="preserve"> </w:t>
            </w:r>
          </w:p>
          <w:p w14:paraId="3CC344B8" w14:textId="77777777" w:rsidR="00744CE7" w:rsidRDefault="00744CE7" w:rsidP="00976C6C">
            <w:pPr>
              <w:spacing w:line="360" w:lineRule="auto"/>
              <w:jc w:val="both"/>
              <w:rPr>
                <w:rFonts w:ascii="Tahoma" w:eastAsia="Tahoma" w:hAnsi="Tahoma" w:cs="Tahoma"/>
                <w:bCs/>
                <w:color w:val="808080"/>
                <w:sz w:val="18"/>
                <w:szCs w:val="18"/>
              </w:rPr>
            </w:pPr>
          </w:p>
          <w:p w14:paraId="6E86DB7C" w14:textId="77777777" w:rsidR="006F3828" w:rsidRDefault="000700C2" w:rsidP="006F3828">
            <w:pPr>
              <w:spacing w:line="360" w:lineRule="auto"/>
              <w:jc w:val="both"/>
              <w:rPr>
                <w:b/>
                <w:color w:val="808080"/>
                <w:sz w:val="18"/>
                <w:szCs w:val="18"/>
                <w:rFonts w:ascii="Tahoma" w:eastAsia="Tahoma" w:hAnsi="Tahoma" w:cs="Tahoma"/>
              </w:rPr>
            </w:pPr>
            <w:r>
              <w:rPr>
                <w:b/>
                <w:color w:val="808080"/>
                <w:sz w:val="18"/>
                <w:rFonts w:ascii="Tahoma" w:hAnsi="Tahoma"/>
              </w:rPr>
              <w:t xml:space="preserve">Employees’ matters</w:t>
            </w:r>
          </w:p>
          <w:p w14:paraId="342B7771" w14:textId="4E21054E" w:rsidR="00FF3032" w:rsidRDefault="00FF3032" w:rsidP="006F3828">
            <w:pPr>
              <w:spacing w:line="360" w:lineRule="auto"/>
              <w:jc w:val="both"/>
              <w:rPr>
                <w:b/>
                <w:color w:val="808080"/>
                <w:sz w:val="18"/>
                <w:szCs w:val="18"/>
                <w:rFonts w:ascii="Tahoma" w:eastAsia="Tahoma" w:hAnsi="Tahoma" w:cs="Tahoma"/>
              </w:rPr>
            </w:pPr>
            <w:r>
              <w:rPr>
                <w:color w:val="808080"/>
                <w:sz w:val="18"/>
                <w:b/>
                <w:rFonts w:ascii="Tahoma" w:hAnsi="Tahoma"/>
              </w:rPr>
              <w:br/>
            </w:r>
            <w:r>
              <w:rPr>
                <w:color w:val="808080"/>
                <w:sz w:val="18"/>
                <w:rFonts w:ascii="Tahoma" w:hAnsi="Tahoma"/>
              </w:rPr>
              <w:t xml:space="preserve">As a construction company, Budimex aims at maintenance and continuous improvement of OHS standards.</w:t>
            </w:r>
            <w:r>
              <w:rPr>
                <w:color w:val="808080"/>
                <w:sz w:val="18"/>
                <w:rFonts w:ascii="Tahoma" w:hAnsi="Tahoma"/>
              </w:rPr>
              <w:t xml:space="preserve"> </w:t>
            </w:r>
            <w:r>
              <w:rPr>
                <w:color w:val="808080"/>
                <w:sz w:val="18"/>
                <w:rFonts w:ascii="Tahoma" w:hAnsi="Tahoma"/>
              </w:rPr>
              <w:t xml:space="preserve">In the last year, the company recorded a </w:t>
            </w:r>
            <w:r>
              <w:rPr>
                <w:color w:val="808080"/>
                <w:sz w:val="18"/>
                <w:b/>
                <w:rFonts w:ascii="Tahoma" w:hAnsi="Tahoma"/>
              </w:rPr>
              <w:t xml:space="preserve">decrease in accident severity rate, from 0.32 in 2021 to 0.17</w:t>
            </w:r>
            <w:r>
              <w:rPr>
                <w:color w:val="808080"/>
                <w:sz w:val="18"/>
                <w:rFonts w:ascii="Tahoma" w:hAnsi="Tahoma"/>
              </w:rPr>
              <w:t xml:space="preserve">.</w:t>
            </w:r>
            <w:r>
              <w:rPr>
                <w:color w:val="808080"/>
                <w:sz w:val="18"/>
                <w:rFonts w:ascii="Tahoma" w:hAnsi="Tahoma"/>
              </w:rPr>
              <w:t xml:space="preserve"> </w:t>
            </w:r>
            <w:r>
              <w:rPr>
                <w:color w:val="808080"/>
                <w:sz w:val="18"/>
                <w:rFonts w:ascii="Tahoma" w:hAnsi="Tahoma"/>
              </w:rPr>
              <w:t xml:space="preserve">In the last 3 years, the company has decreased the total</w:t>
            </w:r>
            <w:r>
              <w:rPr>
                <w:color w:val="808080"/>
                <w:sz w:val="18"/>
                <w:b/>
                <w:rFonts w:ascii="Tahoma" w:hAnsi="Tahoma"/>
              </w:rPr>
              <w:t xml:space="preserve"> number of accidents at work among its employees – from 134 (2020) to 86.</w:t>
            </w:r>
            <w:r>
              <w:rPr>
                <w:color w:val="808080"/>
                <w:sz w:val="18"/>
                <w:b/>
                <w:rFonts w:ascii="Tahoma" w:hAnsi="Tahoma"/>
              </w:rPr>
              <w:t xml:space="preserve"> </w:t>
            </w:r>
          </w:p>
          <w:p w14:paraId="07D5CDB1" w14:textId="77777777" w:rsidR="00FF3032" w:rsidRDefault="00FF3032" w:rsidP="006F3828">
            <w:pPr>
              <w:spacing w:line="360" w:lineRule="auto"/>
              <w:jc w:val="both"/>
              <w:rPr>
                <w:rFonts w:ascii="Tahoma" w:eastAsia="Tahoma" w:hAnsi="Tahoma" w:cs="Tahoma"/>
                <w:b/>
                <w:color w:val="808080"/>
                <w:sz w:val="18"/>
                <w:szCs w:val="18"/>
              </w:rPr>
            </w:pPr>
          </w:p>
          <w:p w14:paraId="3D36EC8B" w14:textId="126A9AEB" w:rsidR="00FF3032" w:rsidRDefault="00EE351F" w:rsidP="006F3828">
            <w:pPr>
              <w:spacing w:line="360" w:lineRule="auto"/>
              <w:jc w:val="both"/>
              <w:rPr>
                <w:bCs/>
                <w:color w:val="808080"/>
                <w:sz w:val="18"/>
                <w:szCs w:val="18"/>
                <w:rFonts w:ascii="Tahoma" w:eastAsia="Tahoma" w:hAnsi="Tahoma" w:cs="Tahoma"/>
              </w:rPr>
            </w:pPr>
            <w:r>
              <w:rPr>
                <w:color w:val="808080"/>
                <w:sz w:val="18"/>
                <w:rFonts w:ascii="Tahoma" w:hAnsi="Tahoma"/>
              </w:rPr>
              <w:t xml:space="preserve">Budimex actively promotes engineering jobs among women.</w:t>
            </w:r>
            <w:r>
              <w:rPr>
                <w:color w:val="808080"/>
                <w:sz w:val="18"/>
                <w:rFonts w:ascii="Tahoma" w:hAnsi="Tahoma"/>
              </w:rPr>
              <w:t xml:space="preserve"> </w:t>
            </w:r>
            <w:r>
              <w:rPr>
                <w:color w:val="808080"/>
                <w:sz w:val="18"/>
                <w:rFonts w:ascii="Tahoma" w:hAnsi="Tahoma"/>
              </w:rPr>
              <w:t xml:space="preserve">It continuously strives to increase their proportional participation in managerial positions and to assure equal opportunities within the framework of organization.</w:t>
            </w:r>
            <w:r>
              <w:rPr>
                <w:color w:val="808080"/>
                <w:sz w:val="18"/>
                <w:rFonts w:ascii="Tahoma" w:hAnsi="Tahoma"/>
              </w:rPr>
              <w:t xml:space="preserve"> </w:t>
            </w:r>
            <w:r>
              <w:rPr>
                <w:color w:val="808080"/>
                <w:sz w:val="18"/>
                <w:rFonts w:ascii="Tahoma" w:hAnsi="Tahoma"/>
              </w:rPr>
              <w:t xml:space="preserve">In 2022 the wage gap within the Group </w:t>
            </w:r>
            <w:r>
              <w:rPr>
                <w:color w:val="808080"/>
                <w:sz w:val="18"/>
                <w:b/>
                <w:rFonts w:ascii="Tahoma" w:hAnsi="Tahoma"/>
              </w:rPr>
              <w:t xml:space="preserve">was adjusted to a level of 1,9 percent.</w:t>
            </w:r>
            <w:r>
              <w:rPr>
                <w:color w:val="808080"/>
                <w:sz w:val="18"/>
                <w:rFonts w:ascii="Tahoma" w:hAnsi="Tahoma"/>
              </w:rPr>
              <w:t xml:space="preserve"> </w:t>
            </w:r>
            <w:r>
              <w:rPr>
                <w:color w:val="808080"/>
                <w:sz w:val="18"/>
                <w:rFonts w:ascii="Tahoma" w:hAnsi="Tahoma"/>
              </w:rPr>
              <w:t xml:space="preserve">For comparison, the corresponding index in the European Union is equal to 13% (data from 2021).</w:t>
            </w:r>
            <w:r>
              <w:rPr>
                <w:color w:val="808080"/>
                <w:sz w:val="18"/>
                <w:rFonts w:ascii="Tahoma" w:hAnsi="Tahoma"/>
              </w:rPr>
              <w:t xml:space="preserve"> </w:t>
            </w:r>
            <w:r>
              <w:rPr>
                <w:color w:val="808080"/>
                <w:sz w:val="18"/>
                <w:b/>
                <w:rFonts w:ascii="Tahoma" w:hAnsi="Tahoma"/>
              </w:rPr>
              <w:t xml:space="preserve">Women amounted to 38% of managers and supervisors in 2022 – this is an increase of 19 percentage points compared to 2020.</w:t>
            </w:r>
          </w:p>
          <w:p w14:paraId="5093B570" w14:textId="77777777" w:rsidR="00EE351F" w:rsidRDefault="00EE351F" w:rsidP="006F3828">
            <w:pPr>
              <w:spacing w:line="360" w:lineRule="auto"/>
              <w:jc w:val="both"/>
              <w:rPr>
                <w:rFonts w:ascii="Tahoma" w:eastAsia="Tahoma" w:hAnsi="Tahoma" w:cs="Tahoma"/>
                <w:bCs/>
                <w:color w:val="808080"/>
                <w:sz w:val="18"/>
                <w:szCs w:val="18"/>
              </w:rPr>
            </w:pPr>
          </w:p>
          <w:p w14:paraId="3A3139AF" w14:textId="48A6CFA6" w:rsidR="00EE351F" w:rsidRPr="00D84A74" w:rsidRDefault="00EE351F" w:rsidP="006F3828">
            <w:pPr>
              <w:spacing w:line="360" w:lineRule="auto"/>
              <w:jc w:val="both"/>
              <w:rPr>
                <w:bCs/>
                <w:color w:val="808080"/>
                <w:sz w:val="18"/>
                <w:szCs w:val="18"/>
                <w:rFonts w:ascii="Tahoma" w:eastAsia="Tahoma" w:hAnsi="Tahoma" w:cs="Tahoma"/>
              </w:rPr>
            </w:pPr>
            <w:r>
              <w:rPr>
                <w:color w:val="808080"/>
                <w:sz w:val="18"/>
                <w:rFonts w:ascii="Tahoma" w:hAnsi="Tahoma"/>
              </w:rPr>
              <w:t xml:space="preserve">– </w:t>
            </w:r>
            <w:r>
              <w:rPr>
                <w:color w:val="808080"/>
                <w:sz w:val="18"/>
                <w:i/>
                <w:rFonts w:ascii="Tahoma" w:hAnsi="Tahoma"/>
              </w:rPr>
              <w:t xml:space="preserve">We want Budimex to be not only a safe but also an attractive, diverse, and fair place to work.</w:t>
            </w:r>
            <w:r>
              <w:rPr>
                <w:color w:val="808080"/>
                <w:sz w:val="18"/>
                <w:i/>
                <w:rFonts w:ascii="Tahoma" w:hAnsi="Tahoma"/>
              </w:rPr>
              <w:t xml:space="preserve"> </w:t>
            </w:r>
            <w:r>
              <w:rPr>
                <w:color w:val="808080"/>
                <w:sz w:val="18"/>
                <w:i/>
                <w:rFonts w:ascii="Tahoma" w:hAnsi="Tahoma"/>
              </w:rPr>
              <w:t xml:space="preserve">In addition to the regularly held “Safety Week” [Tydzień Bezpieczeństwa], we organise a number of additional training sessions, such as first aid, as well as development projects – “Contract Manager’s Academy” or “A Success Set in Stone” [Murowany Sukces], i.e., the managerial programme addressed to women </w:t>
            </w:r>
            <w:r>
              <w:rPr>
                <w:color w:val="808080"/>
                <w:sz w:val="18"/>
                <w:rFonts w:ascii="Tahoma" w:hAnsi="Tahoma"/>
              </w:rPr>
              <w:t xml:space="preserve">– </w:t>
            </w:r>
            <w:r>
              <w:rPr>
                <w:color w:val="808080"/>
                <w:sz w:val="18"/>
                <w:b/>
                <w:rFonts w:ascii="Tahoma" w:hAnsi="Tahoma"/>
              </w:rPr>
              <w:t xml:space="preserve">explained the Member of the Management Board and the Director of HR Management Department, Anna Karyś-Sosińska.</w:t>
            </w:r>
            <w:r>
              <w:rPr>
                <w:color w:val="808080"/>
                <w:sz w:val="18"/>
                <w:b/>
                <w:rFonts w:ascii="Tahoma" w:hAnsi="Tahoma"/>
              </w:rPr>
              <w:t xml:space="preserve"> </w:t>
            </w:r>
            <w:r>
              <w:rPr>
                <w:color w:val="808080"/>
                <w:sz w:val="18"/>
                <w:rFonts w:ascii="Tahoma" w:hAnsi="Tahoma"/>
              </w:rPr>
              <w:t xml:space="preserve">– By being a responsible employer, we mean supporting our employees across different dimensions, not only the professional one.</w:t>
            </w:r>
            <w:r>
              <w:rPr>
                <w:color w:val="808080"/>
                <w:sz w:val="18"/>
                <w:i/>
                <w:rFonts w:ascii="Tahoma" w:hAnsi="Tahoma"/>
              </w:rPr>
              <w:t xml:space="preserve"> </w:t>
            </w:r>
            <w:r>
              <w:rPr>
                <w:color w:val="808080"/>
                <w:sz w:val="18"/>
                <w:i/>
                <w:rFonts w:ascii="Tahoma" w:hAnsi="Tahoma"/>
              </w:rPr>
              <w:t xml:space="preserve">In 2022 we introduced a psychologist on-call duty.</w:t>
            </w:r>
            <w:r>
              <w:rPr>
                <w:color w:val="808080"/>
                <w:sz w:val="18"/>
                <w:i/>
                <w:rFonts w:ascii="Tahoma" w:hAnsi="Tahoma"/>
              </w:rPr>
              <w:t xml:space="preserve"> </w:t>
            </w:r>
            <w:r>
              <w:rPr>
                <w:color w:val="808080"/>
                <w:sz w:val="18"/>
                <w:i/>
                <w:rFonts w:ascii="Tahoma" w:hAnsi="Tahoma"/>
              </w:rPr>
              <w:t xml:space="preserve">We have also hosted over 30 webinars and courses on mental health</w:t>
            </w:r>
            <w:r>
              <w:rPr>
                <w:color w:val="808080"/>
                <w:sz w:val="18"/>
                <w:rFonts w:ascii="Tahoma" w:hAnsi="Tahoma"/>
              </w:rPr>
              <w:t xml:space="preserve"> – </w:t>
            </w:r>
            <w:r>
              <w:rPr>
                <w:color w:val="808080"/>
                <w:sz w:val="18"/>
                <w:b/>
                <w:rFonts w:ascii="Tahoma" w:hAnsi="Tahoma"/>
              </w:rPr>
              <w:t xml:space="preserve">added the Director, Anna Karyś-Sosińska.</w:t>
            </w:r>
            <w:r>
              <w:rPr>
                <w:color w:val="808080"/>
                <w:sz w:val="18"/>
                <w:rFonts w:ascii="Tahoma" w:hAnsi="Tahoma"/>
              </w:rPr>
              <w:t xml:space="preserve"> </w:t>
            </w:r>
          </w:p>
          <w:p w14:paraId="390B9AEE" w14:textId="77777777" w:rsidR="007044C2" w:rsidRPr="00D84A74" w:rsidRDefault="007044C2" w:rsidP="00D84A74">
            <w:pPr>
              <w:spacing w:line="360" w:lineRule="auto"/>
              <w:jc w:val="both"/>
              <w:rPr>
                <w:rFonts w:ascii="Tahoma" w:eastAsia="Tahoma" w:hAnsi="Tahoma" w:cs="Tahoma"/>
                <w:bCs/>
                <w:color w:val="808080"/>
                <w:sz w:val="18"/>
                <w:szCs w:val="18"/>
              </w:rPr>
            </w:pPr>
          </w:p>
          <w:p w14:paraId="422A39B7" w14:textId="38D068A9" w:rsidR="006750BF" w:rsidRDefault="007044C2" w:rsidP="00976C6C">
            <w:pPr>
              <w:spacing w:line="360" w:lineRule="auto"/>
              <w:jc w:val="both"/>
              <w:rPr>
                <w:bCs/>
                <w:color w:val="808080"/>
                <w:sz w:val="18"/>
                <w:szCs w:val="18"/>
                <w:rFonts w:ascii="Tahoma" w:eastAsia="Tahoma" w:hAnsi="Tahoma" w:cs="Tahoma"/>
              </w:rPr>
            </w:pPr>
            <w:r>
              <w:rPr>
                <w:b/>
                <w:color w:val="808080"/>
                <w:sz w:val="18"/>
                <w:rFonts w:ascii="Tahoma" w:hAnsi="Tahoma"/>
              </w:rPr>
              <w:t xml:space="preserve">Social matters</w:t>
            </w:r>
          </w:p>
          <w:p w14:paraId="308DAD2E" w14:textId="77777777" w:rsidR="007044C2" w:rsidRDefault="007044C2" w:rsidP="007044C2">
            <w:pPr>
              <w:spacing w:line="360" w:lineRule="auto"/>
              <w:jc w:val="both"/>
              <w:rPr>
                <w:rFonts w:ascii="Tahoma" w:eastAsia="Tahoma" w:hAnsi="Tahoma" w:cs="Tahoma"/>
                <w:bCs/>
                <w:color w:val="808080"/>
                <w:sz w:val="18"/>
                <w:szCs w:val="18"/>
              </w:rPr>
            </w:pPr>
          </w:p>
          <w:p w14:paraId="6D515ABB" w14:textId="554DD354" w:rsidR="00670D44" w:rsidRDefault="005C7F06" w:rsidP="007044C2">
            <w:pPr>
              <w:spacing w:line="360" w:lineRule="auto"/>
              <w:jc w:val="both"/>
              <w:rPr>
                <w:b/>
                <w:color w:val="808080"/>
                <w:sz w:val="18"/>
                <w:szCs w:val="18"/>
                <w:rFonts w:ascii="Tahoma" w:eastAsia="Tahoma" w:hAnsi="Tahoma" w:cs="Tahoma"/>
              </w:rPr>
            </w:pPr>
            <w:r>
              <w:rPr>
                <w:color w:val="808080"/>
                <w:sz w:val="18"/>
                <w:rFonts w:ascii="Tahoma" w:hAnsi="Tahoma"/>
              </w:rPr>
              <w:t xml:space="preserve">Creating a positive atmosphere regarding ongoing investments is an inherent element of Budimex activities.</w:t>
            </w:r>
            <w:r>
              <w:rPr>
                <w:color w:val="808080"/>
                <w:sz w:val="18"/>
                <w:rFonts w:ascii="Tahoma" w:hAnsi="Tahoma"/>
              </w:rPr>
              <w:t xml:space="preserve"> </w:t>
            </w:r>
            <w:r>
              <w:rPr>
                <w:color w:val="808080"/>
                <w:sz w:val="18"/>
                <w:rFonts w:ascii="Tahoma" w:hAnsi="Tahoma"/>
              </w:rPr>
              <w:t xml:space="preserve">In addition to the advantages resulting from the development of buildings and infrastructure, the Group answers to the real, ongoing needs of the local communities.</w:t>
            </w:r>
            <w:r>
              <w:rPr>
                <w:color w:val="808080"/>
                <w:sz w:val="18"/>
                <w:rFonts w:ascii="Tahoma" w:hAnsi="Tahoma"/>
              </w:rPr>
              <w:t xml:space="preserve"> </w:t>
            </w:r>
            <w:r>
              <w:rPr>
                <w:color w:val="808080"/>
                <w:sz w:val="18"/>
                <w:rFonts w:ascii="Tahoma" w:hAnsi="Tahoma"/>
              </w:rPr>
              <w:t xml:space="preserve">2022 saw the continuation of the main projects – “Hello ICE.</w:t>
            </w:r>
            <w:r>
              <w:rPr>
                <w:color w:val="808080"/>
                <w:sz w:val="18"/>
                <w:rFonts w:ascii="Tahoma" w:hAnsi="Tahoma"/>
              </w:rPr>
              <w:t xml:space="preserve"> </w:t>
            </w:r>
            <w:r>
              <w:rPr>
                <w:color w:val="808080"/>
                <w:sz w:val="18"/>
                <w:rFonts w:ascii="Tahoma" w:hAnsi="Tahoma"/>
              </w:rPr>
              <w:t xml:space="preserve">Budimex Dzieciom” [Hello ICE. Budimex for Kids], “Strefa Rodzica” [Parent's Zone] and “Dom z Serca” [Home Straight from the Heart].</w:t>
            </w:r>
            <w:r>
              <w:rPr>
                <w:color w:val="808080"/>
                <w:sz w:val="18"/>
                <w:rFonts w:ascii="Tahoma" w:hAnsi="Tahoma"/>
              </w:rPr>
              <w:t xml:space="preserve"> </w:t>
            </w:r>
            <w:r>
              <w:rPr>
                <w:color w:val="808080"/>
                <w:sz w:val="18"/>
                <w:rFonts w:ascii="Tahoma" w:hAnsi="Tahoma"/>
              </w:rPr>
              <w:t xml:space="preserve">Budimex has also actively participated </w:t>
            </w:r>
            <w:r>
              <w:rPr>
                <w:color w:val="808080"/>
                <w:sz w:val="18"/>
                <w:b/>
                <w:rFonts w:ascii="Tahoma" w:hAnsi="Tahoma"/>
              </w:rPr>
              <w:t xml:space="preserve">in providing material and financial help for Ukraine, which amounted to over PLN 3 million.</w:t>
            </w:r>
            <w:r>
              <w:rPr>
                <w:color w:val="808080"/>
                <w:sz w:val="18"/>
                <w:b/>
                <w:rFonts w:ascii="Tahoma" w:hAnsi="Tahoma"/>
              </w:rPr>
              <w:t xml:space="preserve"> </w:t>
            </w:r>
          </w:p>
          <w:p w14:paraId="6571D135" w14:textId="77777777" w:rsidR="00403252" w:rsidRDefault="00403252" w:rsidP="007044C2">
            <w:pPr>
              <w:spacing w:line="360" w:lineRule="auto"/>
              <w:jc w:val="both"/>
              <w:rPr>
                <w:rFonts w:ascii="Tahoma" w:eastAsia="Tahoma" w:hAnsi="Tahoma" w:cs="Tahoma"/>
                <w:b/>
                <w:color w:val="808080"/>
                <w:sz w:val="18"/>
                <w:szCs w:val="18"/>
              </w:rPr>
            </w:pPr>
          </w:p>
          <w:p w14:paraId="7717A494" w14:textId="79137CDC" w:rsidR="00403252" w:rsidRPr="00403252" w:rsidRDefault="00403252" w:rsidP="007044C2">
            <w:pPr>
              <w:spacing w:line="360" w:lineRule="auto"/>
              <w:jc w:val="both"/>
              <w:rPr>
                <w:bCs/>
                <w:color w:val="808080"/>
                <w:sz w:val="18"/>
                <w:szCs w:val="18"/>
                <w:rFonts w:ascii="Tahoma" w:eastAsia="Tahoma" w:hAnsi="Tahoma" w:cs="Tahoma"/>
              </w:rPr>
            </w:pPr>
            <w:r>
              <w:rPr>
                <w:color w:val="808080"/>
                <w:sz w:val="18"/>
                <w:rFonts w:ascii="Tahoma" w:hAnsi="Tahoma"/>
              </w:rPr>
              <w:t xml:space="preserve">– The power of our involvement in social activities comes from joining top-down activities with bottom-up support granted by our Employees and their initiatives.</w:t>
            </w:r>
            <w:r>
              <w:rPr>
                <w:color w:val="808080"/>
                <w:sz w:val="18"/>
                <w:i/>
                <w:rFonts w:ascii="Tahoma" w:hAnsi="Tahoma"/>
              </w:rPr>
              <w:t xml:space="preserve"> </w:t>
            </w:r>
            <w:r>
              <w:rPr>
                <w:color w:val="808080"/>
                <w:sz w:val="18"/>
                <w:i/>
                <w:rFonts w:ascii="Tahoma" w:hAnsi="Tahoma"/>
              </w:rPr>
              <w:t xml:space="preserve">In the last year, in the face of war in Ukraine, we delivered seven projects submitted within the framework of a “Volunteer Grant”, donating PLN 136 thousand for this cause.</w:t>
            </w:r>
            <w:r>
              <w:rPr>
                <w:color w:val="808080"/>
                <w:sz w:val="18"/>
                <w:i/>
                <w:rFonts w:ascii="Tahoma" w:hAnsi="Tahoma"/>
              </w:rPr>
              <w:t xml:space="preserve"> </w:t>
            </w:r>
            <w:r>
              <w:rPr>
                <w:color w:val="808080"/>
                <w:sz w:val="18"/>
                <w:i/>
                <w:rFonts w:ascii="Tahoma" w:hAnsi="Tahoma"/>
              </w:rPr>
              <w:t xml:space="preserve">In this way, we could not only broaden the scope of aid but also deliver it directly to the specific persons and families affected by the consequences of conflict</w:t>
            </w:r>
            <w:r>
              <w:rPr>
                <w:color w:val="808080"/>
                <w:sz w:val="18"/>
                <w:rFonts w:ascii="Tahoma" w:hAnsi="Tahoma"/>
              </w:rPr>
              <w:t xml:space="preserve"> – </w:t>
            </w:r>
            <w:r>
              <w:rPr>
                <w:color w:val="808080"/>
                <w:sz w:val="18"/>
                <w:b/>
                <w:rFonts w:ascii="Tahoma" w:hAnsi="Tahoma"/>
              </w:rPr>
              <w:t xml:space="preserve">said the Director, Anna Karyś-Sosińska.</w:t>
            </w:r>
          </w:p>
          <w:p w14:paraId="1785A731" w14:textId="77777777" w:rsidR="00670D44" w:rsidRDefault="00670D44" w:rsidP="007044C2">
            <w:pPr>
              <w:spacing w:line="360" w:lineRule="auto"/>
              <w:jc w:val="both"/>
              <w:rPr>
                <w:rFonts w:ascii="Tahoma" w:eastAsia="Tahoma" w:hAnsi="Tahoma" w:cs="Tahoma"/>
                <w:bCs/>
                <w:color w:val="808080"/>
                <w:sz w:val="18"/>
                <w:szCs w:val="18"/>
              </w:rPr>
            </w:pPr>
          </w:p>
          <w:p w14:paraId="2EBB8574" w14:textId="5412F64C" w:rsidR="00854BFF" w:rsidRDefault="000E47D5" w:rsidP="00B24049">
            <w:pPr>
              <w:spacing w:line="360" w:lineRule="auto"/>
              <w:jc w:val="both"/>
              <w:rPr>
                <w:bCs/>
                <w:color w:val="808080"/>
                <w:sz w:val="18"/>
                <w:szCs w:val="18"/>
                <w:rFonts w:ascii="Tahoma" w:eastAsia="Tahoma" w:hAnsi="Tahoma" w:cs="Tahoma"/>
              </w:rPr>
            </w:pPr>
            <w:r>
              <w:rPr>
                <w:color w:val="808080"/>
                <w:sz w:val="18"/>
                <w:b/>
                <w:rFonts w:ascii="Tahoma" w:hAnsi="Tahoma"/>
              </w:rPr>
              <w:t xml:space="preserve">-</w:t>
            </w:r>
            <w:r>
              <w:rPr>
                <w:color w:val="808080"/>
                <w:sz w:val="18"/>
                <w:rFonts w:ascii="Tahoma" w:hAnsi="Tahoma"/>
              </w:rPr>
              <w:t xml:space="preserve"> </w:t>
            </w:r>
          </w:p>
          <w:p w14:paraId="1640EE28" w14:textId="77777777" w:rsidR="006750BF" w:rsidRDefault="006750BF" w:rsidP="00976C6C">
            <w:pPr>
              <w:spacing w:line="360" w:lineRule="auto"/>
              <w:jc w:val="both"/>
              <w:rPr>
                <w:rFonts w:ascii="Tahoma" w:eastAsia="Tahoma" w:hAnsi="Tahoma" w:cs="Tahoma"/>
                <w:b/>
                <w:color w:val="808080"/>
                <w:sz w:val="18"/>
                <w:szCs w:val="18"/>
              </w:rPr>
            </w:pPr>
          </w:p>
          <w:p w14:paraId="43FD53CE" w14:textId="579FB914" w:rsidR="001E0365" w:rsidRPr="006750BF" w:rsidRDefault="00D96012" w:rsidP="00976C6C">
            <w:pPr>
              <w:spacing w:line="360" w:lineRule="auto"/>
              <w:jc w:val="both"/>
              <w:rPr>
                <w:bCs/>
                <w:color w:val="808080"/>
                <w:sz w:val="18"/>
                <w:szCs w:val="18"/>
                <w:rFonts w:ascii="Tahoma" w:eastAsia="Tahoma" w:hAnsi="Tahoma" w:cs="Tahoma"/>
              </w:rPr>
            </w:pPr>
            <w:r>
              <w:rPr>
                <w:color w:val="808080"/>
                <w:sz w:val="18"/>
                <w:rFonts w:ascii="Tahoma" w:hAnsi="Tahoma"/>
              </w:rPr>
              <w:t xml:space="preserve">The integrated report for the year 2022 was developed on the internal reporting model of the Budimex Group, based on GRI Standards’ indices in the updated version from the November 2021.</w:t>
            </w:r>
            <w:r>
              <w:rPr>
                <w:color w:val="808080"/>
                <w:sz w:val="18"/>
                <w:rFonts w:ascii="Tahoma" w:hAnsi="Tahoma"/>
              </w:rPr>
              <w:t xml:space="preserve"> </w:t>
            </w:r>
            <w:r>
              <w:rPr>
                <w:color w:val="808080"/>
                <w:sz w:val="18"/>
                <w:rFonts w:ascii="Tahoma" w:hAnsi="Tahoma"/>
              </w:rPr>
              <w:t xml:space="preserve">The scope of the document also incorporates good TCFD practices</w:t>
            </w:r>
            <w:r>
              <w:rPr>
                <w:color w:val="808080"/>
                <w:sz w:val="18"/>
                <w:rFonts w:ascii="Tahoma" w:hAnsi="Tahoma"/>
              </w:rPr>
              <w:t xml:space="preserve"> </w:t>
            </w:r>
            <w:r>
              <w:rPr>
                <w:color w:val="808080"/>
                <w:sz w:val="18"/>
                <w:rFonts w:ascii="Tahoma" w:hAnsi="Tahoma"/>
              </w:rPr>
              <w:t xml:space="preserve">(Task-force for Climate-related Disclosure).</w:t>
            </w:r>
            <w:r>
              <w:rPr>
                <w:color w:val="808080"/>
                <w:sz w:val="18"/>
                <w:rFonts w:ascii="Tahoma" w:hAnsi="Tahoma"/>
              </w:rPr>
              <w:t xml:space="preserve"> </w:t>
            </w:r>
            <w:r>
              <w:rPr>
                <w:color w:val="808080"/>
                <w:sz w:val="18"/>
                <w:rFonts w:ascii="Tahoma" w:hAnsi="Tahoma"/>
              </w:rPr>
              <w:t xml:space="preserve">The report also underwent a non-obligatory verification of an independent auditor – Deloitte Advisory Sp. z o.o. sp. k.</w:t>
            </w:r>
          </w:p>
          <w:p w14:paraId="037621BF" w14:textId="77777777" w:rsidR="00976C6C" w:rsidRDefault="00976C6C" w:rsidP="000F4163">
            <w:pPr>
              <w:spacing w:line="360" w:lineRule="auto"/>
              <w:jc w:val="both"/>
              <w:rPr>
                <w:rFonts w:ascii="Tahoma" w:eastAsia="Tahoma" w:hAnsi="Tahoma" w:cs="Tahoma"/>
                <w:bCs/>
                <w:color w:val="808080"/>
                <w:sz w:val="18"/>
                <w:szCs w:val="18"/>
              </w:rPr>
            </w:pPr>
          </w:p>
          <w:p w14:paraId="3F66AD2F" w14:textId="66C27579" w:rsidR="00FC43CA" w:rsidRDefault="006C6E94" w:rsidP="00FC43CA">
            <w:pPr>
              <w:spacing w:line="360" w:lineRule="auto"/>
              <w:jc w:val="both"/>
              <w:rPr>
                <w:bCs/>
                <w:color w:val="808080"/>
                <w:sz w:val="18"/>
                <w:szCs w:val="18"/>
                <w:rFonts w:ascii="Tahoma" w:eastAsia="Tahoma" w:hAnsi="Tahoma" w:cs="Tahoma"/>
              </w:rPr>
            </w:pPr>
            <w:r>
              <w:rPr>
                <w:color w:val="808080"/>
                <w:sz w:val="18"/>
                <w:rFonts w:ascii="Tahoma" w:hAnsi="Tahoma"/>
              </w:rPr>
              <w:t xml:space="preserve">Full version of the Report is available at: </w:t>
            </w:r>
            <w:hyperlink r:id="rId12" w:history="1">
              <w:r>
                <w:rPr>
                  <w:rStyle w:val="Hipercze"/>
                  <w:sz w:val="18"/>
                  <w:rFonts w:ascii="Tahoma" w:hAnsi="Tahoma"/>
                </w:rPr>
                <w:t xml:space="preserve">https://raportroczny.budimex.pl/2022/</w:t>
              </w:r>
            </w:hyperlink>
          </w:p>
          <w:p w14:paraId="6CF5BBCF" w14:textId="77777777" w:rsidR="006C6E94" w:rsidRPr="006C6E94" w:rsidRDefault="006C6E94" w:rsidP="00FC43CA">
            <w:pPr>
              <w:spacing w:line="360" w:lineRule="auto"/>
              <w:jc w:val="both"/>
              <w:rPr>
                <w:rFonts w:ascii="Tahoma" w:eastAsia="Tahoma" w:hAnsi="Tahoma" w:cs="Tahoma"/>
                <w:bCs/>
                <w:color w:val="808080"/>
                <w:sz w:val="18"/>
                <w:szCs w:val="18"/>
              </w:rPr>
            </w:pPr>
          </w:p>
          <w:p w14:paraId="44BE80C7" w14:textId="75187DB9" w:rsidR="00DE4D7D" w:rsidRPr="00FC43CA" w:rsidRDefault="00DE4D7D" w:rsidP="00FC43CA">
            <w:pPr>
              <w:spacing w:line="360" w:lineRule="auto"/>
              <w:jc w:val="both"/>
              <w:rPr>
                <w:rFonts w:ascii="Tahoma" w:eastAsia="Tahoma" w:hAnsi="Tahoma" w:cs="Tahoma"/>
                <w:bCs/>
                <w:color w:val="808080"/>
                <w:sz w:val="18"/>
                <w:szCs w:val="18"/>
              </w:rPr>
            </w:pPr>
          </w:p>
        </w:tc>
        <w:tc>
          <w:tcPr>
            <w:tcW w:w="3166" w:type="dxa"/>
          </w:tcPr>
          <w:p w14:paraId="5B5F2F21" w14:textId="2DED115D" w:rsidR="00D824D3" w:rsidRPr="00FC43CA" w:rsidRDefault="00D824D3">
            <w:pPr>
              <w:spacing w:line="360" w:lineRule="auto"/>
              <w:jc w:val="center"/>
              <w:rPr>
                <w:rFonts w:ascii="Tahoma" w:eastAsia="Tahoma" w:hAnsi="Tahoma" w:cs="Tahoma"/>
                <w:bCs/>
                <w:color w:val="FFC000"/>
              </w:rPr>
            </w:pPr>
          </w:p>
          <w:p w14:paraId="6D9FE0D9" w14:textId="77777777" w:rsidR="00D824D3" w:rsidRPr="00FC43CA" w:rsidRDefault="00D824D3">
            <w:pPr>
              <w:spacing w:line="360" w:lineRule="auto"/>
              <w:jc w:val="center"/>
              <w:rPr>
                <w:rFonts w:ascii="Tahoma" w:eastAsia="Tahoma" w:hAnsi="Tahoma" w:cs="Tahoma"/>
                <w:bCs/>
                <w:color w:val="FFC000"/>
              </w:rPr>
            </w:pPr>
          </w:p>
          <w:p w14:paraId="2981D933" w14:textId="77777777" w:rsidR="00D824D3" w:rsidRPr="00FC43CA" w:rsidRDefault="00D824D3">
            <w:pPr>
              <w:spacing w:line="360" w:lineRule="auto"/>
              <w:jc w:val="center"/>
              <w:rPr>
                <w:rFonts w:ascii="Tahoma" w:eastAsia="Tahoma" w:hAnsi="Tahoma" w:cs="Tahoma"/>
                <w:bCs/>
                <w:color w:val="FFC000"/>
              </w:rPr>
            </w:pPr>
          </w:p>
          <w:p w14:paraId="75763072" w14:textId="77777777" w:rsidR="00D824D3" w:rsidRPr="00FC43CA" w:rsidRDefault="00D824D3">
            <w:pPr>
              <w:spacing w:line="360" w:lineRule="auto"/>
              <w:jc w:val="center"/>
              <w:rPr>
                <w:rFonts w:ascii="Tahoma" w:eastAsia="Tahoma" w:hAnsi="Tahoma" w:cs="Tahoma"/>
                <w:bCs/>
                <w:color w:val="FFC000"/>
              </w:rPr>
            </w:pPr>
          </w:p>
          <w:p w14:paraId="522D8B16" w14:textId="77777777" w:rsidR="00D824D3" w:rsidRPr="00FC43CA" w:rsidRDefault="00D824D3">
            <w:pPr>
              <w:spacing w:line="360" w:lineRule="auto"/>
              <w:jc w:val="center"/>
              <w:rPr>
                <w:rFonts w:ascii="Tahoma" w:eastAsia="Tahoma" w:hAnsi="Tahoma" w:cs="Tahoma"/>
                <w:bCs/>
                <w:color w:val="FFC000"/>
              </w:rPr>
            </w:pPr>
          </w:p>
          <w:p w14:paraId="383DA6A1" w14:textId="77777777" w:rsidR="00D824D3" w:rsidRPr="00FC43CA" w:rsidRDefault="00D824D3">
            <w:pPr>
              <w:spacing w:line="360" w:lineRule="auto"/>
              <w:jc w:val="center"/>
              <w:rPr>
                <w:rFonts w:ascii="Tahoma" w:eastAsia="Tahoma" w:hAnsi="Tahoma" w:cs="Tahoma"/>
                <w:bCs/>
                <w:color w:val="FFC000"/>
              </w:rPr>
            </w:pPr>
          </w:p>
          <w:p w14:paraId="302E4DF3" w14:textId="77777777" w:rsidR="00D824D3" w:rsidRPr="00FC43CA" w:rsidRDefault="00D824D3">
            <w:pPr>
              <w:spacing w:after="120" w:line="360" w:lineRule="auto"/>
              <w:rPr>
                <w:rFonts w:ascii="Verdana" w:eastAsia="Verdana" w:hAnsi="Verdana" w:cs="Verdana"/>
                <w:bCs/>
                <w:color w:val="FFC000"/>
                <w:sz w:val="20"/>
                <w:szCs w:val="20"/>
              </w:rPr>
            </w:pPr>
          </w:p>
          <w:p w14:paraId="7B71267C" w14:textId="77777777" w:rsidR="00D824D3" w:rsidRPr="00775CAB" w:rsidRDefault="00B63B5B">
            <w:pPr>
              <w:spacing w:after="120" w:line="360" w:lineRule="auto"/>
              <w:rPr>
                <w:bCs/>
                <w:color w:val="FFC000"/>
                <w:sz w:val="20"/>
                <w:szCs w:val="20"/>
                <w:rFonts w:ascii="Verdana" w:eastAsia="Verdana" w:hAnsi="Verdana" w:cs="Verdana"/>
              </w:rPr>
            </w:pPr>
            <w:r>
              <w:rPr>
                <w:color w:val="FFC000"/>
                <w:sz w:val="20"/>
                <w:rFonts w:ascii="Verdana" w:hAnsi="Verdana"/>
              </w:rPr>
              <w:t xml:space="preserve">Contact:</w:t>
            </w:r>
            <w:r>
              <w:rPr>
                <w:color w:val="FFC000"/>
                <w:sz w:val="20"/>
                <w:rFonts w:ascii="Verdana" w:hAnsi="Verdana"/>
              </w:rPr>
              <w:t xml:space="preserve"> </w:t>
            </w:r>
          </w:p>
          <w:p w14:paraId="3EDE60A1" w14:textId="45C07FB4" w:rsidR="00D824D3" w:rsidRPr="00775CAB" w:rsidRDefault="00B63B5B">
            <w:pPr>
              <w:spacing w:after="120" w:line="360" w:lineRule="auto"/>
              <w:rPr>
                <w:bCs/>
                <w:color w:val="808080"/>
                <w:sz w:val="18"/>
                <w:szCs w:val="18"/>
                <w:rFonts w:ascii="Verdana" w:eastAsia="Verdana" w:hAnsi="Verdana" w:cs="Verdana"/>
              </w:rPr>
            </w:pPr>
            <w:r>
              <w:rPr>
                <w:color w:val="808080"/>
                <w:sz w:val="18"/>
                <w:rFonts w:ascii="Verdana" w:hAnsi="Verdana"/>
              </w:rPr>
              <w:t xml:space="preserve">Michał Wrzosek – Spokesman</w:t>
            </w:r>
          </w:p>
          <w:p w14:paraId="742DC472" w14:textId="77777777" w:rsidR="00D824D3" w:rsidRPr="00775CAB" w:rsidRDefault="00B63B5B">
            <w:pPr>
              <w:spacing w:line="360" w:lineRule="auto"/>
              <w:rPr>
                <w:bCs/>
                <w:color w:val="808080"/>
                <w:sz w:val="18"/>
                <w:szCs w:val="18"/>
                <w:rFonts w:ascii="Verdana" w:eastAsia="Verdana" w:hAnsi="Verdana" w:cs="Verdana"/>
              </w:rPr>
            </w:pPr>
            <w:r>
              <w:rPr>
                <w:color w:val="808080"/>
                <w:sz w:val="18"/>
                <w:rFonts w:ascii="Verdana" w:hAnsi="Verdana"/>
              </w:rPr>
              <w:t xml:space="preserve">phone</w:t>
            </w:r>
            <w:r>
              <w:rPr>
                <w:color w:val="808080"/>
                <w:sz w:val="18"/>
                <w:rFonts w:ascii="Verdana" w:hAnsi="Verdana"/>
              </w:rPr>
              <w:t xml:space="preserve"> </w:t>
            </w:r>
            <w:r>
              <w:rPr>
                <w:color w:val="808080"/>
                <w:sz w:val="18"/>
                <w:rFonts w:ascii="Verdana" w:hAnsi="Verdana"/>
              </w:rPr>
              <w:t xml:space="preserve">(22) 62 36 164, 512 478 522,</w:t>
            </w:r>
            <w:r>
              <w:rPr>
                <w:color w:val="808080"/>
                <w:sz w:val="18"/>
                <w:rFonts w:ascii="Verdana" w:hAnsi="Verdana"/>
              </w:rPr>
              <w:t xml:space="preserve"> </w:t>
            </w:r>
          </w:p>
          <w:p w14:paraId="1AD63FF4" w14:textId="77777777" w:rsidR="00D824D3" w:rsidRPr="00775CAB" w:rsidRDefault="006C6E94">
            <w:pPr>
              <w:spacing w:line="360" w:lineRule="auto"/>
              <w:rPr>
                <w:bCs/>
                <w:color w:val="808080"/>
                <w:sz w:val="18"/>
                <w:szCs w:val="18"/>
                <w:rFonts w:ascii="Verdana" w:eastAsia="Verdana" w:hAnsi="Verdana" w:cs="Verdana"/>
              </w:rPr>
            </w:pPr>
            <w:hyperlink r:id="rId13">
              <w:r>
                <w:rPr>
                  <w:color w:val="808080"/>
                  <w:sz w:val="18"/>
                  <w:u w:val="single"/>
                  <w:rFonts w:ascii="Verdana" w:hAnsi="Verdana"/>
                </w:rPr>
                <w:t xml:space="preserve">michal.wrzosek@budimex.pl</w:t>
              </w:r>
            </w:hyperlink>
          </w:p>
          <w:p w14:paraId="286034E8" w14:textId="77777777" w:rsidR="00D824D3" w:rsidRPr="00775CAB" w:rsidRDefault="006C6E94">
            <w:pPr>
              <w:spacing w:before="280" w:after="280" w:line="360" w:lineRule="auto"/>
              <w:jc w:val="both"/>
              <w:rPr>
                <w:bCs/>
                <w:color w:val="7F7F7F"/>
                <w:sz w:val="18"/>
                <w:szCs w:val="18"/>
                <w:rFonts w:ascii="Tahoma" w:eastAsia="Tahoma" w:hAnsi="Tahoma" w:cs="Tahoma"/>
              </w:rPr>
            </w:pPr>
            <w:hyperlink r:id="rId14">
              <w:r>
                <w:rPr>
                  <w:color w:val="7F7F7F"/>
                  <w:sz w:val="18"/>
                  <w:u w:val="single"/>
                  <w:rFonts w:ascii="Tahoma" w:hAnsi="Tahoma"/>
                </w:rPr>
                <w:t xml:space="preserve">www.media.budimex.pl</w:t>
              </w:r>
            </w:hyperlink>
          </w:p>
          <w:p w14:paraId="0DDA63C7" w14:textId="77777777" w:rsidR="00D824D3" w:rsidRPr="00775CAB" w:rsidRDefault="00D824D3">
            <w:pPr>
              <w:spacing w:line="360" w:lineRule="auto"/>
              <w:jc w:val="center"/>
              <w:rPr>
                <w:rFonts w:ascii="Tahoma" w:eastAsia="Tahoma" w:hAnsi="Tahoma" w:cs="Tahoma"/>
                <w:bCs/>
                <w:color w:val="FFC000"/>
              </w:rPr>
            </w:pPr>
          </w:p>
          <w:p w14:paraId="0E328550" w14:textId="77777777" w:rsidR="00D824D3" w:rsidRPr="00775CAB" w:rsidRDefault="00D824D3">
            <w:pPr>
              <w:spacing w:line="360" w:lineRule="auto"/>
              <w:jc w:val="center"/>
              <w:rPr>
                <w:rFonts w:ascii="Tahoma" w:eastAsia="Tahoma" w:hAnsi="Tahoma" w:cs="Tahoma"/>
                <w:bCs/>
                <w:color w:val="FFC000"/>
              </w:rPr>
            </w:pPr>
          </w:p>
          <w:p w14:paraId="4331147F" w14:textId="77777777" w:rsidR="00D824D3" w:rsidRPr="00775CAB" w:rsidRDefault="00D824D3">
            <w:pPr>
              <w:spacing w:line="360" w:lineRule="auto"/>
              <w:jc w:val="center"/>
              <w:rPr>
                <w:rFonts w:ascii="Tahoma" w:eastAsia="Tahoma" w:hAnsi="Tahoma" w:cs="Tahoma"/>
                <w:bCs/>
                <w:color w:val="FFC000"/>
              </w:rPr>
            </w:pPr>
          </w:p>
          <w:p w14:paraId="4CEC1C16" w14:textId="77777777" w:rsidR="00D824D3" w:rsidRPr="00775CAB" w:rsidRDefault="00D824D3">
            <w:pPr>
              <w:spacing w:line="360" w:lineRule="auto"/>
              <w:jc w:val="center"/>
              <w:rPr>
                <w:rFonts w:ascii="Tahoma" w:eastAsia="Tahoma" w:hAnsi="Tahoma" w:cs="Tahoma"/>
                <w:bCs/>
                <w:color w:val="FFC000"/>
              </w:rPr>
            </w:pPr>
          </w:p>
        </w:tc>
      </w:tr>
    </w:tbl>
    <w:p w14:paraId="6E7F5698" w14:textId="7B88D0D5" w:rsidR="00D824D3" w:rsidRDefault="00D824D3" w:rsidP="00AD7834">
      <w:pPr>
        <w:spacing w:line="360" w:lineRule="auto"/>
        <w:ind w:right="1"/>
        <w:jc w:val="both"/>
        <w:rPr>
          <w:rFonts w:ascii="Tahoma" w:eastAsia="Tahoma" w:hAnsi="Tahoma" w:cs="Tahoma"/>
          <w:color w:val="808080"/>
          <w:sz w:val="18"/>
          <w:szCs w:val="18"/>
        </w:rPr>
      </w:pPr>
    </w:p>
    <w:sectPr w:rsidR="00D824D3">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46EA" w14:textId="77777777" w:rsidR="00CA7849" w:rsidRDefault="00CA7849">
      <w:pPr>
        <w:spacing w:after="0" w:line="240" w:lineRule="auto"/>
      </w:pPr>
      <w:r>
        <w:separator/>
      </w:r>
    </w:p>
  </w:endnote>
  <w:endnote w:type="continuationSeparator" w:id="0">
    <w:p w14:paraId="09FC8181" w14:textId="77777777" w:rsidR="00CA7849" w:rsidRDefault="00CA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B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78E0" w14:textId="77777777" w:rsidR="00CA7849" w:rsidRDefault="00CA7849">
      <w:pPr>
        <w:spacing w:after="0" w:line="240" w:lineRule="auto"/>
      </w:pPr>
      <w:r>
        <w:separator/>
      </w:r>
    </w:p>
  </w:footnote>
  <w:footnote w:type="continuationSeparator" w:id="0">
    <w:p w14:paraId="0B412496" w14:textId="77777777" w:rsidR="00CA7849" w:rsidRDefault="00CA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F148" w14:textId="77777777" w:rsidR="00D824D3" w:rsidRDefault="00B63B5B">
    <w:pPr>
      <w:pBdr>
        <w:top w:val="nil"/>
        <w:left w:val="nil"/>
        <w:bottom w:val="nil"/>
        <w:right w:val="nil"/>
        <w:between w:val="nil"/>
      </w:pBdr>
      <w:tabs>
        <w:tab w:val="center" w:pos="4536"/>
        <w:tab w:val="right" w:pos="9072"/>
        <w:tab w:val="left" w:pos="785"/>
        <w:tab w:val="left" w:pos="3828"/>
      </w:tabs>
      <w:spacing w:after="0" w:line="240" w:lineRule="auto"/>
      <w:rPr>
        <w:b/>
        <w:color w:val="808080"/>
        <w:sz w:val="28"/>
        <w:szCs w:val="28"/>
        <w:rFonts w:ascii="Tahoma" w:eastAsia="Tahoma" w:hAnsi="Tahoma" w:cs="Tahoma"/>
      </w:rPr>
    </w:pPr>
    <w:r>
      <w:drawing>
        <wp:anchor distT="0" distB="0" distL="114300" distR="114300" simplePos="0" relativeHeight="251658240" behindDoc="0" locked="0" layoutInCell="1" hidden="0" allowOverlap="1" wp14:anchorId="126564C0" wp14:editId="56D6C67B">
          <wp:simplePos x="0" y="0"/>
          <wp:positionH relativeFrom="column">
            <wp:posOffset>764</wp:posOffset>
          </wp:positionH>
          <wp:positionV relativeFrom="paragraph">
            <wp:posOffset>693</wp:posOffset>
          </wp:positionV>
          <wp:extent cx="1396800" cy="47880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153E2250" w14:textId="77777777" w:rsidR="00D824D3" w:rsidRDefault="00B63B5B">
    <w:pPr>
      <w:pBdr>
        <w:top w:val="nil"/>
        <w:left w:val="nil"/>
        <w:bottom w:val="nil"/>
        <w:right w:val="nil"/>
        <w:between w:val="nil"/>
      </w:pBdr>
      <w:tabs>
        <w:tab w:val="center" w:pos="4536"/>
        <w:tab w:val="right" w:pos="9072"/>
        <w:tab w:val="left" w:pos="785"/>
      </w:tabs>
      <w:spacing w:after="0" w:line="240" w:lineRule="auto"/>
      <w:jc w:val="right"/>
      <w:rPr>
        <w:b/>
        <w:color w:val="808080"/>
        <w:sz w:val="28"/>
        <w:szCs w:val="28"/>
        <w:rFonts w:ascii="Tahoma" w:eastAsia="Tahoma" w:hAnsi="Tahoma" w:cs="Tahoma"/>
      </w:rPr>
    </w:pPr>
    <w:r>
      <w:rPr>
        <w:b/>
        <w:color w:val="808080"/>
        <w:sz w:val="28"/>
        <w:rFonts w:ascii="Tahoma" w:hAnsi="Tahoma"/>
      </w:rPr>
      <w:t xml:space="preserve">Press release</w:t>
    </w:r>
  </w:p>
  <w:p w14:paraId="0BB711A9" w14:textId="77777777" w:rsidR="00D824D3" w:rsidRDefault="00D824D3">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C13"/>
    <w:multiLevelType w:val="hybridMultilevel"/>
    <w:tmpl w:val="14FEC7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BB07B9"/>
    <w:multiLevelType w:val="hybridMultilevel"/>
    <w:tmpl w:val="FFAAB1F4"/>
    <w:lvl w:ilvl="0" w:tplc="4C107D68">
      <w:start w:val="1"/>
      <w:numFmt w:val="bullet"/>
      <w:lvlText w:val=""/>
      <w:lvlJc w:val="left"/>
      <w:pPr>
        <w:ind w:left="720" w:hanging="360"/>
      </w:pPr>
      <w:rPr>
        <w:rFonts w:ascii="Wingdings" w:hAnsi="Wingdings" w:hint="default"/>
        <w:color w:val="F2B8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51F2D"/>
    <w:multiLevelType w:val="hybridMultilevel"/>
    <w:tmpl w:val="70F6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45467660">
    <w:abstractNumId w:val="1"/>
  </w:num>
  <w:num w:numId="2" w16cid:durableId="1547525273">
    <w:abstractNumId w:val="7"/>
  </w:num>
  <w:num w:numId="3" w16cid:durableId="1196965386">
    <w:abstractNumId w:val="3"/>
  </w:num>
  <w:num w:numId="4" w16cid:durableId="1619530281">
    <w:abstractNumId w:val="4"/>
  </w:num>
  <w:num w:numId="5" w16cid:durableId="110520937">
    <w:abstractNumId w:val="6"/>
  </w:num>
  <w:num w:numId="6" w16cid:durableId="1049841346">
    <w:abstractNumId w:val="2"/>
  </w:num>
  <w:num w:numId="7" w16cid:durableId="1890919454">
    <w:abstractNumId w:val="5"/>
  </w:num>
  <w:num w:numId="8" w16cid:durableId="18757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zExNDE2MzQzN7dQ0lEKTi0uzszPAykwqwUAbkU7biwAAAA="/>
  </w:docVars>
  <w:rsids>
    <w:rsidRoot w:val="00D824D3"/>
    <w:rsid w:val="0000116D"/>
    <w:rsid w:val="00002FA2"/>
    <w:rsid w:val="00005901"/>
    <w:rsid w:val="0001222E"/>
    <w:rsid w:val="000150C1"/>
    <w:rsid w:val="0001727E"/>
    <w:rsid w:val="00027A52"/>
    <w:rsid w:val="00032F3D"/>
    <w:rsid w:val="00033E4A"/>
    <w:rsid w:val="00033EEE"/>
    <w:rsid w:val="0003691C"/>
    <w:rsid w:val="00044B01"/>
    <w:rsid w:val="000471E4"/>
    <w:rsid w:val="00053E58"/>
    <w:rsid w:val="00054A5D"/>
    <w:rsid w:val="00055A89"/>
    <w:rsid w:val="000602EE"/>
    <w:rsid w:val="00061B68"/>
    <w:rsid w:val="00061F85"/>
    <w:rsid w:val="0006314F"/>
    <w:rsid w:val="000644F6"/>
    <w:rsid w:val="000700C2"/>
    <w:rsid w:val="00083EB2"/>
    <w:rsid w:val="0008411D"/>
    <w:rsid w:val="00084D2C"/>
    <w:rsid w:val="00084DAA"/>
    <w:rsid w:val="000908AD"/>
    <w:rsid w:val="0009261F"/>
    <w:rsid w:val="000935B7"/>
    <w:rsid w:val="00093C5B"/>
    <w:rsid w:val="00094318"/>
    <w:rsid w:val="00096E60"/>
    <w:rsid w:val="000A0D19"/>
    <w:rsid w:val="000A29DB"/>
    <w:rsid w:val="000A4C94"/>
    <w:rsid w:val="000B0FF0"/>
    <w:rsid w:val="000B38FA"/>
    <w:rsid w:val="000B4EAD"/>
    <w:rsid w:val="000B570C"/>
    <w:rsid w:val="000B7985"/>
    <w:rsid w:val="000C0857"/>
    <w:rsid w:val="000C5745"/>
    <w:rsid w:val="000C60FB"/>
    <w:rsid w:val="000D4CA2"/>
    <w:rsid w:val="000D51F1"/>
    <w:rsid w:val="000D6166"/>
    <w:rsid w:val="000E47D5"/>
    <w:rsid w:val="000E4D10"/>
    <w:rsid w:val="000E5514"/>
    <w:rsid w:val="000F4163"/>
    <w:rsid w:val="000F478F"/>
    <w:rsid w:val="000F734A"/>
    <w:rsid w:val="000F7CDD"/>
    <w:rsid w:val="00103FBA"/>
    <w:rsid w:val="00106347"/>
    <w:rsid w:val="00120F42"/>
    <w:rsid w:val="00121797"/>
    <w:rsid w:val="00125739"/>
    <w:rsid w:val="0012600E"/>
    <w:rsid w:val="00126677"/>
    <w:rsid w:val="00131EA2"/>
    <w:rsid w:val="00135A1E"/>
    <w:rsid w:val="001378BE"/>
    <w:rsid w:val="001415FC"/>
    <w:rsid w:val="00144AEB"/>
    <w:rsid w:val="00147473"/>
    <w:rsid w:val="0015239C"/>
    <w:rsid w:val="00154463"/>
    <w:rsid w:val="00154AF9"/>
    <w:rsid w:val="00164288"/>
    <w:rsid w:val="001652FF"/>
    <w:rsid w:val="0016660D"/>
    <w:rsid w:val="00171E71"/>
    <w:rsid w:val="00176796"/>
    <w:rsid w:val="00176B23"/>
    <w:rsid w:val="00177F03"/>
    <w:rsid w:val="00180DCA"/>
    <w:rsid w:val="00183716"/>
    <w:rsid w:val="00184033"/>
    <w:rsid w:val="00184B5B"/>
    <w:rsid w:val="00185CBD"/>
    <w:rsid w:val="0019013E"/>
    <w:rsid w:val="001906A3"/>
    <w:rsid w:val="00191813"/>
    <w:rsid w:val="00192F14"/>
    <w:rsid w:val="00193800"/>
    <w:rsid w:val="00196E4D"/>
    <w:rsid w:val="001A13BD"/>
    <w:rsid w:val="001A4444"/>
    <w:rsid w:val="001A4687"/>
    <w:rsid w:val="001A5E03"/>
    <w:rsid w:val="001B18F8"/>
    <w:rsid w:val="001B3A88"/>
    <w:rsid w:val="001B53AC"/>
    <w:rsid w:val="001C6BED"/>
    <w:rsid w:val="001C78CD"/>
    <w:rsid w:val="001D1508"/>
    <w:rsid w:val="001D3BBF"/>
    <w:rsid w:val="001D6D47"/>
    <w:rsid w:val="001E0365"/>
    <w:rsid w:val="001E2FCE"/>
    <w:rsid w:val="001E3718"/>
    <w:rsid w:val="001E4912"/>
    <w:rsid w:val="001E5D2F"/>
    <w:rsid w:val="001E5F16"/>
    <w:rsid w:val="001E6465"/>
    <w:rsid w:val="001E655D"/>
    <w:rsid w:val="001F3AC1"/>
    <w:rsid w:val="001F3B78"/>
    <w:rsid w:val="001F4EF1"/>
    <w:rsid w:val="001F540C"/>
    <w:rsid w:val="00200282"/>
    <w:rsid w:val="002048CC"/>
    <w:rsid w:val="00205C0B"/>
    <w:rsid w:val="00207D56"/>
    <w:rsid w:val="00210B3A"/>
    <w:rsid w:val="00210B70"/>
    <w:rsid w:val="0021267C"/>
    <w:rsid w:val="0022070B"/>
    <w:rsid w:val="002332A6"/>
    <w:rsid w:val="00234145"/>
    <w:rsid w:val="00235BCA"/>
    <w:rsid w:val="00236736"/>
    <w:rsid w:val="0023777F"/>
    <w:rsid w:val="00241059"/>
    <w:rsid w:val="002431E6"/>
    <w:rsid w:val="00244B52"/>
    <w:rsid w:val="002451CA"/>
    <w:rsid w:val="00246369"/>
    <w:rsid w:val="00247108"/>
    <w:rsid w:val="002474B8"/>
    <w:rsid w:val="002560E2"/>
    <w:rsid w:val="002572B2"/>
    <w:rsid w:val="0026041E"/>
    <w:rsid w:val="002606E5"/>
    <w:rsid w:val="0026199D"/>
    <w:rsid w:val="002638F3"/>
    <w:rsid w:val="002666B2"/>
    <w:rsid w:val="00270259"/>
    <w:rsid w:val="002705D2"/>
    <w:rsid w:val="00271E13"/>
    <w:rsid w:val="00276417"/>
    <w:rsid w:val="00277101"/>
    <w:rsid w:val="002773EE"/>
    <w:rsid w:val="002831E6"/>
    <w:rsid w:val="00286464"/>
    <w:rsid w:val="00287756"/>
    <w:rsid w:val="00291889"/>
    <w:rsid w:val="002925D8"/>
    <w:rsid w:val="0029747F"/>
    <w:rsid w:val="002A381C"/>
    <w:rsid w:val="002A5397"/>
    <w:rsid w:val="002A572C"/>
    <w:rsid w:val="002A6649"/>
    <w:rsid w:val="002A6AC8"/>
    <w:rsid w:val="002A6E36"/>
    <w:rsid w:val="002B24AA"/>
    <w:rsid w:val="002B2FB1"/>
    <w:rsid w:val="002B47CE"/>
    <w:rsid w:val="002B6F72"/>
    <w:rsid w:val="002C0A13"/>
    <w:rsid w:val="002C4D36"/>
    <w:rsid w:val="002C6B44"/>
    <w:rsid w:val="002C71F2"/>
    <w:rsid w:val="002C72FF"/>
    <w:rsid w:val="002D0A73"/>
    <w:rsid w:val="002E348B"/>
    <w:rsid w:val="002E4678"/>
    <w:rsid w:val="002E4732"/>
    <w:rsid w:val="002F2A15"/>
    <w:rsid w:val="002F35F7"/>
    <w:rsid w:val="003023A0"/>
    <w:rsid w:val="0030310D"/>
    <w:rsid w:val="0030628A"/>
    <w:rsid w:val="00310980"/>
    <w:rsid w:val="00312C4B"/>
    <w:rsid w:val="00314819"/>
    <w:rsid w:val="0031612E"/>
    <w:rsid w:val="00323D83"/>
    <w:rsid w:val="003242A3"/>
    <w:rsid w:val="00330315"/>
    <w:rsid w:val="00330932"/>
    <w:rsid w:val="00335E0E"/>
    <w:rsid w:val="003371B4"/>
    <w:rsid w:val="00337C34"/>
    <w:rsid w:val="00337F4C"/>
    <w:rsid w:val="003413EC"/>
    <w:rsid w:val="00343F41"/>
    <w:rsid w:val="00352719"/>
    <w:rsid w:val="00356480"/>
    <w:rsid w:val="00360B0E"/>
    <w:rsid w:val="003615FB"/>
    <w:rsid w:val="003711C0"/>
    <w:rsid w:val="003734D3"/>
    <w:rsid w:val="00374264"/>
    <w:rsid w:val="00375A37"/>
    <w:rsid w:val="00377098"/>
    <w:rsid w:val="00380BE2"/>
    <w:rsid w:val="00382683"/>
    <w:rsid w:val="0038295F"/>
    <w:rsid w:val="00383BB6"/>
    <w:rsid w:val="00384766"/>
    <w:rsid w:val="0038504E"/>
    <w:rsid w:val="003858D5"/>
    <w:rsid w:val="00392AC2"/>
    <w:rsid w:val="00395C6C"/>
    <w:rsid w:val="003A0B81"/>
    <w:rsid w:val="003A74B7"/>
    <w:rsid w:val="003B2692"/>
    <w:rsid w:val="003B3277"/>
    <w:rsid w:val="003C0EF3"/>
    <w:rsid w:val="003C2CDF"/>
    <w:rsid w:val="003C6385"/>
    <w:rsid w:val="003C69DD"/>
    <w:rsid w:val="003C6FEF"/>
    <w:rsid w:val="003D46A5"/>
    <w:rsid w:val="003D4B50"/>
    <w:rsid w:val="003D66BD"/>
    <w:rsid w:val="003E1C5E"/>
    <w:rsid w:val="003E4795"/>
    <w:rsid w:val="003F0366"/>
    <w:rsid w:val="003F479C"/>
    <w:rsid w:val="00403252"/>
    <w:rsid w:val="00406D9D"/>
    <w:rsid w:val="004151F3"/>
    <w:rsid w:val="00417A3F"/>
    <w:rsid w:val="0042081D"/>
    <w:rsid w:val="004226D7"/>
    <w:rsid w:val="00423508"/>
    <w:rsid w:val="00424ADA"/>
    <w:rsid w:val="00426430"/>
    <w:rsid w:val="0043204F"/>
    <w:rsid w:val="0044439A"/>
    <w:rsid w:val="00447762"/>
    <w:rsid w:val="00450B7A"/>
    <w:rsid w:val="004510B2"/>
    <w:rsid w:val="00452E75"/>
    <w:rsid w:val="00453309"/>
    <w:rsid w:val="00455F8B"/>
    <w:rsid w:val="00456535"/>
    <w:rsid w:val="00456A67"/>
    <w:rsid w:val="004572A8"/>
    <w:rsid w:val="004609BE"/>
    <w:rsid w:val="0046106B"/>
    <w:rsid w:val="00463013"/>
    <w:rsid w:val="00463ABF"/>
    <w:rsid w:val="00463DBB"/>
    <w:rsid w:val="00464544"/>
    <w:rsid w:val="00467362"/>
    <w:rsid w:val="00467924"/>
    <w:rsid w:val="00471B82"/>
    <w:rsid w:val="004735DF"/>
    <w:rsid w:val="004763AA"/>
    <w:rsid w:val="00486407"/>
    <w:rsid w:val="00493212"/>
    <w:rsid w:val="004A002F"/>
    <w:rsid w:val="004A25A7"/>
    <w:rsid w:val="004A417F"/>
    <w:rsid w:val="004A4455"/>
    <w:rsid w:val="004B19B6"/>
    <w:rsid w:val="004B4F60"/>
    <w:rsid w:val="004C1457"/>
    <w:rsid w:val="004C2725"/>
    <w:rsid w:val="004D0CC7"/>
    <w:rsid w:val="004D1903"/>
    <w:rsid w:val="004D5354"/>
    <w:rsid w:val="004D578B"/>
    <w:rsid w:val="004D57DB"/>
    <w:rsid w:val="004D5A7C"/>
    <w:rsid w:val="004D6574"/>
    <w:rsid w:val="004D7BB2"/>
    <w:rsid w:val="004E039F"/>
    <w:rsid w:val="004E053D"/>
    <w:rsid w:val="004E25E2"/>
    <w:rsid w:val="004E3670"/>
    <w:rsid w:val="004E3BF3"/>
    <w:rsid w:val="004E4375"/>
    <w:rsid w:val="004E514D"/>
    <w:rsid w:val="004E664B"/>
    <w:rsid w:val="004E7219"/>
    <w:rsid w:val="004E7872"/>
    <w:rsid w:val="004F37E5"/>
    <w:rsid w:val="004F5F2B"/>
    <w:rsid w:val="004F656D"/>
    <w:rsid w:val="004F76E3"/>
    <w:rsid w:val="0050050B"/>
    <w:rsid w:val="0050128F"/>
    <w:rsid w:val="005030B7"/>
    <w:rsid w:val="005106E9"/>
    <w:rsid w:val="00513957"/>
    <w:rsid w:val="0051554F"/>
    <w:rsid w:val="005170F0"/>
    <w:rsid w:val="00517459"/>
    <w:rsid w:val="00522CB9"/>
    <w:rsid w:val="00523279"/>
    <w:rsid w:val="0052392A"/>
    <w:rsid w:val="00523965"/>
    <w:rsid w:val="005319A4"/>
    <w:rsid w:val="0053398D"/>
    <w:rsid w:val="0053503C"/>
    <w:rsid w:val="005403F2"/>
    <w:rsid w:val="00543269"/>
    <w:rsid w:val="00544A7C"/>
    <w:rsid w:val="005471D5"/>
    <w:rsid w:val="0055003D"/>
    <w:rsid w:val="00551364"/>
    <w:rsid w:val="005525D3"/>
    <w:rsid w:val="00552AF7"/>
    <w:rsid w:val="00553801"/>
    <w:rsid w:val="005539C6"/>
    <w:rsid w:val="00553A39"/>
    <w:rsid w:val="00553D50"/>
    <w:rsid w:val="00556C60"/>
    <w:rsid w:val="0056066B"/>
    <w:rsid w:val="005623F5"/>
    <w:rsid w:val="00562455"/>
    <w:rsid w:val="0056314F"/>
    <w:rsid w:val="00563A0B"/>
    <w:rsid w:val="005717E9"/>
    <w:rsid w:val="005743C9"/>
    <w:rsid w:val="00574EC5"/>
    <w:rsid w:val="0058424C"/>
    <w:rsid w:val="00584EAB"/>
    <w:rsid w:val="005863A7"/>
    <w:rsid w:val="00593626"/>
    <w:rsid w:val="0059770F"/>
    <w:rsid w:val="00597B7F"/>
    <w:rsid w:val="005A5043"/>
    <w:rsid w:val="005B039B"/>
    <w:rsid w:val="005B155B"/>
    <w:rsid w:val="005B248C"/>
    <w:rsid w:val="005B3CF6"/>
    <w:rsid w:val="005B5026"/>
    <w:rsid w:val="005C07AB"/>
    <w:rsid w:val="005C58F7"/>
    <w:rsid w:val="005C7276"/>
    <w:rsid w:val="005C7F06"/>
    <w:rsid w:val="005D25D3"/>
    <w:rsid w:val="005D7C59"/>
    <w:rsid w:val="005E0107"/>
    <w:rsid w:val="005E090C"/>
    <w:rsid w:val="005E2831"/>
    <w:rsid w:val="005E4881"/>
    <w:rsid w:val="005F1CF1"/>
    <w:rsid w:val="005F3B41"/>
    <w:rsid w:val="005F4BD2"/>
    <w:rsid w:val="005F65B4"/>
    <w:rsid w:val="005F6802"/>
    <w:rsid w:val="005F6D3C"/>
    <w:rsid w:val="005F75ED"/>
    <w:rsid w:val="005F7CFF"/>
    <w:rsid w:val="0060394A"/>
    <w:rsid w:val="00607CC8"/>
    <w:rsid w:val="00610F49"/>
    <w:rsid w:val="00611BD0"/>
    <w:rsid w:val="006137A4"/>
    <w:rsid w:val="00615980"/>
    <w:rsid w:val="006217C8"/>
    <w:rsid w:val="006221EC"/>
    <w:rsid w:val="00624E80"/>
    <w:rsid w:val="006273F5"/>
    <w:rsid w:val="00633416"/>
    <w:rsid w:val="006335D0"/>
    <w:rsid w:val="00634818"/>
    <w:rsid w:val="00636727"/>
    <w:rsid w:val="00636F6F"/>
    <w:rsid w:val="0064310D"/>
    <w:rsid w:val="00650F76"/>
    <w:rsid w:val="006511B1"/>
    <w:rsid w:val="006514B7"/>
    <w:rsid w:val="00651C6F"/>
    <w:rsid w:val="00652414"/>
    <w:rsid w:val="00653204"/>
    <w:rsid w:val="00654549"/>
    <w:rsid w:val="00660924"/>
    <w:rsid w:val="00660A27"/>
    <w:rsid w:val="00661489"/>
    <w:rsid w:val="00661E49"/>
    <w:rsid w:val="00662B0E"/>
    <w:rsid w:val="00664FA5"/>
    <w:rsid w:val="00665EE0"/>
    <w:rsid w:val="006670FF"/>
    <w:rsid w:val="00670D44"/>
    <w:rsid w:val="006750BF"/>
    <w:rsid w:val="0067655C"/>
    <w:rsid w:val="00684AEF"/>
    <w:rsid w:val="00685FB2"/>
    <w:rsid w:val="006908D3"/>
    <w:rsid w:val="00691304"/>
    <w:rsid w:val="006913B6"/>
    <w:rsid w:val="00693AAB"/>
    <w:rsid w:val="006943AF"/>
    <w:rsid w:val="006A0045"/>
    <w:rsid w:val="006A1C56"/>
    <w:rsid w:val="006B12A4"/>
    <w:rsid w:val="006B342C"/>
    <w:rsid w:val="006B4024"/>
    <w:rsid w:val="006B4545"/>
    <w:rsid w:val="006B4A0C"/>
    <w:rsid w:val="006B4EE8"/>
    <w:rsid w:val="006B683D"/>
    <w:rsid w:val="006B7429"/>
    <w:rsid w:val="006C0560"/>
    <w:rsid w:val="006C6E94"/>
    <w:rsid w:val="006D060D"/>
    <w:rsid w:val="006D1428"/>
    <w:rsid w:val="006D5288"/>
    <w:rsid w:val="006D546B"/>
    <w:rsid w:val="006D640A"/>
    <w:rsid w:val="006D721C"/>
    <w:rsid w:val="006E130B"/>
    <w:rsid w:val="006E238E"/>
    <w:rsid w:val="006E566D"/>
    <w:rsid w:val="006E5944"/>
    <w:rsid w:val="006E61C6"/>
    <w:rsid w:val="006E716B"/>
    <w:rsid w:val="006F30C5"/>
    <w:rsid w:val="006F3828"/>
    <w:rsid w:val="006F3FA9"/>
    <w:rsid w:val="007012C0"/>
    <w:rsid w:val="00702E01"/>
    <w:rsid w:val="00703F19"/>
    <w:rsid w:val="007044C2"/>
    <w:rsid w:val="00704F7D"/>
    <w:rsid w:val="00705048"/>
    <w:rsid w:val="007065F1"/>
    <w:rsid w:val="00707906"/>
    <w:rsid w:val="0071028C"/>
    <w:rsid w:val="00710618"/>
    <w:rsid w:val="00710E33"/>
    <w:rsid w:val="00712B2C"/>
    <w:rsid w:val="007143D6"/>
    <w:rsid w:val="007157E1"/>
    <w:rsid w:val="007172F7"/>
    <w:rsid w:val="00717A8C"/>
    <w:rsid w:val="00725A96"/>
    <w:rsid w:val="00726BDF"/>
    <w:rsid w:val="00734DF8"/>
    <w:rsid w:val="007426FD"/>
    <w:rsid w:val="007429FA"/>
    <w:rsid w:val="00744CE7"/>
    <w:rsid w:val="00745755"/>
    <w:rsid w:val="00747599"/>
    <w:rsid w:val="00756852"/>
    <w:rsid w:val="00762BB9"/>
    <w:rsid w:val="007659C0"/>
    <w:rsid w:val="00770099"/>
    <w:rsid w:val="00770BC3"/>
    <w:rsid w:val="007724D1"/>
    <w:rsid w:val="00775CAB"/>
    <w:rsid w:val="0077747E"/>
    <w:rsid w:val="00777A92"/>
    <w:rsid w:val="00786715"/>
    <w:rsid w:val="00794031"/>
    <w:rsid w:val="007961EB"/>
    <w:rsid w:val="007A6067"/>
    <w:rsid w:val="007A64CD"/>
    <w:rsid w:val="007B3A76"/>
    <w:rsid w:val="007B4EE7"/>
    <w:rsid w:val="007C3807"/>
    <w:rsid w:val="007C69AF"/>
    <w:rsid w:val="007C6D66"/>
    <w:rsid w:val="007C79AA"/>
    <w:rsid w:val="007D043C"/>
    <w:rsid w:val="007D1D38"/>
    <w:rsid w:val="007D2158"/>
    <w:rsid w:val="007D3A36"/>
    <w:rsid w:val="007D5978"/>
    <w:rsid w:val="007D6975"/>
    <w:rsid w:val="007D7046"/>
    <w:rsid w:val="007D790E"/>
    <w:rsid w:val="007D7917"/>
    <w:rsid w:val="007E19BC"/>
    <w:rsid w:val="007E21D6"/>
    <w:rsid w:val="007F0AAC"/>
    <w:rsid w:val="007F4369"/>
    <w:rsid w:val="007F54CB"/>
    <w:rsid w:val="007F775D"/>
    <w:rsid w:val="00803A9E"/>
    <w:rsid w:val="00804DC5"/>
    <w:rsid w:val="00806358"/>
    <w:rsid w:val="00806625"/>
    <w:rsid w:val="008071F7"/>
    <w:rsid w:val="0080729F"/>
    <w:rsid w:val="00807471"/>
    <w:rsid w:val="00807C4C"/>
    <w:rsid w:val="00810CB0"/>
    <w:rsid w:val="00811901"/>
    <w:rsid w:val="00813D55"/>
    <w:rsid w:val="00815619"/>
    <w:rsid w:val="00815E45"/>
    <w:rsid w:val="008166BC"/>
    <w:rsid w:val="008173DE"/>
    <w:rsid w:val="008230DA"/>
    <w:rsid w:val="00824271"/>
    <w:rsid w:val="0082528E"/>
    <w:rsid w:val="00825812"/>
    <w:rsid w:val="00825FA7"/>
    <w:rsid w:val="008300BE"/>
    <w:rsid w:val="008373EA"/>
    <w:rsid w:val="00840917"/>
    <w:rsid w:val="00841029"/>
    <w:rsid w:val="00844C52"/>
    <w:rsid w:val="00850178"/>
    <w:rsid w:val="00850757"/>
    <w:rsid w:val="0085210D"/>
    <w:rsid w:val="00854BFF"/>
    <w:rsid w:val="00854FCC"/>
    <w:rsid w:val="0086463D"/>
    <w:rsid w:val="00864650"/>
    <w:rsid w:val="00867B13"/>
    <w:rsid w:val="0087155D"/>
    <w:rsid w:val="00871CAB"/>
    <w:rsid w:val="00875D93"/>
    <w:rsid w:val="00887135"/>
    <w:rsid w:val="00890BCD"/>
    <w:rsid w:val="00893D6E"/>
    <w:rsid w:val="00895F6D"/>
    <w:rsid w:val="008A0044"/>
    <w:rsid w:val="008A1549"/>
    <w:rsid w:val="008A32BF"/>
    <w:rsid w:val="008A6A8C"/>
    <w:rsid w:val="008B17C9"/>
    <w:rsid w:val="008B19CA"/>
    <w:rsid w:val="008B1D6D"/>
    <w:rsid w:val="008C2D2B"/>
    <w:rsid w:val="008C3396"/>
    <w:rsid w:val="008C3407"/>
    <w:rsid w:val="008D3344"/>
    <w:rsid w:val="008D3B53"/>
    <w:rsid w:val="008D6295"/>
    <w:rsid w:val="008D7459"/>
    <w:rsid w:val="008E179B"/>
    <w:rsid w:val="008E49DC"/>
    <w:rsid w:val="008E5974"/>
    <w:rsid w:val="008F03FB"/>
    <w:rsid w:val="008F0F82"/>
    <w:rsid w:val="008F1258"/>
    <w:rsid w:val="008F2928"/>
    <w:rsid w:val="008F47AB"/>
    <w:rsid w:val="008F662C"/>
    <w:rsid w:val="009004D4"/>
    <w:rsid w:val="00903035"/>
    <w:rsid w:val="0090320E"/>
    <w:rsid w:val="00904BD3"/>
    <w:rsid w:val="009060CB"/>
    <w:rsid w:val="00917E35"/>
    <w:rsid w:val="00917F22"/>
    <w:rsid w:val="00926AB4"/>
    <w:rsid w:val="00934956"/>
    <w:rsid w:val="00934D02"/>
    <w:rsid w:val="00934E3C"/>
    <w:rsid w:val="00935CAC"/>
    <w:rsid w:val="009412FA"/>
    <w:rsid w:val="009423FC"/>
    <w:rsid w:val="009440A3"/>
    <w:rsid w:val="00950989"/>
    <w:rsid w:val="00950CD1"/>
    <w:rsid w:val="00953058"/>
    <w:rsid w:val="00954753"/>
    <w:rsid w:val="0095559D"/>
    <w:rsid w:val="00976C6C"/>
    <w:rsid w:val="00980272"/>
    <w:rsid w:val="00985437"/>
    <w:rsid w:val="00985A8D"/>
    <w:rsid w:val="00985D5B"/>
    <w:rsid w:val="00986024"/>
    <w:rsid w:val="0099010B"/>
    <w:rsid w:val="0099089D"/>
    <w:rsid w:val="00990A62"/>
    <w:rsid w:val="009923E1"/>
    <w:rsid w:val="009934D7"/>
    <w:rsid w:val="009966F7"/>
    <w:rsid w:val="009A0BA1"/>
    <w:rsid w:val="009A1252"/>
    <w:rsid w:val="009A2A41"/>
    <w:rsid w:val="009A6A6A"/>
    <w:rsid w:val="009B023E"/>
    <w:rsid w:val="009B24AE"/>
    <w:rsid w:val="009B5EAF"/>
    <w:rsid w:val="009B7B45"/>
    <w:rsid w:val="009C59A0"/>
    <w:rsid w:val="009C79F3"/>
    <w:rsid w:val="009C7D4A"/>
    <w:rsid w:val="009C7EB1"/>
    <w:rsid w:val="009D744F"/>
    <w:rsid w:val="009E0330"/>
    <w:rsid w:val="009E154C"/>
    <w:rsid w:val="009E34F6"/>
    <w:rsid w:val="009E4C4D"/>
    <w:rsid w:val="009F768E"/>
    <w:rsid w:val="00A01C61"/>
    <w:rsid w:val="00A04962"/>
    <w:rsid w:val="00A04EE4"/>
    <w:rsid w:val="00A10619"/>
    <w:rsid w:val="00A11950"/>
    <w:rsid w:val="00A13CA8"/>
    <w:rsid w:val="00A242D0"/>
    <w:rsid w:val="00A2774D"/>
    <w:rsid w:val="00A30799"/>
    <w:rsid w:val="00A3377D"/>
    <w:rsid w:val="00A356C3"/>
    <w:rsid w:val="00A405AF"/>
    <w:rsid w:val="00A40E99"/>
    <w:rsid w:val="00A427E8"/>
    <w:rsid w:val="00A508CB"/>
    <w:rsid w:val="00A542E3"/>
    <w:rsid w:val="00A56E7C"/>
    <w:rsid w:val="00A66652"/>
    <w:rsid w:val="00A67FDE"/>
    <w:rsid w:val="00A70255"/>
    <w:rsid w:val="00A75A99"/>
    <w:rsid w:val="00A85A81"/>
    <w:rsid w:val="00A91984"/>
    <w:rsid w:val="00A9414D"/>
    <w:rsid w:val="00A94DDE"/>
    <w:rsid w:val="00A95921"/>
    <w:rsid w:val="00A96B52"/>
    <w:rsid w:val="00AA6CD3"/>
    <w:rsid w:val="00AA6F3B"/>
    <w:rsid w:val="00AB0617"/>
    <w:rsid w:val="00AB0BC8"/>
    <w:rsid w:val="00AB123B"/>
    <w:rsid w:val="00AB2D79"/>
    <w:rsid w:val="00AB2DD9"/>
    <w:rsid w:val="00AB3C2E"/>
    <w:rsid w:val="00AB5794"/>
    <w:rsid w:val="00AB7F77"/>
    <w:rsid w:val="00AC4603"/>
    <w:rsid w:val="00AC6E6F"/>
    <w:rsid w:val="00AD1935"/>
    <w:rsid w:val="00AD1A09"/>
    <w:rsid w:val="00AD718C"/>
    <w:rsid w:val="00AD7834"/>
    <w:rsid w:val="00AD7A82"/>
    <w:rsid w:val="00AE43FD"/>
    <w:rsid w:val="00AE4646"/>
    <w:rsid w:val="00AE7510"/>
    <w:rsid w:val="00AF215D"/>
    <w:rsid w:val="00AF4889"/>
    <w:rsid w:val="00B011E4"/>
    <w:rsid w:val="00B03683"/>
    <w:rsid w:val="00B10C28"/>
    <w:rsid w:val="00B11EAE"/>
    <w:rsid w:val="00B133ED"/>
    <w:rsid w:val="00B14F86"/>
    <w:rsid w:val="00B24049"/>
    <w:rsid w:val="00B2487A"/>
    <w:rsid w:val="00B31685"/>
    <w:rsid w:val="00B335BA"/>
    <w:rsid w:val="00B36AEC"/>
    <w:rsid w:val="00B37B89"/>
    <w:rsid w:val="00B40E99"/>
    <w:rsid w:val="00B45602"/>
    <w:rsid w:val="00B47F50"/>
    <w:rsid w:val="00B50CA0"/>
    <w:rsid w:val="00B51181"/>
    <w:rsid w:val="00B51709"/>
    <w:rsid w:val="00B5735A"/>
    <w:rsid w:val="00B60995"/>
    <w:rsid w:val="00B63B5B"/>
    <w:rsid w:val="00B669D5"/>
    <w:rsid w:val="00B72AF4"/>
    <w:rsid w:val="00B7408F"/>
    <w:rsid w:val="00B763A5"/>
    <w:rsid w:val="00B76DEA"/>
    <w:rsid w:val="00B83ABC"/>
    <w:rsid w:val="00B83EAA"/>
    <w:rsid w:val="00B84905"/>
    <w:rsid w:val="00B855F5"/>
    <w:rsid w:val="00B8647C"/>
    <w:rsid w:val="00B86B9D"/>
    <w:rsid w:val="00B90474"/>
    <w:rsid w:val="00B94D5E"/>
    <w:rsid w:val="00B952FE"/>
    <w:rsid w:val="00B96C47"/>
    <w:rsid w:val="00BA3215"/>
    <w:rsid w:val="00BA620A"/>
    <w:rsid w:val="00BB20C3"/>
    <w:rsid w:val="00BB37BF"/>
    <w:rsid w:val="00BB5EFD"/>
    <w:rsid w:val="00BB6BF7"/>
    <w:rsid w:val="00BC3261"/>
    <w:rsid w:val="00BD0353"/>
    <w:rsid w:val="00BD0F23"/>
    <w:rsid w:val="00BD24EB"/>
    <w:rsid w:val="00BD399A"/>
    <w:rsid w:val="00BD63C9"/>
    <w:rsid w:val="00BD708C"/>
    <w:rsid w:val="00BE0EAA"/>
    <w:rsid w:val="00BE0F4A"/>
    <w:rsid w:val="00BE1816"/>
    <w:rsid w:val="00BE194F"/>
    <w:rsid w:val="00BE35A8"/>
    <w:rsid w:val="00BE3FC4"/>
    <w:rsid w:val="00BE4E23"/>
    <w:rsid w:val="00BE7948"/>
    <w:rsid w:val="00BF116E"/>
    <w:rsid w:val="00BF1497"/>
    <w:rsid w:val="00BF1ADB"/>
    <w:rsid w:val="00BF2F6F"/>
    <w:rsid w:val="00BF549F"/>
    <w:rsid w:val="00BF55EE"/>
    <w:rsid w:val="00BF615C"/>
    <w:rsid w:val="00C02D68"/>
    <w:rsid w:val="00C040ED"/>
    <w:rsid w:val="00C050CB"/>
    <w:rsid w:val="00C06355"/>
    <w:rsid w:val="00C07082"/>
    <w:rsid w:val="00C07D71"/>
    <w:rsid w:val="00C07D7B"/>
    <w:rsid w:val="00C1161C"/>
    <w:rsid w:val="00C11B8B"/>
    <w:rsid w:val="00C12F0F"/>
    <w:rsid w:val="00C1552F"/>
    <w:rsid w:val="00C1683A"/>
    <w:rsid w:val="00C21BFC"/>
    <w:rsid w:val="00C220E3"/>
    <w:rsid w:val="00C22311"/>
    <w:rsid w:val="00C2526F"/>
    <w:rsid w:val="00C25482"/>
    <w:rsid w:val="00C2719B"/>
    <w:rsid w:val="00C3176E"/>
    <w:rsid w:val="00C32C83"/>
    <w:rsid w:val="00C41615"/>
    <w:rsid w:val="00C43084"/>
    <w:rsid w:val="00C44E46"/>
    <w:rsid w:val="00C45404"/>
    <w:rsid w:val="00C474FE"/>
    <w:rsid w:val="00C47A3A"/>
    <w:rsid w:val="00C47CAD"/>
    <w:rsid w:val="00C51318"/>
    <w:rsid w:val="00C51F92"/>
    <w:rsid w:val="00C55A9C"/>
    <w:rsid w:val="00C56073"/>
    <w:rsid w:val="00C611C9"/>
    <w:rsid w:val="00C6200A"/>
    <w:rsid w:val="00C66C0B"/>
    <w:rsid w:val="00C71D6B"/>
    <w:rsid w:val="00C743F6"/>
    <w:rsid w:val="00C745D0"/>
    <w:rsid w:val="00C808F2"/>
    <w:rsid w:val="00C81D11"/>
    <w:rsid w:val="00C81E1B"/>
    <w:rsid w:val="00C82D9C"/>
    <w:rsid w:val="00C83974"/>
    <w:rsid w:val="00C84E31"/>
    <w:rsid w:val="00C853EF"/>
    <w:rsid w:val="00C874E5"/>
    <w:rsid w:val="00C927B2"/>
    <w:rsid w:val="00C93FA1"/>
    <w:rsid w:val="00C96B2F"/>
    <w:rsid w:val="00CA1190"/>
    <w:rsid w:val="00CA4090"/>
    <w:rsid w:val="00CA7849"/>
    <w:rsid w:val="00CA7F9C"/>
    <w:rsid w:val="00CC47BA"/>
    <w:rsid w:val="00CC4B59"/>
    <w:rsid w:val="00CC52EC"/>
    <w:rsid w:val="00CD1EBE"/>
    <w:rsid w:val="00CD548E"/>
    <w:rsid w:val="00CD57DA"/>
    <w:rsid w:val="00CD799E"/>
    <w:rsid w:val="00CE063A"/>
    <w:rsid w:val="00CE1ED2"/>
    <w:rsid w:val="00CE292D"/>
    <w:rsid w:val="00CE45B6"/>
    <w:rsid w:val="00CF024B"/>
    <w:rsid w:val="00CF0586"/>
    <w:rsid w:val="00CF6EC9"/>
    <w:rsid w:val="00CF7BF1"/>
    <w:rsid w:val="00D02632"/>
    <w:rsid w:val="00D03B68"/>
    <w:rsid w:val="00D06C6B"/>
    <w:rsid w:val="00D07BAF"/>
    <w:rsid w:val="00D12E4F"/>
    <w:rsid w:val="00D136C3"/>
    <w:rsid w:val="00D156F0"/>
    <w:rsid w:val="00D22E38"/>
    <w:rsid w:val="00D23E56"/>
    <w:rsid w:val="00D2623A"/>
    <w:rsid w:val="00D265B4"/>
    <w:rsid w:val="00D31DC8"/>
    <w:rsid w:val="00D35BF0"/>
    <w:rsid w:val="00D40A41"/>
    <w:rsid w:val="00D41A04"/>
    <w:rsid w:val="00D4399C"/>
    <w:rsid w:val="00D46F70"/>
    <w:rsid w:val="00D473D3"/>
    <w:rsid w:val="00D47FF3"/>
    <w:rsid w:val="00D504A3"/>
    <w:rsid w:val="00D505B8"/>
    <w:rsid w:val="00D51161"/>
    <w:rsid w:val="00D5155E"/>
    <w:rsid w:val="00D51FBF"/>
    <w:rsid w:val="00D603CB"/>
    <w:rsid w:val="00D609D1"/>
    <w:rsid w:val="00D63EA5"/>
    <w:rsid w:val="00D65068"/>
    <w:rsid w:val="00D660C1"/>
    <w:rsid w:val="00D66FC2"/>
    <w:rsid w:val="00D67C64"/>
    <w:rsid w:val="00D67FAC"/>
    <w:rsid w:val="00D72565"/>
    <w:rsid w:val="00D74729"/>
    <w:rsid w:val="00D824D3"/>
    <w:rsid w:val="00D84A74"/>
    <w:rsid w:val="00D872A4"/>
    <w:rsid w:val="00D904EF"/>
    <w:rsid w:val="00D911F2"/>
    <w:rsid w:val="00D93DDA"/>
    <w:rsid w:val="00D93F38"/>
    <w:rsid w:val="00D942B1"/>
    <w:rsid w:val="00D96012"/>
    <w:rsid w:val="00DA12A6"/>
    <w:rsid w:val="00DA19CD"/>
    <w:rsid w:val="00DA6B76"/>
    <w:rsid w:val="00DB09FE"/>
    <w:rsid w:val="00DB1AAB"/>
    <w:rsid w:val="00DB59A3"/>
    <w:rsid w:val="00DC08D2"/>
    <w:rsid w:val="00DC48AE"/>
    <w:rsid w:val="00DC5519"/>
    <w:rsid w:val="00DD0598"/>
    <w:rsid w:val="00DD2632"/>
    <w:rsid w:val="00DD51A5"/>
    <w:rsid w:val="00DD5C87"/>
    <w:rsid w:val="00DD7855"/>
    <w:rsid w:val="00DE0B69"/>
    <w:rsid w:val="00DE23F2"/>
    <w:rsid w:val="00DE3B1D"/>
    <w:rsid w:val="00DE3C90"/>
    <w:rsid w:val="00DE3D22"/>
    <w:rsid w:val="00DE4D7D"/>
    <w:rsid w:val="00DE5AC6"/>
    <w:rsid w:val="00DF4A77"/>
    <w:rsid w:val="00DF554A"/>
    <w:rsid w:val="00DF6A22"/>
    <w:rsid w:val="00DF6F79"/>
    <w:rsid w:val="00DF7CA2"/>
    <w:rsid w:val="00E0076A"/>
    <w:rsid w:val="00E055AE"/>
    <w:rsid w:val="00E11DAD"/>
    <w:rsid w:val="00E122F1"/>
    <w:rsid w:val="00E12ADB"/>
    <w:rsid w:val="00E229C5"/>
    <w:rsid w:val="00E25398"/>
    <w:rsid w:val="00E25B72"/>
    <w:rsid w:val="00E31F2A"/>
    <w:rsid w:val="00E335F9"/>
    <w:rsid w:val="00E33BD7"/>
    <w:rsid w:val="00E45030"/>
    <w:rsid w:val="00E45930"/>
    <w:rsid w:val="00E50E54"/>
    <w:rsid w:val="00E52A46"/>
    <w:rsid w:val="00E5451A"/>
    <w:rsid w:val="00E54E6C"/>
    <w:rsid w:val="00E55A63"/>
    <w:rsid w:val="00E56278"/>
    <w:rsid w:val="00E56327"/>
    <w:rsid w:val="00E617F8"/>
    <w:rsid w:val="00E645EB"/>
    <w:rsid w:val="00E70471"/>
    <w:rsid w:val="00E7157F"/>
    <w:rsid w:val="00E71F38"/>
    <w:rsid w:val="00E762B6"/>
    <w:rsid w:val="00E808DB"/>
    <w:rsid w:val="00E80F4B"/>
    <w:rsid w:val="00E82BA3"/>
    <w:rsid w:val="00E83C60"/>
    <w:rsid w:val="00E8456B"/>
    <w:rsid w:val="00E90772"/>
    <w:rsid w:val="00E90EDE"/>
    <w:rsid w:val="00E92562"/>
    <w:rsid w:val="00E94DE1"/>
    <w:rsid w:val="00E95C5C"/>
    <w:rsid w:val="00E97B5F"/>
    <w:rsid w:val="00EA176A"/>
    <w:rsid w:val="00EA1A0A"/>
    <w:rsid w:val="00EA5DB3"/>
    <w:rsid w:val="00EB1D28"/>
    <w:rsid w:val="00EB1ECE"/>
    <w:rsid w:val="00EB2AA4"/>
    <w:rsid w:val="00EB40E2"/>
    <w:rsid w:val="00EC21EA"/>
    <w:rsid w:val="00EC76D5"/>
    <w:rsid w:val="00EE351F"/>
    <w:rsid w:val="00EE53F4"/>
    <w:rsid w:val="00EE667C"/>
    <w:rsid w:val="00EE6ED3"/>
    <w:rsid w:val="00EF0A90"/>
    <w:rsid w:val="00EF26DC"/>
    <w:rsid w:val="00EF28BA"/>
    <w:rsid w:val="00EF2D8F"/>
    <w:rsid w:val="00F00CA9"/>
    <w:rsid w:val="00F022D8"/>
    <w:rsid w:val="00F03ED2"/>
    <w:rsid w:val="00F04AEE"/>
    <w:rsid w:val="00F0573C"/>
    <w:rsid w:val="00F06A02"/>
    <w:rsid w:val="00F110BA"/>
    <w:rsid w:val="00F11899"/>
    <w:rsid w:val="00F122BB"/>
    <w:rsid w:val="00F140FF"/>
    <w:rsid w:val="00F156F3"/>
    <w:rsid w:val="00F16B5D"/>
    <w:rsid w:val="00F20985"/>
    <w:rsid w:val="00F2191E"/>
    <w:rsid w:val="00F21BA7"/>
    <w:rsid w:val="00F221C4"/>
    <w:rsid w:val="00F243DA"/>
    <w:rsid w:val="00F26121"/>
    <w:rsid w:val="00F30C90"/>
    <w:rsid w:val="00F35A29"/>
    <w:rsid w:val="00F41795"/>
    <w:rsid w:val="00F450AF"/>
    <w:rsid w:val="00F47FCC"/>
    <w:rsid w:val="00F50280"/>
    <w:rsid w:val="00F56A92"/>
    <w:rsid w:val="00F57825"/>
    <w:rsid w:val="00F61211"/>
    <w:rsid w:val="00F64BAE"/>
    <w:rsid w:val="00F65CEF"/>
    <w:rsid w:val="00F67156"/>
    <w:rsid w:val="00F72D5F"/>
    <w:rsid w:val="00F8117A"/>
    <w:rsid w:val="00F81B2F"/>
    <w:rsid w:val="00F87957"/>
    <w:rsid w:val="00F97203"/>
    <w:rsid w:val="00F972A2"/>
    <w:rsid w:val="00F97B52"/>
    <w:rsid w:val="00FA0597"/>
    <w:rsid w:val="00FA1922"/>
    <w:rsid w:val="00FA2F9E"/>
    <w:rsid w:val="00FA321D"/>
    <w:rsid w:val="00FA36B8"/>
    <w:rsid w:val="00FA715E"/>
    <w:rsid w:val="00FB0F22"/>
    <w:rsid w:val="00FB3D83"/>
    <w:rsid w:val="00FC0473"/>
    <w:rsid w:val="00FC1BEE"/>
    <w:rsid w:val="00FC43CA"/>
    <w:rsid w:val="00FC48AB"/>
    <w:rsid w:val="00FC60E2"/>
    <w:rsid w:val="00FC7783"/>
    <w:rsid w:val="00FD01B0"/>
    <w:rsid w:val="00FD14F3"/>
    <w:rsid w:val="00FD5083"/>
    <w:rsid w:val="00FD63B7"/>
    <w:rsid w:val="00FD7691"/>
    <w:rsid w:val="00FD7772"/>
    <w:rsid w:val="00FE00A1"/>
    <w:rsid w:val="00FE2F6B"/>
    <w:rsid w:val="00FE6677"/>
    <w:rsid w:val="00FE712E"/>
    <w:rsid w:val="00FF3032"/>
    <w:rsid w:val="00FF3ABE"/>
    <w:rsid w:val="00FF5A97"/>
    <w:rsid w:val="00FF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4742"/>
  <w15:docId w15:val="{A94129C8-DD1F-4BBB-9835-624E2C2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8"/>
    <w:pPr>
      <w:spacing w:after="0" w:line="240" w:lineRule="auto"/>
    </w:pPr>
    <w:tblPr>
      <w:tblStyleRowBandSize w:val="1"/>
      <w:tblStyleColBandSize w:val="1"/>
      <w:tblCellMar>
        <w:left w:w="255" w:type="dxa"/>
        <w:right w:w="108" w:type="dxa"/>
      </w:tblCellMar>
    </w:tblPr>
  </w:style>
  <w:style w:type="table" w:customStyle="1" w:styleId="a1">
    <w:basedOn w:val="TableNormal8"/>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6"/>
    <w:pPr>
      <w:spacing w:after="0" w:line="240" w:lineRule="auto"/>
    </w:pPr>
    <w:tblPr>
      <w:tblStyleRowBandSize w:val="1"/>
      <w:tblStyleColBandSize w:val="1"/>
      <w:tblCellMar>
        <w:left w:w="255" w:type="dxa"/>
        <w:right w:w="108" w:type="dxa"/>
      </w:tblCellMar>
    </w:tblPr>
  </w:style>
  <w:style w:type="table" w:customStyle="1" w:styleId="a3">
    <w:basedOn w:val="TableNormal5"/>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4"/>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3"/>
    <w:pPr>
      <w:spacing w:after="0" w:line="240" w:lineRule="auto"/>
    </w:pPr>
    <w:tblPr>
      <w:tblStyleRowBandSize w:val="1"/>
      <w:tblStyleColBandSize w:val="1"/>
      <w:tblCellMar>
        <w:left w:w="255" w:type="dxa"/>
        <w:right w:w="108" w:type="dxa"/>
      </w:tblCellMar>
    </w:tblPr>
  </w:style>
  <w:style w:type="table" w:customStyle="1" w:styleId="a6">
    <w:basedOn w:val="TableNormal2"/>
    <w:pPr>
      <w:spacing w:after="0" w:line="240" w:lineRule="auto"/>
    </w:pPr>
    <w:tblPr>
      <w:tblStyleRowBandSize w:val="1"/>
      <w:tblStyleColBandSize w:val="1"/>
      <w:tblCellMar>
        <w:left w:w="255" w:type="dxa"/>
        <w:right w:w="108" w:type="dxa"/>
      </w:tblCellMar>
    </w:tblPr>
  </w:style>
  <w:style w:type="table" w:customStyle="1" w:styleId="a7">
    <w:basedOn w:val="TableNormal1"/>
    <w:pPr>
      <w:spacing w:after="0" w:line="240" w:lineRule="auto"/>
    </w:pPr>
    <w:tblPr>
      <w:tblStyleRowBandSize w:val="1"/>
      <w:tblStyleColBandSize w:val="1"/>
      <w:tblCellMar>
        <w:left w:w="255" w:type="dxa"/>
        <w:right w:w="108" w:type="dxa"/>
      </w:tblCellMar>
    </w:tblPr>
  </w:style>
  <w:style w:type="table" w:customStyle="1" w:styleId="a8">
    <w:basedOn w:val="TableNormal1"/>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 w:type="paragraph" w:styleId="NormalnyWeb">
    <w:name w:val="Normal (Web)"/>
    <w:basedOn w:val="Normalny"/>
    <w:uiPriority w:val="99"/>
    <w:semiHidden/>
    <w:unhideWhenUsed/>
    <w:rsid w:val="00976C6C"/>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C6E94"/>
    <w:rPr>
      <w:color w:val="0000FF" w:themeColor="hyperlink"/>
      <w:u w:val="single"/>
    </w:rPr>
  </w:style>
  <w:style w:type="character" w:styleId="Nierozpoznanawzmianka">
    <w:name w:val="Unresolved Mention"/>
    <w:basedOn w:val="Domylnaczcionkaakapitu"/>
    <w:uiPriority w:val="99"/>
    <w:semiHidden/>
    <w:unhideWhenUsed/>
    <w:rsid w:val="006C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120422272">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265701647">
      <w:bodyDiv w:val="1"/>
      <w:marLeft w:val="0"/>
      <w:marRight w:val="0"/>
      <w:marTop w:val="0"/>
      <w:marBottom w:val="0"/>
      <w:divBdr>
        <w:top w:val="none" w:sz="0" w:space="0" w:color="auto"/>
        <w:left w:val="none" w:sz="0" w:space="0" w:color="auto"/>
        <w:bottom w:val="none" w:sz="0" w:space="0" w:color="auto"/>
        <w:right w:val="none" w:sz="0" w:space="0" w:color="auto"/>
      </w:divBdr>
    </w:div>
    <w:div w:id="563296835">
      <w:bodyDiv w:val="1"/>
      <w:marLeft w:val="0"/>
      <w:marRight w:val="0"/>
      <w:marTop w:val="0"/>
      <w:marBottom w:val="0"/>
      <w:divBdr>
        <w:top w:val="none" w:sz="0" w:space="0" w:color="auto"/>
        <w:left w:val="none" w:sz="0" w:space="0" w:color="auto"/>
        <w:bottom w:val="none" w:sz="0" w:space="0" w:color="auto"/>
        <w:right w:val="none" w:sz="0" w:space="0" w:color="auto"/>
      </w:divBdr>
    </w:div>
    <w:div w:id="658115666">
      <w:bodyDiv w:val="1"/>
      <w:marLeft w:val="0"/>
      <w:marRight w:val="0"/>
      <w:marTop w:val="0"/>
      <w:marBottom w:val="0"/>
      <w:divBdr>
        <w:top w:val="none" w:sz="0" w:space="0" w:color="auto"/>
        <w:left w:val="none" w:sz="0" w:space="0" w:color="auto"/>
        <w:bottom w:val="none" w:sz="0" w:space="0" w:color="auto"/>
        <w:right w:val="none" w:sz="0" w:space="0" w:color="auto"/>
      </w:divBdr>
    </w:div>
    <w:div w:id="812915191">
      <w:bodyDiv w:val="1"/>
      <w:marLeft w:val="0"/>
      <w:marRight w:val="0"/>
      <w:marTop w:val="0"/>
      <w:marBottom w:val="0"/>
      <w:divBdr>
        <w:top w:val="none" w:sz="0" w:space="0" w:color="auto"/>
        <w:left w:val="none" w:sz="0" w:space="0" w:color="auto"/>
        <w:bottom w:val="none" w:sz="0" w:space="0" w:color="auto"/>
        <w:right w:val="none" w:sz="0" w:space="0" w:color="auto"/>
      </w:divBdr>
    </w:div>
    <w:div w:id="814417376">
      <w:bodyDiv w:val="1"/>
      <w:marLeft w:val="0"/>
      <w:marRight w:val="0"/>
      <w:marTop w:val="0"/>
      <w:marBottom w:val="0"/>
      <w:divBdr>
        <w:top w:val="none" w:sz="0" w:space="0" w:color="auto"/>
        <w:left w:val="none" w:sz="0" w:space="0" w:color="auto"/>
        <w:bottom w:val="none" w:sz="0" w:space="0" w:color="auto"/>
        <w:right w:val="none" w:sz="0" w:space="0" w:color="auto"/>
      </w:divBdr>
    </w:div>
    <w:div w:id="850222127">
      <w:bodyDiv w:val="1"/>
      <w:marLeft w:val="0"/>
      <w:marRight w:val="0"/>
      <w:marTop w:val="0"/>
      <w:marBottom w:val="0"/>
      <w:divBdr>
        <w:top w:val="none" w:sz="0" w:space="0" w:color="auto"/>
        <w:left w:val="none" w:sz="0" w:space="0" w:color="auto"/>
        <w:bottom w:val="none" w:sz="0" w:space="0" w:color="auto"/>
        <w:right w:val="none" w:sz="0" w:space="0" w:color="auto"/>
      </w:divBdr>
    </w:div>
    <w:div w:id="852693576">
      <w:bodyDiv w:val="1"/>
      <w:marLeft w:val="0"/>
      <w:marRight w:val="0"/>
      <w:marTop w:val="0"/>
      <w:marBottom w:val="0"/>
      <w:divBdr>
        <w:top w:val="none" w:sz="0" w:space="0" w:color="auto"/>
        <w:left w:val="none" w:sz="0" w:space="0" w:color="auto"/>
        <w:bottom w:val="none" w:sz="0" w:space="0" w:color="auto"/>
        <w:right w:val="none" w:sz="0" w:space="0" w:color="auto"/>
      </w:divBdr>
    </w:div>
    <w:div w:id="92314381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206871151">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267688862">
      <w:bodyDiv w:val="1"/>
      <w:marLeft w:val="0"/>
      <w:marRight w:val="0"/>
      <w:marTop w:val="0"/>
      <w:marBottom w:val="0"/>
      <w:divBdr>
        <w:top w:val="none" w:sz="0" w:space="0" w:color="auto"/>
        <w:left w:val="none" w:sz="0" w:space="0" w:color="auto"/>
        <w:bottom w:val="none" w:sz="0" w:space="0" w:color="auto"/>
        <w:right w:val="none" w:sz="0" w:space="0" w:color="auto"/>
      </w:divBdr>
    </w:div>
    <w:div w:id="1400518115">
      <w:bodyDiv w:val="1"/>
      <w:marLeft w:val="0"/>
      <w:marRight w:val="0"/>
      <w:marTop w:val="0"/>
      <w:marBottom w:val="0"/>
      <w:divBdr>
        <w:top w:val="none" w:sz="0" w:space="0" w:color="auto"/>
        <w:left w:val="none" w:sz="0" w:space="0" w:color="auto"/>
        <w:bottom w:val="none" w:sz="0" w:space="0" w:color="auto"/>
        <w:right w:val="none" w:sz="0" w:space="0" w:color="auto"/>
      </w:divBdr>
    </w:div>
    <w:div w:id="1417047523">
      <w:bodyDiv w:val="1"/>
      <w:marLeft w:val="0"/>
      <w:marRight w:val="0"/>
      <w:marTop w:val="0"/>
      <w:marBottom w:val="0"/>
      <w:divBdr>
        <w:top w:val="none" w:sz="0" w:space="0" w:color="auto"/>
        <w:left w:val="none" w:sz="0" w:space="0" w:color="auto"/>
        <w:bottom w:val="none" w:sz="0" w:space="0" w:color="auto"/>
        <w:right w:val="none" w:sz="0" w:space="0" w:color="auto"/>
      </w:divBdr>
    </w:div>
    <w:div w:id="1522625008">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70333076">
      <w:bodyDiv w:val="1"/>
      <w:marLeft w:val="0"/>
      <w:marRight w:val="0"/>
      <w:marTop w:val="0"/>
      <w:marBottom w:val="0"/>
      <w:divBdr>
        <w:top w:val="none" w:sz="0" w:space="0" w:color="auto"/>
        <w:left w:val="none" w:sz="0" w:space="0" w:color="auto"/>
        <w:bottom w:val="none" w:sz="0" w:space="0" w:color="auto"/>
        <w:right w:val="none" w:sz="0" w:space="0" w:color="auto"/>
      </w:divBdr>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1665082779">
          <w:marLeft w:val="274"/>
          <w:marRight w:val="0"/>
          <w:marTop w:val="0"/>
          <w:marBottom w:val="0"/>
          <w:divBdr>
            <w:top w:val="none" w:sz="0" w:space="0" w:color="auto"/>
            <w:left w:val="none" w:sz="0" w:space="0" w:color="auto"/>
            <w:bottom w:val="none" w:sz="0" w:space="0" w:color="auto"/>
            <w:right w:val="none" w:sz="0" w:space="0" w:color="auto"/>
          </w:divBdr>
        </w:div>
        <w:div w:id="72765440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701780476">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430779976">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sChild>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2006858521">
      <w:bodyDiv w:val="1"/>
      <w:marLeft w:val="0"/>
      <w:marRight w:val="0"/>
      <w:marTop w:val="0"/>
      <w:marBottom w:val="0"/>
      <w:divBdr>
        <w:top w:val="none" w:sz="0" w:space="0" w:color="auto"/>
        <w:left w:val="none" w:sz="0" w:space="0" w:color="auto"/>
        <w:bottom w:val="none" w:sz="0" w:space="0" w:color="auto"/>
        <w:right w:val="none" w:sz="0" w:space="0" w:color="auto"/>
      </w:divBdr>
    </w:div>
    <w:div w:id="2097553858">
      <w:bodyDiv w:val="1"/>
      <w:marLeft w:val="0"/>
      <w:marRight w:val="0"/>
      <w:marTop w:val="0"/>
      <w:marBottom w:val="0"/>
      <w:divBdr>
        <w:top w:val="none" w:sz="0" w:space="0" w:color="auto"/>
        <w:left w:val="none" w:sz="0" w:space="0" w:color="auto"/>
        <w:bottom w:val="none" w:sz="0" w:space="0" w:color="auto"/>
        <w:right w:val="none" w:sz="0" w:space="0" w:color="auto"/>
      </w:divBdr>
    </w:div>
    <w:div w:id="213964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aportroczny.budimex.pl/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CE1AF6-A0EE-41F2-A491-45D0E3D876BA}">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contentBits="0"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4</Pages>
  <Words>1096</Words>
  <Characters>6580</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Wrzosek, Michał</cp:lastModifiedBy>
  <cp:revision>2</cp:revision>
  <cp:lastPrinted>2023-04-18T10:50:00Z</cp:lastPrinted>
  <dcterms:created xsi:type="dcterms:W3CDTF">2023-05-19T07:48:00Z</dcterms:created>
  <dcterms:modified xsi:type="dcterms:W3CDTF">2023-05-19T07:48:00Z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b9fa3555e7069b1605814e952542b734913939f201daf39c36f02291627dd226</vt:lpwstr>
  </property>
</Properties>
</file>