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797701C7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D000AB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4C1C5A">
        <w:rPr>
          <w:rFonts w:asciiTheme="majorHAnsi" w:hAnsiTheme="majorHAnsi"/>
          <w:sz w:val="18"/>
          <w:szCs w:val="18"/>
          <w:lang w:val="lv-LV"/>
        </w:rPr>
        <w:t>30</w:t>
      </w:r>
      <w:r w:rsidRPr="00D000AB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8B245F" w:rsidRPr="00D000AB">
        <w:rPr>
          <w:rFonts w:asciiTheme="majorHAnsi" w:hAnsiTheme="majorHAnsi"/>
          <w:sz w:val="18"/>
          <w:szCs w:val="18"/>
          <w:lang w:val="lv-LV"/>
        </w:rPr>
        <w:t>maja</w:t>
      </w:r>
      <w:r w:rsidRPr="00D000AB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D000AB">
        <w:rPr>
          <w:rFonts w:asciiTheme="majorHAnsi" w:hAnsiTheme="majorHAnsi"/>
          <w:sz w:val="18"/>
          <w:szCs w:val="18"/>
          <w:lang w:val="lv-LV"/>
        </w:rPr>
        <w:t>3</w:t>
      </w:r>
      <w:r w:rsidRPr="00D000AB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D000AB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20300554" w14:textId="77777777" w:rsidR="00385E0B" w:rsidRDefault="00385E0B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</w:p>
    <w:p w14:paraId="04A00280" w14:textId="1119A733" w:rsidR="00045F40" w:rsidRDefault="004C1C5A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4C1C5A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Rynek odwróconej hipoteki w Polsce. Fundusze wypłaciły seniorom prawie 30 mln zł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5B5021B" w14:textId="66008B93" w:rsidR="000460C8" w:rsidRDefault="004C1C5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4C1C5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76,5 roku - to średni wiek klienta funduszu hipotecznego, który korzysta z dożywotniej renty - wynika z raportu Związku Przedsiębiorstw Finansowych w Polsce (ZPF) na temat odwróconej hipoteki.</w:t>
      </w:r>
    </w:p>
    <w:p w14:paraId="571FC898" w14:textId="77777777" w:rsidR="000B4E1E" w:rsidRDefault="000B4E1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A72009A" w14:textId="795F46E2" w:rsid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 xml:space="preserve">Odwrócona hipoteka to nazwa usługi, która polega na wypłacaniu klientowi dożywotniej renty przez instytucję finansową w zamian za przeniesienie na nią prawa własności nieruchomości. Klient </w:t>
      </w:r>
      <w:r w:rsidR="000B4E1E">
        <w:rPr>
          <w:rFonts w:asciiTheme="majorHAnsi" w:hAnsiTheme="majorHAnsi"/>
          <w:sz w:val="21"/>
          <w:szCs w:val="21"/>
        </w:rPr>
        <w:br/>
      </w:r>
      <w:r w:rsidRPr="004C1C5A">
        <w:rPr>
          <w:rFonts w:asciiTheme="majorHAnsi" w:hAnsiTheme="majorHAnsi"/>
          <w:sz w:val="21"/>
          <w:szCs w:val="21"/>
        </w:rPr>
        <w:t>w umowie notarialnej zostaje jednocześnie objęty gwarancją dożywotniego zamieszkania we wskazanym lokalu.</w:t>
      </w:r>
    </w:p>
    <w:p w14:paraId="64800D92" w14:textId="77777777" w:rsidR="004C1C5A" w:rsidRP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8BB8103" w14:textId="1F9588C9" w:rsidR="00F03137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>ZPF na podstawie danych od zrzeszonych w organizacji funduszy hipotecznych podsumował rozwój rynku odwróconej hipoteki w latach 2010 - 2022.</w:t>
      </w:r>
    </w:p>
    <w:p w14:paraId="5503FBAF" w14:textId="77777777" w:rsidR="001C3BD3" w:rsidRPr="00F03137" w:rsidRDefault="001C3BD3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C510F8E" w14:textId="5CA76867" w:rsidR="00F03137" w:rsidRDefault="004C1C5A" w:rsidP="00F0313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4C1C5A">
        <w:rPr>
          <w:rFonts w:asciiTheme="majorHAnsi" w:hAnsiTheme="majorHAnsi"/>
          <w:b/>
          <w:bCs/>
          <w:sz w:val="21"/>
          <w:szCs w:val="21"/>
        </w:rPr>
        <w:t>Raport ZPF o odwróconej hipotece. Najważniejsze wnioski</w:t>
      </w:r>
    </w:p>
    <w:p w14:paraId="74C48AA6" w14:textId="77777777" w:rsidR="00087092" w:rsidRDefault="00087092" w:rsidP="00F0313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6BD3A017" w14:textId="572F39DF" w:rsid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 xml:space="preserve">W okresie 2010 - 2022 fundusze hipoteczne należące do ZPF wypłaciły klientom renty dożywotnie </w:t>
      </w:r>
      <w:r w:rsidR="000B4E1E">
        <w:rPr>
          <w:rFonts w:asciiTheme="majorHAnsi" w:hAnsiTheme="majorHAnsi"/>
          <w:sz w:val="21"/>
          <w:szCs w:val="21"/>
        </w:rPr>
        <w:br/>
      </w:r>
      <w:r w:rsidRPr="004C1C5A">
        <w:rPr>
          <w:rFonts w:asciiTheme="majorHAnsi" w:hAnsiTheme="majorHAnsi"/>
          <w:sz w:val="21"/>
          <w:szCs w:val="21"/>
        </w:rPr>
        <w:t xml:space="preserve">w łącznej kwocie 29,5 mln zł. Pieniądze otrzymywane dodatkowo przez seniorów stanowią zwykle nawet połowę ich miesięcznych dochodów z tytułu emerytur z Zakładu Ubezpieczeń Społecznych. </w:t>
      </w:r>
    </w:p>
    <w:p w14:paraId="52A0BFA9" w14:textId="77777777" w:rsidR="004C1C5A" w:rsidRP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0B17ACF" w14:textId="77777777" w:rsid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>- Zgodnie z danymi ZUS największy odsetek wypłacanych emerytur w 2022 r. mieścił się w przedziale 1800-2200 zł miesięcznie. Kwoty te nie pozwalają osobom starszym na pokrycie wydatków związanych z bieżącym utrzymaniem, dlatego tak istotny staje się dopływ środków z renty dożywotniej - wskazuje Katarzyna Brzeska - Miksa, Prezes Funduszu Hipotecznego FAMILIA.</w:t>
      </w:r>
    </w:p>
    <w:p w14:paraId="3011E886" w14:textId="77777777" w:rsidR="004C1C5A" w:rsidRP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4EDFE94" w14:textId="53629715" w:rsid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>Z raportu ZPF wynika, że klientami funduszy hipotecznych są najczęściej seniorzy w przedziale wiekowym 75 - 80 lat. Na koniec 2022 r. średni wiek klienta wyniósł 76,5 roku. To około trzy lata mniej niż w 2016 roku.</w:t>
      </w:r>
    </w:p>
    <w:p w14:paraId="11A19E84" w14:textId="77777777" w:rsidR="00385E0B" w:rsidRDefault="00385E0B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9EEA1A0" w14:textId="77777777" w:rsidR="00385E0B" w:rsidRDefault="00385E0B" w:rsidP="00385E0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>- Zainteresowanie otrzymywaniem dożywotniej renty rośnie wśród coraz młodszych osób. To w dużej mierze efekt rosnących kosztów życia - mówi Katarzyna Brzeska - Miksa.</w:t>
      </w:r>
    </w:p>
    <w:p w14:paraId="2D0625E8" w14:textId="77777777" w:rsidR="00BF4FCC" w:rsidRDefault="00BF4FCC" w:rsidP="00385E0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8E98CFE" w14:textId="77777777" w:rsidR="00BF4FCC" w:rsidRPr="009E2E31" w:rsidRDefault="00BF4FCC" w:rsidP="00BF4FCC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>- Renta dożywotnia jest świetnym narzędziem, które może odciążyć polski system emerytalny oraz senioralne portfele, zwłaszcza w okresie szalejącej inflacji. Liczba podpisywanych umów rośnie, ale czekam na czasy, w których hipoteka odwrócona będzie rozwiązaniem powszechnym - mówi Robert Majkowski, Prezes Funduszu Hipotecznego DOM.</w:t>
      </w:r>
    </w:p>
    <w:p w14:paraId="060DC274" w14:textId="77777777" w:rsidR="00BF4FCC" w:rsidRDefault="00BF4FCC" w:rsidP="00385E0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56BF6F9" w14:textId="49CBFDE6" w:rsidR="00385E0B" w:rsidRPr="004C1C5A" w:rsidRDefault="00385E0B" w:rsidP="00385E0B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 xml:space="preserve">Renta dożywotnia jest najczęściej wypłacana mieszkańcom województwa mazowieckiego - według danych na koniec 2022 r. znajdowało się w nim 28 proc. nieruchomości zarządzanych przez fundusze hipoteczne. Na drugim miejscu jest województwo pomorskie (12 proc.), a na trzecim </w:t>
      </w:r>
      <w:r w:rsidR="000B4E1E">
        <w:rPr>
          <w:rFonts w:asciiTheme="majorHAnsi" w:hAnsiTheme="majorHAnsi"/>
          <w:sz w:val="21"/>
          <w:szCs w:val="21"/>
        </w:rPr>
        <w:br/>
      </w:r>
      <w:r w:rsidRPr="004C1C5A">
        <w:rPr>
          <w:rFonts w:asciiTheme="majorHAnsi" w:hAnsiTheme="majorHAnsi"/>
          <w:sz w:val="21"/>
          <w:szCs w:val="21"/>
        </w:rPr>
        <w:t>- śląskie (9,9 proc.).</w:t>
      </w:r>
    </w:p>
    <w:p w14:paraId="3EBC023C" w14:textId="77777777" w:rsidR="00385E0B" w:rsidRDefault="00385E0B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0B28815" w14:textId="7BE28C4E" w:rsidR="00385E0B" w:rsidRDefault="00385E0B" w:rsidP="00385E0B">
      <w:pPr>
        <w:spacing w:line="276" w:lineRule="auto"/>
        <w:jc w:val="center"/>
        <w:rPr>
          <w:rFonts w:asciiTheme="majorHAnsi" w:hAnsiTheme="majorHAnsi"/>
          <w:sz w:val="21"/>
          <w:szCs w:val="21"/>
        </w:rPr>
      </w:pPr>
      <w:r>
        <w:rPr>
          <w:noProof/>
        </w:rPr>
        <w:drawing>
          <wp:inline distT="0" distB="0" distL="0" distR="0" wp14:anchorId="0C3749DB" wp14:editId="549BFD30">
            <wp:extent cx="5655014" cy="3322320"/>
            <wp:effectExtent l="0" t="0" r="3175" b="0"/>
            <wp:docPr id="8135900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457" cy="333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411A" w14:textId="77777777" w:rsidR="004C1C5A" w:rsidRP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EFE3DB7" w14:textId="77777777" w:rsidR="004C1C5A" w:rsidRP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C347CCA" w14:textId="77777777" w:rsid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>Łączna wartość nieruchomości zarządzanych przez fundusze hipoteczne wyniosła na koniec 2022 r. 149,2 mln zł. Średnia powierzchnia pojedynczej nieruchomości objętej umową o rentę dożywotnią to 52,1 mkw.</w:t>
      </w:r>
    </w:p>
    <w:p w14:paraId="2E010CB5" w14:textId="77777777" w:rsidR="006B0455" w:rsidRPr="00F03137" w:rsidRDefault="006B0455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E1109FC" w14:textId="05298D94" w:rsidR="00F03137" w:rsidRPr="006B0455" w:rsidRDefault="004C1C5A" w:rsidP="00F0313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4C1C5A">
        <w:rPr>
          <w:rFonts w:asciiTheme="majorHAnsi" w:hAnsiTheme="majorHAnsi"/>
          <w:b/>
          <w:bCs/>
          <w:sz w:val="21"/>
          <w:szCs w:val="21"/>
        </w:rPr>
        <w:t>Emerytury według Polaków. Świadczenia nie zapewnią odpowiedniego poziomu życia</w:t>
      </w:r>
    </w:p>
    <w:p w14:paraId="3FE5FE8C" w14:textId="77777777" w:rsidR="006B0455" w:rsidRPr="00F03137" w:rsidRDefault="006B0455" w:rsidP="00F0313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05D2327" w14:textId="03D5FE50" w:rsid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>Taką opinię wyraża prawie trzy czwarte Polaków w prowadzonych cyklicznie badaniach rynku consumer finance ZPF oraz Instytutu Rozwoju Gospodarczego SGH (IRG SGH). Jednocześnie 44 proc. ankietowanych twierdzi, że nie podejmuje żadnych działań, by zwiększyć swoje dochody na emeryturze.</w:t>
      </w:r>
    </w:p>
    <w:p w14:paraId="1D25F06E" w14:textId="77777777" w:rsidR="004C1C5A" w:rsidRP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01A6723" w14:textId="6F8F6D99" w:rsid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 xml:space="preserve">W 2022 r. 12,0 proc. respondentów deklarowało, że regularnie oszczędza dodatkowe środki na emeryturę. W średnim terminie można zaobserwować w </w:t>
      </w:r>
      <w:r w:rsidR="000B4E1E">
        <w:rPr>
          <w:rFonts w:asciiTheme="majorHAnsi" w:hAnsiTheme="majorHAnsi"/>
          <w:sz w:val="21"/>
          <w:szCs w:val="21"/>
        </w:rPr>
        <w:t xml:space="preserve">tym </w:t>
      </w:r>
      <w:r w:rsidRPr="004C1C5A">
        <w:rPr>
          <w:rFonts w:asciiTheme="majorHAnsi" w:hAnsiTheme="majorHAnsi"/>
          <w:sz w:val="21"/>
          <w:szCs w:val="21"/>
        </w:rPr>
        <w:t>obszarze trend wzrostowy - w 2008 r. oszczędzanie na emeryturę deklarowało jedynie 2,5 proc. ankietowanych.</w:t>
      </w:r>
    </w:p>
    <w:p w14:paraId="414BBF19" w14:textId="77777777" w:rsidR="004C1C5A" w:rsidRP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7AD75B7" w14:textId="11EEF63B" w:rsidR="009E2E31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>- Popularność hipoteki odwróconej w Polsce jest coraz większa. Wciąż jednak skala rozwoju tego rynku jest znacznie niższa od rynków Europy Zachodniej, np. Wielkiej Brytanii. Na hipotekę odwróconą warto patrzeć w szerokiej perspektywie i widzieć w niej nie tylko usługę wspierającą senioralny budżet, ale przede wszystkim jeden z elementów długofalowej polityki bezpieczeństwa finansowego osób starszych - mówi Marcin Czugan, Prezes Związku Przedsiębiorstw Finansowych.</w:t>
      </w:r>
    </w:p>
    <w:p w14:paraId="7ED63DF3" w14:textId="77777777" w:rsidR="00385E0B" w:rsidRDefault="00385E0B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8566A2E" w14:textId="6586C8E7" w:rsidR="004C1C5A" w:rsidRPr="004C1C5A" w:rsidRDefault="004C1C5A" w:rsidP="004C1C5A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>***</w:t>
      </w:r>
    </w:p>
    <w:p w14:paraId="0F80F227" w14:textId="6C6C78D8" w:rsidR="009E2E31" w:rsidRPr="00BF4FCC" w:rsidRDefault="004C1C5A" w:rsidP="00BF4FCC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4C1C5A">
        <w:rPr>
          <w:rFonts w:asciiTheme="majorHAnsi" w:hAnsiTheme="majorHAnsi"/>
          <w:sz w:val="21"/>
          <w:szCs w:val="21"/>
        </w:rPr>
        <w:t xml:space="preserve">Jeżeli mają Państwo dodatkowe pytania na temat wyników badania ZPF, dotyczącego rynku odwróconej hipoteki, zapraszamy do kontaktu pod adresem e-mail: media@zpf.pl, a także </w:t>
      </w:r>
      <w:r w:rsidR="000B4E1E">
        <w:rPr>
          <w:rFonts w:asciiTheme="majorHAnsi" w:hAnsiTheme="majorHAnsi"/>
          <w:sz w:val="21"/>
          <w:szCs w:val="21"/>
        </w:rPr>
        <w:br/>
      </w:r>
      <w:r w:rsidRPr="004C1C5A">
        <w:rPr>
          <w:rFonts w:asciiTheme="majorHAnsi" w:hAnsiTheme="majorHAnsi"/>
          <w:sz w:val="21"/>
          <w:szCs w:val="21"/>
        </w:rPr>
        <w:t>z funduszami hipotecznymi, które są zrzeszone w ZPF: Fundusz Hipoteczny DOM S.A. oraz Fundusz Hipoteczny FAMILIA S.A.</w:t>
      </w:r>
      <w:bookmarkStart w:id="0" w:name="_Hlk120263354"/>
    </w:p>
    <w:p w14:paraId="5E5F2C38" w14:textId="77777777" w:rsidR="009E2E31" w:rsidRP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  <w:r w:rsidRPr="009E2E31">
        <w:rPr>
          <w:rFonts w:asciiTheme="majorHAnsi" w:hAnsiTheme="majorHAnsi" w:cstheme="minorHAnsi"/>
          <w:sz w:val="22"/>
          <w:szCs w:val="22"/>
        </w:rPr>
        <w:lastRenderedPageBreak/>
        <w:t>***</w:t>
      </w:r>
    </w:p>
    <w:p w14:paraId="0E1F35CA" w14:textId="77777777" w:rsidR="009E2E31" w:rsidRDefault="009E2E31" w:rsidP="009E2E3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864F6D3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0B4E1E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A" w14:textId="77777777" w:rsidR="00045F40" w:rsidRDefault="00710777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hyperlink r:id="rId13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04A002BB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4"/>
      <w:footerReference w:type="default" r:id="rId15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02C8" w14:textId="77777777" w:rsidR="00045F40" w:rsidRDefault="000460C8">
      <w:r>
        <w:separator/>
      </w:r>
    </w:p>
    <w:p w14:paraId="04A002C9" w14:textId="77777777" w:rsidR="00045F40" w:rsidRDefault="00045F40"/>
  </w:endnote>
  <w:endnote w:type="continuationSeparator" w:id="0">
    <w:p w14:paraId="04A002CA" w14:textId="77777777" w:rsidR="00045F40" w:rsidRDefault="000460C8">
      <w:r>
        <w:continuationSeparator/>
      </w:r>
    </w:p>
    <w:p w14:paraId="04A002CB" w14:textId="77777777" w:rsidR="00045F40" w:rsidRDefault="00045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02C4" w14:textId="77777777" w:rsidR="00045F40" w:rsidRDefault="000460C8">
      <w:r>
        <w:separator/>
      </w:r>
    </w:p>
    <w:p w14:paraId="04A002C5" w14:textId="77777777" w:rsidR="00045F40" w:rsidRDefault="00045F40"/>
  </w:footnote>
  <w:footnote w:type="continuationSeparator" w:id="0">
    <w:p w14:paraId="04A002C6" w14:textId="77777777" w:rsidR="00045F40" w:rsidRDefault="000460C8">
      <w:r>
        <w:continuationSeparator/>
      </w:r>
    </w:p>
    <w:p w14:paraId="04A002C7" w14:textId="77777777" w:rsidR="00045F40" w:rsidRDefault="00045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8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5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3"/>
  </w:num>
  <w:num w:numId="11" w16cid:durableId="482158256">
    <w:abstractNumId w:val="10"/>
  </w:num>
  <w:num w:numId="12" w16cid:durableId="1822187499">
    <w:abstractNumId w:val="21"/>
  </w:num>
  <w:num w:numId="13" w16cid:durableId="1256595171">
    <w:abstractNumId w:val="14"/>
  </w:num>
  <w:num w:numId="14" w16cid:durableId="362557525">
    <w:abstractNumId w:val="18"/>
  </w:num>
  <w:num w:numId="15" w16cid:durableId="1500197127">
    <w:abstractNumId w:val="24"/>
  </w:num>
  <w:num w:numId="16" w16cid:durableId="395982433">
    <w:abstractNumId w:val="25"/>
  </w:num>
  <w:num w:numId="17" w16cid:durableId="1426803212">
    <w:abstractNumId w:val="19"/>
  </w:num>
  <w:num w:numId="18" w16cid:durableId="1896617993">
    <w:abstractNumId w:val="9"/>
  </w:num>
  <w:num w:numId="19" w16cid:durableId="432365694">
    <w:abstractNumId w:val="20"/>
  </w:num>
  <w:num w:numId="20" w16cid:durableId="1095058326">
    <w:abstractNumId w:val="13"/>
  </w:num>
  <w:num w:numId="21" w16cid:durableId="193081461">
    <w:abstractNumId w:val="26"/>
  </w:num>
  <w:num w:numId="22" w16cid:durableId="1131940714">
    <w:abstractNumId w:val="2"/>
  </w:num>
  <w:num w:numId="23" w16cid:durableId="1727991563">
    <w:abstractNumId w:val="16"/>
  </w:num>
  <w:num w:numId="24" w16cid:durableId="617488062">
    <w:abstractNumId w:val="29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2"/>
  </w:num>
  <w:num w:numId="28" w16cid:durableId="777801040">
    <w:abstractNumId w:val="27"/>
  </w:num>
  <w:num w:numId="29" w16cid:durableId="1350133745">
    <w:abstractNumId w:val="17"/>
  </w:num>
  <w:num w:numId="30" w16cid:durableId="219362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45F40"/>
    <w:rsid w:val="000460C8"/>
    <w:rsid w:val="00085921"/>
    <w:rsid w:val="00087092"/>
    <w:rsid w:val="000B4E1E"/>
    <w:rsid w:val="00124A28"/>
    <w:rsid w:val="00167E29"/>
    <w:rsid w:val="001C3BD3"/>
    <w:rsid w:val="001F6B12"/>
    <w:rsid w:val="002C2F51"/>
    <w:rsid w:val="0032709E"/>
    <w:rsid w:val="00385E0B"/>
    <w:rsid w:val="003944E5"/>
    <w:rsid w:val="004C1C5A"/>
    <w:rsid w:val="004E7FF6"/>
    <w:rsid w:val="00502381"/>
    <w:rsid w:val="0064291B"/>
    <w:rsid w:val="006B0455"/>
    <w:rsid w:val="00710777"/>
    <w:rsid w:val="007431C9"/>
    <w:rsid w:val="008B245F"/>
    <w:rsid w:val="009E2E31"/>
    <w:rsid w:val="00A63F45"/>
    <w:rsid w:val="00B5272A"/>
    <w:rsid w:val="00BA49AA"/>
    <w:rsid w:val="00BF4FCC"/>
    <w:rsid w:val="00D000AB"/>
    <w:rsid w:val="00D5152B"/>
    <w:rsid w:val="00E4301A"/>
    <w:rsid w:val="00E45140"/>
    <w:rsid w:val="00E87DEC"/>
    <w:rsid w:val="00EE0154"/>
    <w:rsid w:val="00F03137"/>
    <w:rsid w:val="00F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company/zp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712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11</cp:revision>
  <cp:lastPrinted>2020-05-13T19:23:00Z</cp:lastPrinted>
  <dcterms:created xsi:type="dcterms:W3CDTF">2023-05-11T17:53:00Z</dcterms:created>
  <dcterms:modified xsi:type="dcterms:W3CDTF">2023-05-29T09:45:00Z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