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CDDB6" w14:textId="77777777" w:rsidR="0016365E" w:rsidRPr="00C54043" w:rsidRDefault="0016365E" w:rsidP="00C54043">
      <w:pPr>
        <w:pStyle w:val="Nagwek1"/>
      </w:pPr>
      <w:r w:rsidRPr="00ED087E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DEE410C" wp14:editId="08422322">
            <wp:simplePos x="0" y="0"/>
            <wp:positionH relativeFrom="column">
              <wp:posOffset>-273685</wp:posOffset>
            </wp:positionH>
            <wp:positionV relativeFrom="paragraph">
              <wp:posOffset>-546735</wp:posOffset>
            </wp:positionV>
            <wp:extent cx="1377950" cy="215265"/>
            <wp:effectExtent l="0" t="0" r="0" b="0"/>
            <wp:wrapNone/>
            <wp:docPr id="26" name="Obraz 1" descr="Obraz zawierający tekst,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Obraz 1" descr="Obraz zawierający tekst, clipar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21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4043">
        <w:t>KOMUNIKAT PRASOWY</w:t>
      </w:r>
    </w:p>
    <w:p w14:paraId="1B224CF0" w14:textId="2DD35A9E" w:rsidR="0016365E" w:rsidRPr="00C54043" w:rsidRDefault="00005102" w:rsidP="0016365E">
      <w:pPr>
        <w:rPr>
          <w:rFonts w:ascii="Arial" w:eastAsia="Times New Roman" w:hAnsi="Arial" w:cs="Arial"/>
          <w:color w:val="555555"/>
          <w:sz w:val="17"/>
          <w:szCs w:val="17"/>
          <w:lang w:eastAsia="pl-PL"/>
        </w:rPr>
      </w:pPr>
      <w:r>
        <w:rPr>
          <w:rFonts w:ascii="Arial" w:eastAsia="Times New Roman" w:hAnsi="Arial" w:cs="Arial"/>
          <w:color w:val="555555"/>
          <w:sz w:val="17"/>
          <w:szCs w:val="17"/>
          <w:lang w:eastAsia="pl-PL"/>
        </w:rPr>
        <w:t>0</w:t>
      </w:r>
      <w:r w:rsidR="007D4F61">
        <w:rPr>
          <w:rFonts w:ascii="Arial" w:eastAsia="Times New Roman" w:hAnsi="Arial" w:cs="Arial"/>
          <w:color w:val="555555"/>
          <w:sz w:val="17"/>
          <w:szCs w:val="17"/>
          <w:lang w:eastAsia="pl-PL"/>
        </w:rPr>
        <w:t>6</w:t>
      </w:r>
      <w:r w:rsidR="00C35AA4" w:rsidRPr="00C54043">
        <w:rPr>
          <w:rFonts w:ascii="Arial" w:eastAsia="Times New Roman" w:hAnsi="Arial" w:cs="Arial"/>
          <w:color w:val="555555"/>
          <w:sz w:val="17"/>
          <w:szCs w:val="17"/>
          <w:lang w:eastAsia="pl-PL"/>
        </w:rPr>
        <w:t>.</w:t>
      </w:r>
      <w:r w:rsidR="00480855">
        <w:rPr>
          <w:rFonts w:ascii="Arial" w:eastAsia="Times New Roman" w:hAnsi="Arial" w:cs="Arial"/>
          <w:color w:val="555555"/>
          <w:sz w:val="17"/>
          <w:szCs w:val="17"/>
          <w:lang w:eastAsia="pl-PL"/>
        </w:rPr>
        <w:t>0</w:t>
      </w:r>
      <w:r>
        <w:rPr>
          <w:rFonts w:ascii="Arial" w:eastAsia="Times New Roman" w:hAnsi="Arial" w:cs="Arial"/>
          <w:color w:val="555555"/>
          <w:sz w:val="17"/>
          <w:szCs w:val="17"/>
          <w:lang w:eastAsia="pl-PL"/>
        </w:rPr>
        <w:t>6</w:t>
      </w:r>
      <w:r w:rsidR="0016365E" w:rsidRPr="00C54043">
        <w:rPr>
          <w:rFonts w:ascii="Arial" w:eastAsia="Times New Roman" w:hAnsi="Arial" w:cs="Arial"/>
          <w:color w:val="555555"/>
          <w:sz w:val="17"/>
          <w:szCs w:val="17"/>
          <w:lang w:eastAsia="pl-PL"/>
        </w:rPr>
        <w:t>.202</w:t>
      </w:r>
      <w:r w:rsidR="00480855">
        <w:rPr>
          <w:rFonts w:ascii="Arial" w:eastAsia="Times New Roman" w:hAnsi="Arial" w:cs="Arial"/>
          <w:color w:val="555555"/>
          <w:sz w:val="17"/>
          <w:szCs w:val="17"/>
          <w:lang w:eastAsia="pl-PL"/>
        </w:rPr>
        <w:t>3</w:t>
      </w:r>
    </w:p>
    <w:p w14:paraId="6D9F41B9" w14:textId="0D579FB2" w:rsidR="00686BAE" w:rsidRPr="004B119B" w:rsidRDefault="00686BAE" w:rsidP="004B119B">
      <w:pPr>
        <w:pStyle w:val="Poprawka"/>
        <w:rPr>
          <w:rFonts w:ascii="Arial" w:hAnsi="Arial" w:cs="Arial"/>
        </w:rPr>
      </w:pPr>
    </w:p>
    <w:p w14:paraId="75961546" w14:textId="19BB25AE" w:rsidR="0016365E" w:rsidRPr="004B119B" w:rsidRDefault="0016365E">
      <w:pPr>
        <w:rPr>
          <w:rFonts w:ascii="Arial" w:hAnsi="Arial" w:cs="Arial"/>
        </w:rPr>
      </w:pPr>
    </w:p>
    <w:p w14:paraId="2964FAED" w14:textId="7D359231" w:rsidR="008C6E2E" w:rsidRPr="00005102" w:rsidRDefault="008C6E2E" w:rsidP="008C6E2E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05102">
        <w:rPr>
          <w:rFonts w:ascii="Arial" w:hAnsi="Arial" w:cs="Arial"/>
          <w:b/>
          <w:bCs/>
          <w:sz w:val="28"/>
          <w:szCs w:val="28"/>
        </w:rPr>
        <w:t>Kiedy najchętniej płacimy kartami, a kiedy robimy przelewy?</w:t>
      </w:r>
      <w:r w:rsidR="00005102" w:rsidRPr="00005102">
        <w:rPr>
          <w:rFonts w:ascii="Arial" w:hAnsi="Arial" w:cs="Arial"/>
          <w:b/>
          <w:bCs/>
          <w:sz w:val="28"/>
          <w:szCs w:val="28"/>
        </w:rPr>
        <w:t xml:space="preserve"> </w:t>
      </w:r>
      <w:r w:rsidR="00005102" w:rsidRPr="00005102">
        <w:rPr>
          <w:rFonts w:ascii="Arial" w:hAnsi="Arial" w:cs="Arial"/>
          <w:b/>
          <w:bCs/>
          <w:sz w:val="28"/>
          <w:szCs w:val="28"/>
        </w:rPr>
        <w:br/>
      </w:r>
      <w:r w:rsidRPr="00005102">
        <w:rPr>
          <w:rFonts w:ascii="Arial" w:hAnsi="Arial" w:cs="Arial"/>
          <w:b/>
          <w:bCs/>
          <w:sz w:val="28"/>
          <w:szCs w:val="28"/>
        </w:rPr>
        <w:t xml:space="preserve">Bank Pekao S.A. analizuje, jak letnie miesiące wpływają </w:t>
      </w:r>
      <w:r w:rsidR="00005102">
        <w:rPr>
          <w:rFonts w:ascii="Arial" w:hAnsi="Arial" w:cs="Arial"/>
          <w:b/>
          <w:bCs/>
          <w:sz w:val="28"/>
          <w:szCs w:val="28"/>
        </w:rPr>
        <w:br/>
      </w:r>
      <w:r w:rsidRPr="00005102">
        <w:rPr>
          <w:rFonts w:ascii="Arial" w:hAnsi="Arial" w:cs="Arial"/>
          <w:b/>
          <w:bCs/>
          <w:sz w:val="28"/>
          <w:szCs w:val="28"/>
        </w:rPr>
        <w:t>na sposób płatności</w:t>
      </w:r>
    </w:p>
    <w:p w14:paraId="3FAD3738" w14:textId="77777777" w:rsidR="00005102" w:rsidRPr="00005102" w:rsidRDefault="00005102" w:rsidP="008C6E2E">
      <w:pPr>
        <w:jc w:val="both"/>
        <w:rPr>
          <w:rFonts w:ascii="Arial" w:hAnsi="Arial" w:cs="Arial"/>
        </w:rPr>
      </w:pPr>
    </w:p>
    <w:p w14:paraId="21FB3230" w14:textId="1B05918B" w:rsidR="008C6E2E" w:rsidRPr="00005102" w:rsidRDefault="008C6E2E" w:rsidP="008C6E2E">
      <w:pPr>
        <w:jc w:val="both"/>
        <w:rPr>
          <w:rFonts w:ascii="Arial" w:hAnsi="Arial" w:cs="Arial"/>
        </w:rPr>
      </w:pPr>
      <w:r w:rsidRPr="00005102">
        <w:rPr>
          <w:rFonts w:ascii="Arial" w:hAnsi="Arial" w:cs="Arial"/>
        </w:rPr>
        <w:t xml:space="preserve">Słoneczne dni i coraz wyższe temperatury sprawiają, że częściej myślimy o letnim wypoczynku. Ładna pogoda zachęca także do aktywności poza domem - spotkań ze znajomymi w kawiarnianych ogródkach oraz bliższych i dalszych wycieczek. Klienci Banku Pekao S.A. mogą płacić wygodnie za zakupy w każdym momencie, np. dzięki aplikacji </w:t>
      </w:r>
      <w:proofErr w:type="spellStart"/>
      <w:r w:rsidRPr="00005102">
        <w:rPr>
          <w:rFonts w:ascii="Arial" w:hAnsi="Arial" w:cs="Arial"/>
        </w:rPr>
        <w:t>PeoPay</w:t>
      </w:r>
      <w:proofErr w:type="spellEnd"/>
      <w:r w:rsidRPr="00005102">
        <w:rPr>
          <w:rFonts w:ascii="Arial" w:hAnsi="Arial" w:cs="Arial"/>
        </w:rPr>
        <w:t>. Czy letnie miesiące mają wpływ na to jak płacimy?</w:t>
      </w:r>
    </w:p>
    <w:p w14:paraId="3FD6580F" w14:textId="77777777" w:rsidR="00005102" w:rsidRDefault="00005102" w:rsidP="008C6E2E">
      <w:pPr>
        <w:jc w:val="both"/>
        <w:rPr>
          <w:rFonts w:ascii="Arial" w:hAnsi="Arial" w:cs="Arial"/>
          <w:b/>
          <w:bCs/>
        </w:rPr>
      </w:pPr>
    </w:p>
    <w:p w14:paraId="3CC117FB" w14:textId="0B365E8F" w:rsidR="008C6E2E" w:rsidRPr="00005102" w:rsidRDefault="008C6E2E" w:rsidP="008C6E2E">
      <w:pPr>
        <w:jc w:val="both"/>
        <w:rPr>
          <w:rFonts w:ascii="Arial" w:hAnsi="Arial" w:cs="Arial"/>
          <w:b/>
          <w:bCs/>
        </w:rPr>
      </w:pPr>
      <w:r w:rsidRPr="00005102">
        <w:rPr>
          <w:rFonts w:ascii="Arial" w:hAnsi="Arial" w:cs="Arial"/>
          <w:b/>
          <w:bCs/>
        </w:rPr>
        <w:t xml:space="preserve">Bezgotówkowo kartą, a po gotówkę do bankomatu </w:t>
      </w:r>
    </w:p>
    <w:p w14:paraId="56C1C908" w14:textId="5AC61147" w:rsidR="008C6E2E" w:rsidRPr="00005102" w:rsidRDefault="008C6E2E" w:rsidP="008C6E2E">
      <w:pPr>
        <w:jc w:val="both"/>
        <w:rPr>
          <w:rFonts w:ascii="Arial" w:hAnsi="Arial" w:cs="Arial"/>
        </w:rPr>
      </w:pPr>
      <w:r w:rsidRPr="00005102">
        <w:rPr>
          <w:rFonts w:ascii="Arial" w:hAnsi="Arial" w:cs="Arial"/>
        </w:rPr>
        <w:t>Według danych NBP zarówno liczba, jak i wartość transakcji realizowanych za pomocą kart płatniczych na przestrzeni ostatnich lat</w:t>
      </w:r>
      <w:r w:rsidR="00E95E82">
        <w:rPr>
          <w:rFonts w:ascii="Arial" w:hAnsi="Arial" w:cs="Arial"/>
        </w:rPr>
        <w:t>,</w:t>
      </w:r>
      <w:r w:rsidRPr="00005102">
        <w:rPr>
          <w:rFonts w:ascii="Arial" w:hAnsi="Arial" w:cs="Arial"/>
        </w:rPr>
        <w:t xml:space="preserve"> systematycznie rośnie.</w:t>
      </w:r>
      <w:r w:rsidRPr="00005102">
        <w:rPr>
          <w:rStyle w:val="Odwoanieprzypisudolnego"/>
          <w:rFonts w:ascii="Arial" w:hAnsi="Arial" w:cs="Arial"/>
        </w:rPr>
        <w:footnoteReference w:id="1"/>
      </w:r>
      <w:r w:rsidRPr="00005102">
        <w:rPr>
          <w:rFonts w:ascii="Arial" w:hAnsi="Arial" w:cs="Arial"/>
        </w:rPr>
        <w:t xml:space="preserve"> Klienci Banku Pekao także chętnie korzystają z tego sposobu zapłaty, a średnia dzienna liczba transakcji POS podczas letnich miesięcy wzrasta. W czerwcu 2022 roku klienci Banku Pekao realizowali każdego dnia średnio ok. 5,75 mln transakcji POS - zarówno za pomocą kart tradycyjnych, a także kart podpiętych do portfeli, zegarków oraz BLIK. W lipcu takich transakcji było dziennie średnio ok. 5,73 mln, a w sierpniu ok. 5,69 mln. Pod względem przeciętnej dziennej liczby transakcji POS letnie miesiące nie mają konkurencji i zajmują wszystkie miejsca na podium. Na czwartym miejscu plasuje się wrzesień, kiedy tego rodzaju transakcji w 2022 roku było ok. 5,64 mln. Mimo jednak dużej liczby płatności POS w czerwcu 2022 r., średnia wartość jednej transakcji była najniższa w porównaniu do inny</w:t>
      </w:r>
      <w:r w:rsidR="007D4F61">
        <w:rPr>
          <w:rFonts w:ascii="Arial" w:hAnsi="Arial" w:cs="Arial"/>
        </w:rPr>
        <w:t>ch</w:t>
      </w:r>
      <w:r w:rsidRPr="00005102">
        <w:rPr>
          <w:rFonts w:ascii="Arial" w:hAnsi="Arial" w:cs="Arial"/>
        </w:rPr>
        <w:t xml:space="preserve"> miesięcy 2022 roku i wynosiła 72,6 PLN. </w:t>
      </w:r>
    </w:p>
    <w:p w14:paraId="634A115E" w14:textId="01A4B776" w:rsidR="008C6E2E" w:rsidRPr="00005102" w:rsidRDefault="008C6E2E" w:rsidP="008C6E2E">
      <w:pPr>
        <w:jc w:val="both"/>
        <w:rPr>
          <w:rFonts w:ascii="Arial" w:hAnsi="Arial" w:cs="Arial"/>
        </w:rPr>
      </w:pPr>
      <w:r w:rsidRPr="00005102">
        <w:rPr>
          <w:rFonts w:ascii="Arial" w:hAnsi="Arial" w:cs="Arial"/>
        </w:rPr>
        <w:t>Płatności za przekąski w sezonowym lokalu czy warzywa na lokalnym targu sprawiają też, że sięgamy po gotówkę. Jest to widoczne także w statystykach dotyczących transakcji klientów Pekao w bankomatach. Najwięcej transakcji w bankomatach, zarówno wpłat</w:t>
      </w:r>
      <w:r w:rsidR="007D4F61">
        <w:rPr>
          <w:rFonts w:ascii="Arial" w:hAnsi="Arial" w:cs="Arial"/>
        </w:rPr>
        <w:t>, jak</w:t>
      </w:r>
      <w:r w:rsidRPr="00005102">
        <w:rPr>
          <w:rFonts w:ascii="Arial" w:hAnsi="Arial" w:cs="Arial"/>
        </w:rPr>
        <w:t xml:space="preserve"> i wypłat w zeszłym roku</w:t>
      </w:r>
      <w:r w:rsidR="007D4F61">
        <w:rPr>
          <w:rFonts w:ascii="Arial" w:hAnsi="Arial" w:cs="Arial"/>
        </w:rPr>
        <w:t>,</w:t>
      </w:r>
      <w:r w:rsidRPr="00005102">
        <w:rPr>
          <w:rFonts w:ascii="Arial" w:hAnsi="Arial" w:cs="Arial"/>
        </w:rPr>
        <w:t xml:space="preserve"> było zrealizowanych właśnie w czerwcu, średnio niemal 211,4 tys. dziennie. W porównaniu do np. stycznia, kiedy transakcji w bankomatach klienci Banku Pekao wykonywali średnio 139 tys. dziennie, przewaga czerwca jest znacząca. Co potwierdza, że podczas letnich aktywności częściej sięgamy po gotówkę wybraną z bankomatu. </w:t>
      </w:r>
    </w:p>
    <w:p w14:paraId="3430EE2F" w14:textId="77777777" w:rsidR="00005102" w:rsidRDefault="00005102" w:rsidP="008C6E2E">
      <w:pPr>
        <w:jc w:val="both"/>
        <w:rPr>
          <w:rFonts w:ascii="Arial" w:hAnsi="Arial" w:cs="Arial"/>
          <w:b/>
          <w:bCs/>
        </w:rPr>
      </w:pPr>
    </w:p>
    <w:p w14:paraId="2B893EB5" w14:textId="1CFD1590" w:rsidR="008C6E2E" w:rsidRPr="00005102" w:rsidRDefault="008C6E2E" w:rsidP="008C6E2E">
      <w:pPr>
        <w:jc w:val="both"/>
        <w:rPr>
          <w:rFonts w:ascii="Arial" w:hAnsi="Arial" w:cs="Arial"/>
          <w:b/>
          <w:bCs/>
        </w:rPr>
      </w:pPr>
      <w:r w:rsidRPr="00005102">
        <w:rPr>
          <w:rFonts w:ascii="Arial" w:hAnsi="Arial" w:cs="Arial"/>
          <w:b/>
          <w:bCs/>
        </w:rPr>
        <w:t xml:space="preserve">Wakacyjne płatności – zbliżeniowo zegarkiem </w:t>
      </w:r>
    </w:p>
    <w:p w14:paraId="4B376D63" w14:textId="77777777" w:rsidR="008C6E2E" w:rsidRPr="00005102" w:rsidRDefault="008C6E2E" w:rsidP="008C6E2E">
      <w:pPr>
        <w:jc w:val="both"/>
        <w:rPr>
          <w:rFonts w:ascii="Arial" w:hAnsi="Arial" w:cs="Arial"/>
        </w:rPr>
      </w:pPr>
      <w:r w:rsidRPr="00005102">
        <w:rPr>
          <w:rFonts w:ascii="Arial" w:hAnsi="Arial" w:cs="Arial"/>
        </w:rPr>
        <w:t xml:space="preserve">Klienci Banku Pekao mają możliwość korzystania </w:t>
      </w:r>
      <w:hyperlink r:id="rId12" w:history="1">
        <w:r w:rsidRPr="00005102">
          <w:rPr>
            <w:rStyle w:val="Hipercze"/>
            <w:rFonts w:ascii="Arial" w:hAnsi="Arial" w:cs="Arial"/>
          </w:rPr>
          <w:t>z szerokiej oferty form płatności</w:t>
        </w:r>
      </w:hyperlink>
      <w:r w:rsidRPr="00005102">
        <w:rPr>
          <w:rFonts w:ascii="Arial" w:hAnsi="Arial" w:cs="Arial"/>
        </w:rPr>
        <w:t xml:space="preserve">. Począwszy od transakcji kartą czy BLIK, poprzez płatności Apple </w:t>
      </w:r>
      <w:proofErr w:type="spellStart"/>
      <w:r w:rsidRPr="00005102">
        <w:rPr>
          <w:rFonts w:ascii="Arial" w:hAnsi="Arial" w:cs="Arial"/>
        </w:rPr>
        <w:t>Pay</w:t>
      </w:r>
      <w:proofErr w:type="spellEnd"/>
      <w:r w:rsidRPr="00005102">
        <w:rPr>
          <w:rFonts w:ascii="Arial" w:hAnsi="Arial" w:cs="Arial"/>
        </w:rPr>
        <w:t xml:space="preserve"> lub Google </w:t>
      </w:r>
      <w:proofErr w:type="spellStart"/>
      <w:r w:rsidRPr="00005102">
        <w:rPr>
          <w:rFonts w:ascii="Arial" w:hAnsi="Arial" w:cs="Arial"/>
        </w:rPr>
        <w:t>Pay</w:t>
      </w:r>
      <w:proofErr w:type="spellEnd"/>
      <w:r w:rsidRPr="00005102">
        <w:rPr>
          <w:rFonts w:ascii="Arial" w:hAnsi="Arial" w:cs="Arial"/>
        </w:rPr>
        <w:t xml:space="preserve">, do zegarków z opcją </w:t>
      </w:r>
      <w:proofErr w:type="spellStart"/>
      <w:r w:rsidRPr="00005102">
        <w:rPr>
          <w:rFonts w:ascii="Arial" w:hAnsi="Arial" w:cs="Arial"/>
        </w:rPr>
        <w:t>Fitbit</w:t>
      </w:r>
      <w:proofErr w:type="spellEnd"/>
      <w:r w:rsidRPr="00005102">
        <w:rPr>
          <w:rFonts w:ascii="Arial" w:hAnsi="Arial" w:cs="Arial"/>
        </w:rPr>
        <w:t xml:space="preserve"> </w:t>
      </w:r>
      <w:proofErr w:type="spellStart"/>
      <w:r w:rsidRPr="00005102">
        <w:rPr>
          <w:rFonts w:ascii="Arial" w:hAnsi="Arial" w:cs="Arial"/>
        </w:rPr>
        <w:t>Pay</w:t>
      </w:r>
      <w:proofErr w:type="spellEnd"/>
      <w:r w:rsidRPr="00005102">
        <w:rPr>
          <w:rFonts w:ascii="Arial" w:hAnsi="Arial" w:cs="Arial"/>
        </w:rPr>
        <w:t xml:space="preserve"> oraz </w:t>
      </w:r>
      <w:proofErr w:type="spellStart"/>
      <w:r w:rsidRPr="00005102">
        <w:rPr>
          <w:rFonts w:ascii="Arial" w:hAnsi="Arial" w:cs="Arial"/>
        </w:rPr>
        <w:t>Garmin</w:t>
      </w:r>
      <w:proofErr w:type="spellEnd"/>
      <w:r w:rsidRPr="00005102">
        <w:rPr>
          <w:rFonts w:ascii="Arial" w:hAnsi="Arial" w:cs="Arial"/>
        </w:rPr>
        <w:t xml:space="preserve"> </w:t>
      </w:r>
      <w:proofErr w:type="spellStart"/>
      <w:r w:rsidRPr="00005102">
        <w:rPr>
          <w:rFonts w:ascii="Arial" w:hAnsi="Arial" w:cs="Arial"/>
        </w:rPr>
        <w:t>Pay</w:t>
      </w:r>
      <w:proofErr w:type="spellEnd"/>
      <w:r w:rsidRPr="00005102">
        <w:rPr>
          <w:rFonts w:ascii="Arial" w:hAnsi="Arial" w:cs="Arial"/>
        </w:rPr>
        <w:t>.</w:t>
      </w:r>
    </w:p>
    <w:p w14:paraId="286C3B52" w14:textId="70F839B1" w:rsidR="008C6E2E" w:rsidRPr="00005102" w:rsidRDefault="008C6E2E" w:rsidP="008C6E2E">
      <w:pPr>
        <w:jc w:val="both"/>
        <w:rPr>
          <w:rFonts w:ascii="Arial" w:hAnsi="Arial" w:cs="Arial"/>
        </w:rPr>
      </w:pPr>
      <w:r w:rsidRPr="00005102">
        <w:rPr>
          <w:rFonts w:ascii="Arial" w:hAnsi="Arial" w:cs="Arial"/>
        </w:rPr>
        <w:t xml:space="preserve">Z danych za 2022 rok wynika, że właśnie w miesiącach letnich klienci Pekao chętniej sięgali po możliwość płatności zbliżeniowych za pomocą zegarka z funkcją </w:t>
      </w:r>
      <w:proofErr w:type="spellStart"/>
      <w:r w:rsidRPr="00005102">
        <w:rPr>
          <w:rFonts w:ascii="Arial" w:hAnsi="Arial" w:cs="Arial"/>
        </w:rPr>
        <w:t>Fitbit</w:t>
      </w:r>
      <w:proofErr w:type="spellEnd"/>
      <w:r w:rsidRPr="00005102">
        <w:rPr>
          <w:rFonts w:ascii="Arial" w:hAnsi="Arial" w:cs="Arial"/>
        </w:rPr>
        <w:t xml:space="preserve"> </w:t>
      </w:r>
      <w:proofErr w:type="spellStart"/>
      <w:r w:rsidRPr="00005102">
        <w:rPr>
          <w:rFonts w:ascii="Arial" w:hAnsi="Arial" w:cs="Arial"/>
        </w:rPr>
        <w:t>Pay</w:t>
      </w:r>
      <w:proofErr w:type="spellEnd"/>
      <w:r w:rsidRPr="00005102">
        <w:rPr>
          <w:rFonts w:ascii="Arial" w:hAnsi="Arial" w:cs="Arial"/>
        </w:rPr>
        <w:t xml:space="preserve"> lub </w:t>
      </w:r>
      <w:proofErr w:type="spellStart"/>
      <w:r w:rsidRPr="00005102">
        <w:rPr>
          <w:rFonts w:ascii="Arial" w:hAnsi="Arial" w:cs="Arial"/>
        </w:rPr>
        <w:t>Garmin</w:t>
      </w:r>
      <w:proofErr w:type="spellEnd"/>
      <w:r w:rsidRPr="00005102">
        <w:rPr>
          <w:rFonts w:ascii="Arial" w:hAnsi="Arial" w:cs="Arial"/>
        </w:rPr>
        <w:t xml:space="preserve"> </w:t>
      </w:r>
      <w:proofErr w:type="spellStart"/>
      <w:r w:rsidRPr="00005102">
        <w:rPr>
          <w:rFonts w:ascii="Arial" w:hAnsi="Arial" w:cs="Arial"/>
        </w:rPr>
        <w:t>Pay</w:t>
      </w:r>
      <w:proofErr w:type="spellEnd"/>
      <w:r w:rsidRPr="00005102">
        <w:rPr>
          <w:rFonts w:ascii="Arial" w:hAnsi="Arial" w:cs="Arial"/>
        </w:rPr>
        <w:t>. Bieganie, piesze wędrówki czy wycieczk</w:t>
      </w:r>
      <w:r w:rsidR="007D4F61">
        <w:rPr>
          <w:rFonts w:ascii="Arial" w:hAnsi="Arial" w:cs="Arial"/>
        </w:rPr>
        <w:t>i</w:t>
      </w:r>
      <w:r w:rsidRPr="00005102">
        <w:rPr>
          <w:rFonts w:ascii="Arial" w:hAnsi="Arial" w:cs="Arial"/>
        </w:rPr>
        <w:t xml:space="preserve"> rowerow</w:t>
      </w:r>
      <w:r w:rsidR="007D4F61">
        <w:rPr>
          <w:rFonts w:ascii="Arial" w:hAnsi="Arial" w:cs="Arial"/>
        </w:rPr>
        <w:t>e</w:t>
      </w:r>
      <w:r w:rsidRPr="00005102">
        <w:rPr>
          <w:rFonts w:ascii="Arial" w:hAnsi="Arial" w:cs="Arial"/>
        </w:rPr>
        <w:t xml:space="preserve"> sprzyjają wykorzystywaniu zegarka do  płatności za napoje lub lody. Prawdopodobnie z tego powodu transakcji </w:t>
      </w:r>
      <w:proofErr w:type="spellStart"/>
      <w:r w:rsidRPr="00005102">
        <w:rPr>
          <w:rFonts w:ascii="Arial" w:hAnsi="Arial" w:cs="Arial"/>
        </w:rPr>
        <w:t>Garmin</w:t>
      </w:r>
      <w:proofErr w:type="spellEnd"/>
      <w:r w:rsidRPr="00005102">
        <w:rPr>
          <w:rFonts w:ascii="Arial" w:hAnsi="Arial" w:cs="Arial"/>
        </w:rPr>
        <w:t xml:space="preserve"> </w:t>
      </w:r>
      <w:proofErr w:type="spellStart"/>
      <w:r w:rsidRPr="00005102">
        <w:rPr>
          <w:rFonts w:ascii="Arial" w:hAnsi="Arial" w:cs="Arial"/>
        </w:rPr>
        <w:t>Pay</w:t>
      </w:r>
      <w:proofErr w:type="spellEnd"/>
      <w:r w:rsidRPr="00005102">
        <w:rPr>
          <w:rFonts w:ascii="Arial" w:hAnsi="Arial" w:cs="Arial"/>
        </w:rPr>
        <w:t xml:space="preserve"> w lipcu i sierpniu 2022 r. było średnio ponad 5 tys. dziennie, co oznacza duży wzrost w porównaniu do marca (3,1 tys.) lub grudnia (4,1 tys.) zeszłego roku. To, że klienci Pekao wykorzystują płatności zbliżeniowe, np. </w:t>
      </w:r>
      <w:proofErr w:type="spellStart"/>
      <w:r w:rsidRPr="00005102">
        <w:rPr>
          <w:rFonts w:ascii="Arial" w:hAnsi="Arial" w:cs="Arial"/>
        </w:rPr>
        <w:t>Garmin</w:t>
      </w:r>
      <w:proofErr w:type="spellEnd"/>
      <w:r w:rsidRPr="00005102">
        <w:rPr>
          <w:rFonts w:ascii="Arial" w:hAnsi="Arial" w:cs="Arial"/>
        </w:rPr>
        <w:t xml:space="preserve"> </w:t>
      </w:r>
      <w:proofErr w:type="spellStart"/>
      <w:r w:rsidRPr="00005102">
        <w:rPr>
          <w:rFonts w:ascii="Arial" w:hAnsi="Arial" w:cs="Arial"/>
        </w:rPr>
        <w:t>Pay</w:t>
      </w:r>
      <w:proofErr w:type="spellEnd"/>
      <w:r w:rsidRPr="00005102">
        <w:rPr>
          <w:rFonts w:ascii="Arial" w:hAnsi="Arial" w:cs="Arial"/>
        </w:rPr>
        <w:t xml:space="preserve"> do zapłaty za drobne zakupy</w:t>
      </w:r>
      <w:r w:rsidR="007D4F61">
        <w:rPr>
          <w:rFonts w:ascii="Arial" w:hAnsi="Arial" w:cs="Arial"/>
        </w:rPr>
        <w:t>,</w:t>
      </w:r>
      <w:r w:rsidRPr="00005102">
        <w:rPr>
          <w:rFonts w:ascii="Arial" w:hAnsi="Arial" w:cs="Arial"/>
        </w:rPr>
        <w:t xml:space="preserve"> podczas wakacyjnych aktywności, jest widoczne w średniej kwocie transakcji realizowanych </w:t>
      </w:r>
      <w:r w:rsidR="007D4F61">
        <w:rPr>
          <w:rFonts w:ascii="Arial" w:hAnsi="Arial" w:cs="Arial"/>
        </w:rPr>
        <w:t>w trakcie</w:t>
      </w:r>
      <w:r w:rsidRPr="00005102">
        <w:rPr>
          <w:rFonts w:ascii="Arial" w:hAnsi="Arial" w:cs="Arial"/>
        </w:rPr>
        <w:t xml:space="preserve"> letnich miesięcy. Średnia wartość transakcji </w:t>
      </w:r>
      <w:proofErr w:type="spellStart"/>
      <w:r w:rsidRPr="00005102">
        <w:rPr>
          <w:rFonts w:ascii="Arial" w:hAnsi="Arial" w:cs="Arial"/>
        </w:rPr>
        <w:t>Garmin</w:t>
      </w:r>
      <w:proofErr w:type="spellEnd"/>
      <w:r w:rsidRPr="00005102">
        <w:rPr>
          <w:rFonts w:ascii="Arial" w:hAnsi="Arial" w:cs="Arial"/>
        </w:rPr>
        <w:t xml:space="preserve"> </w:t>
      </w:r>
      <w:proofErr w:type="spellStart"/>
      <w:r w:rsidRPr="00005102">
        <w:rPr>
          <w:rFonts w:ascii="Arial" w:hAnsi="Arial" w:cs="Arial"/>
        </w:rPr>
        <w:t>Pay</w:t>
      </w:r>
      <w:proofErr w:type="spellEnd"/>
      <w:r w:rsidRPr="00005102">
        <w:rPr>
          <w:rFonts w:ascii="Arial" w:hAnsi="Arial" w:cs="Arial"/>
        </w:rPr>
        <w:t xml:space="preserve"> w lipcu 2022 r. wynosiła 60,8 PLN, a w grudniu kiedy była najwyższa, było to 69,2 PLN. </w:t>
      </w:r>
    </w:p>
    <w:p w14:paraId="109C3D9B" w14:textId="77777777" w:rsidR="00005102" w:rsidRDefault="00005102" w:rsidP="008C6E2E">
      <w:pPr>
        <w:jc w:val="both"/>
        <w:rPr>
          <w:rFonts w:ascii="Arial" w:hAnsi="Arial" w:cs="Arial"/>
          <w:b/>
          <w:bCs/>
        </w:rPr>
      </w:pPr>
    </w:p>
    <w:p w14:paraId="7A0478E3" w14:textId="77777777" w:rsidR="00005102" w:rsidRDefault="00005102" w:rsidP="008C6E2E">
      <w:pPr>
        <w:jc w:val="both"/>
        <w:rPr>
          <w:rFonts w:ascii="Arial" w:hAnsi="Arial" w:cs="Arial"/>
          <w:b/>
          <w:bCs/>
        </w:rPr>
      </w:pPr>
    </w:p>
    <w:p w14:paraId="16DC0A15" w14:textId="77777777" w:rsidR="00005102" w:rsidRDefault="00005102" w:rsidP="008C6E2E">
      <w:pPr>
        <w:jc w:val="both"/>
        <w:rPr>
          <w:rFonts w:ascii="Arial" w:hAnsi="Arial" w:cs="Arial"/>
          <w:b/>
          <w:bCs/>
        </w:rPr>
      </w:pPr>
    </w:p>
    <w:p w14:paraId="13F7659B" w14:textId="189E958D" w:rsidR="00005102" w:rsidRDefault="008C6E2E" w:rsidP="008C6E2E">
      <w:pPr>
        <w:jc w:val="both"/>
        <w:rPr>
          <w:rFonts w:ascii="Arial" w:hAnsi="Arial" w:cs="Arial"/>
          <w:b/>
          <w:bCs/>
        </w:rPr>
      </w:pPr>
      <w:r w:rsidRPr="00005102">
        <w:rPr>
          <w:rFonts w:ascii="Arial" w:hAnsi="Arial" w:cs="Arial"/>
          <w:b/>
          <w:bCs/>
        </w:rPr>
        <w:lastRenderedPageBreak/>
        <w:t>Zakupy e-commerce i przelewy także z leżaka</w:t>
      </w:r>
    </w:p>
    <w:p w14:paraId="52C9584C" w14:textId="511D63D6" w:rsidR="008C6E2E" w:rsidRPr="00005102" w:rsidRDefault="008C6E2E" w:rsidP="008C6E2E">
      <w:pPr>
        <w:jc w:val="both"/>
        <w:rPr>
          <w:rFonts w:ascii="Arial" w:hAnsi="Arial" w:cs="Arial"/>
          <w:b/>
          <w:bCs/>
        </w:rPr>
      </w:pPr>
      <w:r w:rsidRPr="00005102">
        <w:rPr>
          <w:rFonts w:ascii="Arial" w:hAnsi="Arial" w:cs="Arial"/>
        </w:rPr>
        <w:t>Całodobowa dostępność jest według badania „E-commerce w Polsce” z 2022 r. najważniejszą wartością zakupów on-line – wskazało ją 75 proc. respondentów.</w:t>
      </w:r>
      <w:r w:rsidRPr="00005102">
        <w:rPr>
          <w:rStyle w:val="Odwoanieprzypisudolnego"/>
          <w:rFonts w:ascii="Arial" w:hAnsi="Arial" w:cs="Arial"/>
        </w:rPr>
        <w:footnoteReference w:id="2"/>
      </w:r>
      <w:r w:rsidRPr="00005102">
        <w:rPr>
          <w:rFonts w:ascii="Arial" w:hAnsi="Arial" w:cs="Arial"/>
        </w:rPr>
        <w:t xml:space="preserve"> Dodatkowo, dzięki rozwiązaniom mobilnym, decyzje zakupowe możemy podejmować także podczas letniego wypoczynku, czy nawet podczas krótkiego postoju na wycieczce rowerowej. Prawdopodobnie z tego powodu, jeśli chodzi o liczbę transakcji e-commerce w miesiącach letnich 2022 roku, nie widać szczególnych odchyleń w porównaniu do pozostałych miesięcy w roku.  W czerwcu 2022 roku klienci Banku Pekao zrealizowali średnio dziennie niemal 248 tys. transakcji e-commerce i chociaż to więcej niż np. w styczniu, kiedy było ich średnio 237 tys. dziennie, to jednak sporo mniej niż</w:t>
      </w:r>
      <w:r w:rsidR="007D4F61">
        <w:rPr>
          <w:rFonts w:ascii="Arial" w:hAnsi="Arial" w:cs="Arial"/>
        </w:rPr>
        <w:t xml:space="preserve"> w</w:t>
      </w:r>
      <w:r w:rsidRPr="00005102">
        <w:rPr>
          <w:rFonts w:ascii="Arial" w:hAnsi="Arial" w:cs="Arial"/>
        </w:rPr>
        <w:t xml:space="preserve"> listopadzie (średnio niemal 289 tys. transakcji dziennie). </w:t>
      </w:r>
    </w:p>
    <w:p w14:paraId="114D3321" w14:textId="439206AE" w:rsidR="008C6E2E" w:rsidRPr="00005102" w:rsidRDefault="008C6E2E" w:rsidP="008C6E2E">
      <w:pPr>
        <w:jc w:val="both"/>
        <w:rPr>
          <w:rFonts w:ascii="Arial" w:hAnsi="Arial" w:cs="Arial"/>
        </w:rPr>
      </w:pPr>
      <w:r w:rsidRPr="00005102">
        <w:rPr>
          <w:rFonts w:ascii="Arial" w:hAnsi="Arial" w:cs="Arial"/>
        </w:rPr>
        <w:t xml:space="preserve">Podobnie dane prezentują się jeśli chodzi o liczbę przelewów zlecanych podczas letnich miesięcy - klienci Pekao zlecili ich więcej niż podczas tych wiosennych, ale wraz z nadchodzącą jesienią, liczba przelewów również wzrosła. Jedynie jeśli chodzi o średnią wartość zlecanego przelewu, zeszłoroczny lipiec wyróżnia się na tle pozostałych miesięcy roku. Przeciętna wartość jednego przelewu </w:t>
      </w:r>
      <w:r w:rsidR="007D4F61">
        <w:rPr>
          <w:rFonts w:ascii="Arial" w:hAnsi="Arial" w:cs="Arial"/>
        </w:rPr>
        <w:t>wysyłanego</w:t>
      </w:r>
      <w:r w:rsidRPr="00005102">
        <w:rPr>
          <w:rFonts w:ascii="Arial" w:hAnsi="Arial" w:cs="Arial"/>
        </w:rPr>
        <w:t xml:space="preserve"> w tym miesiącu wyniosła 1235,8 PLN i była najwyższa w porównaniu do pozostałych miesięcy 2022 r. Być może powodem wzrostu w tym czasie są wakacyjne rezerwacje lub podróże, tym bardziej</w:t>
      </w:r>
      <w:r w:rsidR="007D4F61">
        <w:rPr>
          <w:rFonts w:ascii="Arial" w:hAnsi="Arial" w:cs="Arial"/>
        </w:rPr>
        <w:t xml:space="preserve">, </w:t>
      </w:r>
      <w:r w:rsidRPr="00005102">
        <w:rPr>
          <w:rFonts w:ascii="Arial" w:hAnsi="Arial" w:cs="Arial"/>
        </w:rPr>
        <w:t>że we wspominanym raporcie „E-commerce w Polsce” z 2022 r. najwięcej, bo aż 34 proc. respondentów</w:t>
      </w:r>
      <w:r w:rsidR="007D4F61">
        <w:rPr>
          <w:rFonts w:ascii="Arial" w:hAnsi="Arial" w:cs="Arial"/>
        </w:rPr>
        <w:t>,</w:t>
      </w:r>
      <w:r w:rsidRPr="00005102">
        <w:rPr>
          <w:rFonts w:ascii="Arial" w:hAnsi="Arial" w:cs="Arial"/>
        </w:rPr>
        <w:t xml:space="preserve"> wskazało kategorię dotyczącą podróży i rezerwacji jako tę, </w:t>
      </w:r>
      <w:r w:rsidR="00EE1CF1">
        <w:rPr>
          <w:rFonts w:ascii="Arial" w:hAnsi="Arial" w:cs="Arial"/>
        </w:rPr>
        <w:t xml:space="preserve">w </w:t>
      </w:r>
      <w:r w:rsidRPr="00005102">
        <w:rPr>
          <w:rFonts w:ascii="Arial" w:hAnsi="Arial" w:cs="Arial"/>
        </w:rPr>
        <w:t>któr</w:t>
      </w:r>
      <w:r w:rsidR="00EE1CF1">
        <w:rPr>
          <w:rFonts w:ascii="Arial" w:hAnsi="Arial" w:cs="Arial"/>
        </w:rPr>
        <w:t>ej</w:t>
      </w:r>
      <w:r w:rsidRPr="00005102">
        <w:rPr>
          <w:rFonts w:ascii="Arial" w:hAnsi="Arial" w:cs="Arial"/>
        </w:rPr>
        <w:t xml:space="preserve"> planuje </w:t>
      </w:r>
      <w:r w:rsidR="00EE1CF1">
        <w:rPr>
          <w:rFonts w:ascii="Arial" w:hAnsi="Arial" w:cs="Arial"/>
        </w:rPr>
        <w:t>za</w:t>
      </w:r>
      <w:r w:rsidRPr="00005102">
        <w:rPr>
          <w:rFonts w:ascii="Arial" w:hAnsi="Arial" w:cs="Arial"/>
        </w:rPr>
        <w:t xml:space="preserve">kup przez </w:t>
      </w:r>
      <w:proofErr w:type="spellStart"/>
      <w:r w:rsidRPr="00005102">
        <w:rPr>
          <w:rFonts w:ascii="Arial" w:hAnsi="Arial" w:cs="Arial"/>
        </w:rPr>
        <w:t>internet</w:t>
      </w:r>
      <w:proofErr w:type="spellEnd"/>
      <w:r w:rsidRPr="00005102">
        <w:rPr>
          <w:rFonts w:ascii="Arial" w:hAnsi="Arial" w:cs="Arial"/>
        </w:rPr>
        <w:t xml:space="preserve">. Klienci Banku Pekao, dokonując transakcji </w:t>
      </w:r>
      <w:hyperlink r:id="rId13" w:history="1">
        <w:r w:rsidRPr="00005102">
          <w:rPr>
            <w:rStyle w:val="Hipercze"/>
            <w:rFonts w:ascii="Arial" w:hAnsi="Arial" w:cs="Arial"/>
          </w:rPr>
          <w:t>kartą kredytową z Żubrem</w:t>
        </w:r>
      </w:hyperlink>
      <w:r w:rsidRPr="00005102">
        <w:rPr>
          <w:rFonts w:ascii="Arial" w:hAnsi="Arial" w:cs="Arial"/>
        </w:rPr>
        <w:t xml:space="preserve">, mają możliwość rozłożenia płatności na raty 10x0 proc.  </w:t>
      </w:r>
    </w:p>
    <w:p w14:paraId="5957DC55" w14:textId="77777777" w:rsidR="00005102" w:rsidRDefault="00005102" w:rsidP="008C6E2E">
      <w:pPr>
        <w:jc w:val="both"/>
        <w:rPr>
          <w:rFonts w:ascii="Arial" w:hAnsi="Arial" w:cs="Arial"/>
          <w:b/>
          <w:bCs/>
        </w:rPr>
      </w:pPr>
    </w:p>
    <w:p w14:paraId="59AF3275" w14:textId="4A7DDB6E" w:rsidR="008C6E2E" w:rsidRPr="00005102" w:rsidRDefault="008C6E2E" w:rsidP="008C6E2E">
      <w:pPr>
        <w:jc w:val="both"/>
        <w:rPr>
          <w:rFonts w:ascii="Arial" w:hAnsi="Arial" w:cs="Arial"/>
          <w:b/>
          <w:bCs/>
        </w:rPr>
      </w:pPr>
      <w:r w:rsidRPr="00005102">
        <w:rPr>
          <w:rFonts w:ascii="Arial" w:hAnsi="Arial" w:cs="Arial"/>
          <w:b/>
          <w:bCs/>
        </w:rPr>
        <w:t xml:space="preserve">Bezpieczne zakupy i nie tylko </w:t>
      </w:r>
    </w:p>
    <w:p w14:paraId="312F988F" w14:textId="4A374AC8" w:rsidR="008C6E2E" w:rsidRPr="00005102" w:rsidRDefault="008C6E2E" w:rsidP="008C6E2E">
      <w:pPr>
        <w:jc w:val="both"/>
        <w:rPr>
          <w:rFonts w:ascii="Arial" w:hAnsi="Arial" w:cs="Arial"/>
        </w:rPr>
      </w:pPr>
      <w:r w:rsidRPr="00005102">
        <w:rPr>
          <w:rFonts w:ascii="Arial" w:hAnsi="Arial" w:cs="Arial"/>
        </w:rPr>
        <w:t xml:space="preserve">Klienci Banku Pekao S.A. </w:t>
      </w:r>
      <w:r w:rsidR="007D4F61">
        <w:rPr>
          <w:rFonts w:ascii="Arial" w:hAnsi="Arial" w:cs="Arial"/>
        </w:rPr>
        <w:t>mają możliwość zwiększenia</w:t>
      </w:r>
      <w:r w:rsidRPr="00005102">
        <w:rPr>
          <w:rFonts w:ascii="Arial" w:hAnsi="Arial" w:cs="Arial"/>
        </w:rPr>
        <w:t xml:space="preserve"> bezpieczeństwa realizowanych zakupów w każdym czasie, nie tylko podczas letnich miesięcy. W przypadku płatności za zakupy oraz transakcji internetowych </w:t>
      </w:r>
      <w:hyperlink r:id="rId14" w:history="1">
        <w:r w:rsidRPr="00005102">
          <w:rPr>
            <w:rStyle w:val="Hipercze"/>
            <w:rFonts w:ascii="Arial" w:hAnsi="Arial" w:cs="Arial"/>
          </w:rPr>
          <w:t>kartą kredytową z Żubrem</w:t>
        </w:r>
      </w:hyperlink>
      <w:r w:rsidRPr="00005102">
        <w:rPr>
          <w:rFonts w:ascii="Arial" w:hAnsi="Arial" w:cs="Arial"/>
        </w:rPr>
        <w:t xml:space="preserve">, mogą dodatkowo je ubezpieczyć. Ubezpieczenie zakupów i transakcji w </w:t>
      </w:r>
      <w:proofErr w:type="spellStart"/>
      <w:r w:rsidRPr="00005102">
        <w:rPr>
          <w:rFonts w:ascii="Arial" w:hAnsi="Arial" w:cs="Arial"/>
        </w:rPr>
        <w:t>internecie</w:t>
      </w:r>
      <w:proofErr w:type="spellEnd"/>
      <w:r w:rsidRPr="00005102">
        <w:rPr>
          <w:rFonts w:ascii="Arial" w:hAnsi="Arial" w:cs="Arial"/>
        </w:rPr>
        <w:t xml:space="preserve"> jest dostępne także dla klientów, którzy korzystają z </w:t>
      </w:r>
      <w:hyperlink r:id="rId15" w:history="1">
        <w:r w:rsidRPr="00005102">
          <w:rPr>
            <w:rStyle w:val="Hipercze"/>
            <w:rFonts w:ascii="Arial" w:hAnsi="Arial" w:cs="Arial"/>
          </w:rPr>
          <w:t>Pakietu Komfort</w:t>
        </w:r>
      </w:hyperlink>
      <w:r w:rsidRPr="00005102">
        <w:rPr>
          <w:rFonts w:ascii="Arial" w:hAnsi="Arial" w:cs="Arial"/>
        </w:rPr>
        <w:t xml:space="preserve"> zawierającego pakiet </w:t>
      </w:r>
      <w:r w:rsidR="009754F5">
        <w:rPr>
          <w:rFonts w:ascii="Arial" w:hAnsi="Arial" w:cs="Arial"/>
        </w:rPr>
        <w:t xml:space="preserve">ochronny m.in. na </w:t>
      </w:r>
      <w:r w:rsidRPr="00005102">
        <w:rPr>
          <w:rFonts w:ascii="Arial" w:hAnsi="Arial" w:cs="Arial"/>
        </w:rPr>
        <w:t>zakup</w:t>
      </w:r>
      <w:r w:rsidR="009754F5">
        <w:rPr>
          <w:rFonts w:ascii="Arial" w:hAnsi="Arial" w:cs="Arial"/>
        </w:rPr>
        <w:t>y</w:t>
      </w:r>
      <w:r w:rsidRPr="00005102">
        <w:rPr>
          <w:rFonts w:ascii="Arial" w:hAnsi="Arial" w:cs="Arial"/>
        </w:rPr>
        <w:t xml:space="preserve"> przez </w:t>
      </w:r>
      <w:proofErr w:type="spellStart"/>
      <w:r w:rsidRPr="00005102">
        <w:rPr>
          <w:rFonts w:ascii="Arial" w:hAnsi="Arial" w:cs="Arial"/>
        </w:rPr>
        <w:t>internet</w:t>
      </w:r>
      <w:proofErr w:type="spellEnd"/>
      <w:r w:rsidRPr="00005102">
        <w:rPr>
          <w:rFonts w:ascii="Arial" w:hAnsi="Arial" w:cs="Arial"/>
        </w:rPr>
        <w:t xml:space="preserve"> (np. </w:t>
      </w:r>
      <w:r w:rsidR="009754F5">
        <w:rPr>
          <w:rFonts w:ascii="Arial" w:hAnsi="Arial" w:cs="Arial"/>
        </w:rPr>
        <w:t xml:space="preserve">można liczyć na </w:t>
      </w:r>
      <w:r w:rsidRPr="00005102">
        <w:rPr>
          <w:rFonts w:ascii="Arial" w:hAnsi="Arial" w:cs="Arial"/>
        </w:rPr>
        <w:t xml:space="preserve">zwrot pieniędzy, jeśli sprzedawca dostarczył towar niezgodny z zamówieniem i nie chce </w:t>
      </w:r>
      <w:r w:rsidR="009754F5">
        <w:rPr>
          <w:rFonts w:ascii="Arial" w:hAnsi="Arial" w:cs="Arial"/>
        </w:rPr>
        <w:t>oddać</w:t>
      </w:r>
      <w:r w:rsidR="009754F5" w:rsidRPr="00005102">
        <w:rPr>
          <w:rFonts w:ascii="Arial" w:hAnsi="Arial" w:cs="Arial"/>
        </w:rPr>
        <w:t xml:space="preserve"> </w:t>
      </w:r>
      <w:r w:rsidR="009754F5">
        <w:rPr>
          <w:rFonts w:ascii="Arial" w:hAnsi="Arial" w:cs="Arial"/>
        </w:rPr>
        <w:t>przelanej kwoty</w:t>
      </w:r>
      <w:r w:rsidRPr="00005102">
        <w:rPr>
          <w:rFonts w:ascii="Arial" w:hAnsi="Arial" w:cs="Arial"/>
        </w:rPr>
        <w:t xml:space="preserve">). </w:t>
      </w:r>
    </w:p>
    <w:p w14:paraId="09FC6890" w14:textId="45897055" w:rsidR="008C6E2E" w:rsidRPr="00005102" w:rsidRDefault="008C6E2E" w:rsidP="008C6E2E">
      <w:pPr>
        <w:jc w:val="both"/>
        <w:rPr>
          <w:rFonts w:ascii="Arial" w:hAnsi="Arial" w:cs="Arial"/>
        </w:rPr>
      </w:pPr>
      <w:r w:rsidRPr="00005102">
        <w:rPr>
          <w:rFonts w:ascii="Arial" w:hAnsi="Arial" w:cs="Arial"/>
        </w:rPr>
        <w:t xml:space="preserve">Oprócz podnoszenia bezpieczeństwa samych zakupów, klienci Banku Pekao S.A. mogą skorzystać z </w:t>
      </w:r>
      <w:hyperlink r:id="rId16" w:history="1">
        <w:r w:rsidRPr="00005102">
          <w:rPr>
            <w:rStyle w:val="Hipercze"/>
            <w:rFonts w:ascii="Arial" w:hAnsi="Arial" w:cs="Arial"/>
          </w:rPr>
          <w:t>ubezpieczenia turystycznego Bezpieczna podróż</w:t>
        </w:r>
      </w:hyperlink>
      <w:r w:rsidRPr="00005102">
        <w:rPr>
          <w:rFonts w:ascii="Arial" w:hAnsi="Arial" w:cs="Arial"/>
        </w:rPr>
        <w:t xml:space="preserve"> i zyskać wsparcie podczas nieoczekiwanych problemów </w:t>
      </w:r>
      <w:r w:rsidR="007D4F61">
        <w:rPr>
          <w:rFonts w:ascii="Arial" w:hAnsi="Arial" w:cs="Arial"/>
        </w:rPr>
        <w:t>w trakcie</w:t>
      </w:r>
      <w:r w:rsidRPr="00005102">
        <w:rPr>
          <w:rFonts w:ascii="Arial" w:hAnsi="Arial" w:cs="Arial"/>
        </w:rPr>
        <w:t xml:space="preserve"> podróży. </w:t>
      </w:r>
    </w:p>
    <w:p w14:paraId="01514CFB" w14:textId="77777777" w:rsidR="00315E9A" w:rsidRPr="004B119B" w:rsidRDefault="00315E9A" w:rsidP="00590C1B">
      <w:pPr>
        <w:jc w:val="both"/>
        <w:rPr>
          <w:rFonts w:ascii="Arial" w:hAnsi="Arial" w:cs="Arial"/>
          <w:b/>
        </w:rPr>
      </w:pPr>
    </w:p>
    <w:p w14:paraId="245BCF3E" w14:textId="77777777" w:rsidR="00AE4D54" w:rsidRPr="00BB59E8" w:rsidRDefault="00AE4D54" w:rsidP="00AE4D54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BB59E8">
        <w:rPr>
          <w:rFonts w:asciiTheme="minorHAnsi" w:hAnsiTheme="minorHAnsi" w:cstheme="minorHAnsi"/>
          <w:b/>
          <w:sz w:val="18"/>
          <w:szCs w:val="18"/>
        </w:rPr>
        <w:t>O Banku Pekao S.A.</w:t>
      </w:r>
    </w:p>
    <w:p w14:paraId="712A515E" w14:textId="77777777" w:rsidR="00AE4D54" w:rsidRPr="00BB59E8" w:rsidRDefault="00AE4D54" w:rsidP="00AE4D54">
      <w:pPr>
        <w:jc w:val="both"/>
        <w:rPr>
          <w:rFonts w:asciiTheme="minorHAnsi" w:hAnsiTheme="minorHAnsi" w:cstheme="minorHAnsi"/>
          <w:sz w:val="18"/>
          <w:szCs w:val="18"/>
        </w:rPr>
      </w:pPr>
      <w:r w:rsidRPr="00BB59E8">
        <w:rPr>
          <w:rFonts w:asciiTheme="minorHAnsi" w:hAnsiTheme="minorHAnsi" w:cstheme="minorHAnsi"/>
          <w:sz w:val="18"/>
          <w:szCs w:val="18"/>
        </w:rPr>
        <w:t xml:space="preserve">Bank Pekao S.A., założony w 1929 r., jest jedną z największych instytucji finansowych w regionie Europy Środkowo-Wschodniej i drugim największym bankiem uniwersalnym w Polsce z 281 mld zł aktywów. Posiadając drugą co do wielkości sieć oddziałów, Bank Pekao obsługuje ponad 6,4 mln klientów. Jako wiodący bank korporacyjny w Polsce, obsługuje co drugą korporację w Polsce. Status banku uniwersalnego opiera się na wiodącej na rynku pozycji w </w:t>
      </w:r>
      <w:proofErr w:type="spellStart"/>
      <w:r w:rsidRPr="00BB59E8">
        <w:rPr>
          <w:rFonts w:asciiTheme="minorHAnsi" w:hAnsiTheme="minorHAnsi" w:cstheme="minorHAnsi"/>
          <w:sz w:val="18"/>
          <w:szCs w:val="18"/>
        </w:rPr>
        <w:t>private</w:t>
      </w:r>
      <w:proofErr w:type="spellEnd"/>
      <w:r w:rsidRPr="00BB59E8">
        <w:rPr>
          <w:rFonts w:asciiTheme="minorHAnsi" w:hAnsiTheme="minorHAnsi" w:cstheme="minorHAnsi"/>
          <w:sz w:val="18"/>
          <w:szCs w:val="18"/>
        </w:rPr>
        <w:t xml:space="preserve"> banking, zarządzaniu aktywami i działalności maklerskiej. Zróżnicowany profil działalności Banku Pekao jest wspierany przez wiodący na rynku bilans i profil ryzyka odzwierciedlony w najniższych kosztach ryzyka, silnych wskaźnikach kapitałowych i odporności na warunki makroekonomiczne (</w:t>
      </w:r>
      <w:r w:rsidRPr="00BB59E8">
        <w:rPr>
          <w:rFonts w:asciiTheme="minorHAnsi" w:hAnsiTheme="minorHAnsi" w:cstheme="minorHAnsi"/>
          <w:sz w:val="18"/>
          <w:szCs w:val="18"/>
          <w:shd w:val="clear" w:color="auto" w:fill="FFFFFF"/>
        </w:rPr>
        <w:t>jest na drugim miejscu wśród 50 najbardziej odpornych banków w Europie w testach warunków skrajnych, przeprowadzonych przez EBA</w:t>
      </w:r>
      <w:r w:rsidRPr="00BB59E8">
        <w:rPr>
          <w:rFonts w:asciiTheme="minorHAnsi" w:hAnsiTheme="minorHAnsi" w:cstheme="minorHAnsi"/>
          <w:sz w:val="18"/>
          <w:szCs w:val="18"/>
        </w:rPr>
        <w:t xml:space="preserve">). Od 1998 r. Bank Pekao jest notowany na Giełdzie Papierów Wartościowych w Warszawie i uczestniczy w kilku lokalnych (w tym WIG 20 i WIG) oraz międzynarodowych indeksach (w tym MSCI EM, </w:t>
      </w:r>
      <w:proofErr w:type="spellStart"/>
      <w:r w:rsidRPr="00BB59E8">
        <w:rPr>
          <w:rFonts w:asciiTheme="minorHAnsi" w:hAnsiTheme="minorHAnsi" w:cstheme="minorHAnsi"/>
          <w:sz w:val="18"/>
          <w:szCs w:val="18"/>
        </w:rPr>
        <w:t>Stoxx</w:t>
      </w:r>
      <w:proofErr w:type="spellEnd"/>
      <w:r w:rsidRPr="00BB59E8">
        <w:rPr>
          <w:rFonts w:asciiTheme="minorHAnsi" w:hAnsiTheme="minorHAnsi" w:cstheme="minorHAnsi"/>
          <w:sz w:val="18"/>
          <w:szCs w:val="18"/>
        </w:rPr>
        <w:t xml:space="preserve"> Europe 600 i FTSE </w:t>
      </w:r>
      <w:proofErr w:type="spellStart"/>
      <w:r w:rsidRPr="00BB59E8">
        <w:rPr>
          <w:rFonts w:asciiTheme="minorHAnsi" w:hAnsiTheme="minorHAnsi" w:cstheme="minorHAnsi"/>
          <w:sz w:val="18"/>
          <w:szCs w:val="18"/>
        </w:rPr>
        <w:t>Developed</w:t>
      </w:r>
      <w:proofErr w:type="spellEnd"/>
      <w:r w:rsidRPr="00BB59E8">
        <w:rPr>
          <w:rFonts w:asciiTheme="minorHAnsi" w:hAnsiTheme="minorHAnsi" w:cstheme="minorHAnsi"/>
          <w:sz w:val="18"/>
          <w:szCs w:val="18"/>
        </w:rPr>
        <w:t>). Pekao jest jedną z najbardziej dywidendowych spółek giełdowych w Polsce na przestrzeni ostatnich 10 lat, wypłacając łącznie 20 mld zł w ciągu dekady.</w:t>
      </w:r>
    </w:p>
    <w:p w14:paraId="2274AEC4" w14:textId="2B45ACA0" w:rsidR="00590C1B" w:rsidRPr="00BB59E8" w:rsidRDefault="00590C1B">
      <w:pPr>
        <w:rPr>
          <w:rFonts w:asciiTheme="minorHAnsi" w:hAnsiTheme="minorHAnsi" w:cstheme="minorHAnsi"/>
          <w:sz w:val="18"/>
          <w:szCs w:val="18"/>
        </w:rPr>
      </w:pPr>
    </w:p>
    <w:p w14:paraId="2AFC4EC4" w14:textId="77777777" w:rsidR="00590C1B" w:rsidRPr="004B119B" w:rsidRDefault="00590C1B">
      <w:pPr>
        <w:rPr>
          <w:rFonts w:ascii="Arial" w:hAnsi="Arial" w:cs="Arial"/>
        </w:rPr>
      </w:pPr>
    </w:p>
    <w:sectPr w:rsidR="00590C1B" w:rsidRPr="004B1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31622" w14:textId="77777777" w:rsidR="0066526E" w:rsidRDefault="0066526E" w:rsidP="00F92EE8">
      <w:r>
        <w:separator/>
      </w:r>
    </w:p>
  </w:endnote>
  <w:endnote w:type="continuationSeparator" w:id="0">
    <w:p w14:paraId="7021F907" w14:textId="77777777" w:rsidR="0066526E" w:rsidRDefault="0066526E" w:rsidP="00F92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CE7BC" w14:textId="77777777" w:rsidR="0066526E" w:rsidRDefault="0066526E" w:rsidP="00F92EE8">
      <w:r>
        <w:separator/>
      </w:r>
    </w:p>
  </w:footnote>
  <w:footnote w:type="continuationSeparator" w:id="0">
    <w:p w14:paraId="37EBFCA1" w14:textId="77777777" w:rsidR="0066526E" w:rsidRDefault="0066526E" w:rsidP="00F92EE8">
      <w:r>
        <w:continuationSeparator/>
      </w:r>
    </w:p>
  </w:footnote>
  <w:footnote w:id="1">
    <w:p w14:paraId="33442226" w14:textId="77777777" w:rsidR="008C6E2E" w:rsidRPr="00005102" w:rsidRDefault="008C6E2E" w:rsidP="008C6E2E">
      <w:pPr>
        <w:pStyle w:val="Tekstprzypisudolnego"/>
        <w:rPr>
          <w:sz w:val="18"/>
          <w:szCs w:val="18"/>
        </w:rPr>
      </w:pPr>
      <w:r w:rsidRPr="00005102">
        <w:rPr>
          <w:rStyle w:val="Odwoanieprzypisudolnego"/>
          <w:sz w:val="18"/>
          <w:szCs w:val="18"/>
        </w:rPr>
        <w:footnoteRef/>
      </w:r>
      <w:r w:rsidRPr="00005102">
        <w:rPr>
          <w:sz w:val="18"/>
          <w:szCs w:val="18"/>
        </w:rPr>
        <w:t xml:space="preserve"> Dane i analizy Narodowego Banku Polskiego dotyczące kart płatniczych, </w:t>
      </w:r>
      <w:hyperlink r:id="rId1" w:history="1">
        <w:r w:rsidRPr="00005102">
          <w:rPr>
            <w:rStyle w:val="Hipercze"/>
            <w:sz w:val="18"/>
            <w:szCs w:val="18"/>
          </w:rPr>
          <w:t>https://nbp.pl/system-platniczy/dane-i-analizy/karty-platnicze/</w:t>
        </w:r>
      </w:hyperlink>
      <w:r w:rsidRPr="00005102">
        <w:rPr>
          <w:sz w:val="18"/>
          <w:szCs w:val="18"/>
        </w:rPr>
        <w:t xml:space="preserve"> </w:t>
      </w:r>
    </w:p>
  </w:footnote>
  <w:footnote w:id="2">
    <w:p w14:paraId="57DECA5E" w14:textId="77777777" w:rsidR="008C6E2E" w:rsidRPr="00005102" w:rsidRDefault="008C6E2E" w:rsidP="008C6E2E">
      <w:pPr>
        <w:pStyle w:val="Tekstprzypisudolnego"/>
        <w:rPr>
          <w:sz w:val="18"/>
          <w:szCs w:val="18"/>
        </w:rPr>
      </w:pPr>
      <w:r w:rsidRPr="00005102">
        <w:rPr>
          <w:rStyle w:val="Odwoanieprzypisudolnego"/>
          <w:sz w:val="18"/>
          <w:szCs w:val="18"/>
        </w:rPr>
        <w:footnoteRef/>
      </w:r>
      <w:r w:rsidRPr="00005102">
        <w:rPr>
          <w:sz w:val="18"/>
          <w:szCs w:val="18"/>
        </w:rPr>
        <w:t xml:space="preserve"> Raport „E-commerce w Polsce” z 2022, </w:t>
      </w:r>
      <w:hyperlink r:id="rId2" w:history="1">
        <w:r w:rsidRPr="00005102">
          <w:rPr>
            <w:rStyle w:val="Hipercze"/>
            <w:sz w:val="18"/>
            <w:szCs w:val="18"/>
          </w:rPr>
          <w:t>https://gemius.com/api/downloadReport2022.php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A5308"/>
    <w:multiLevelType w:val="hybridMultilevel"/>
    <w:tmpl w:val="3D0E8B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F3863"/>
    <w:multiLevelType w:val="hybridMultilevel"/>
    <w:tmpl w:val="B8A2D5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70420"/>
    <w:multiLevelType w:val="hybridMultilevel"/>
    <w:tmpl w:val="BF4EB0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2D29F2"/>
    <w:multiLevelType w:val="hybridMultilevel"/>
    <w:tmpl w:val="A6CECA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2156754">
    <w:abstractNumId w:val="0"/>
  </w:num>
  <w:num w:numId="2" w16cid:durableId="1587886459">
    <w:abstractNumId w:val="3"/>
  </w:num>
  <w:num w:numId="3" w16cid:durableId="1050105920">
    <w:abstractNumId w:val="1"/>
  </w:num>
  <w:num w:numId="4" w16cid:durableId="5193232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291"/>
    <w:rsid w:val="00005102"/>
    <w:rsid w:val="000423BC"/>
    <w:rsid w:val="00051248"/>
    <w:rsid w:val="00055283"/>
    <w:rsid w:val="000561AA"/>
    <w:rsid w:val="00057EC2"/>
    <w:rsid w:val="000675E3"/>
    <w:rsid w:val="000743F9"/>
    <w:rsid w:val="00081613"/>
    <w:rsid w:val="00081B7F"/>
    <w:rsid w:val="00093F15"/>
    <w:rsid w:val="00095C22"/>
    <w:rsid w:val="00096B78"/>
    <w:rsid w:val="000B38A3"/>
    <w:rsid w:val="000B765B"/>
    <w:rsid w:val="000F0A78"/>
    <w:rsid w:val="000F5D6D"/>
    <w:rsid w:val="00110BE5"/>
    <w:rsid w:val="00113CBE"/>
    <w:rsid w:val="00127217"/>
    <w:rsid w:val="001456EB"/>
    <w:rsid w:val="00160625"/>
    <w:rsid w:val="0016365E"/>
    <w:rsid w:val="00186341"/>
    <w:rsid w:val="0018799A"/>
    <w:rsid w:val="00192C95"/>
    <w:rsid w:val="001A36D7"/>
    <w:rsid w:val="001C52AD"/>
    <w:rsid w:val="001C7A41"/>
    <w:rsid w:val="001D003E"/>
    <w:rsid w:val="001D1EB0"/>
    <w:rsid w:val="001E7801"/>
    <w:rsid w:val="001F2E2D"/>
    <w:rsid w:val="00213DF5"/>
    <w:rsid w:val="0024088A"/>
    <w:rsid w:val="0024592A"/>
    <w:rsid w:val="00247583"/>
    <w:rsid w:val="00250026"/>
    <w:rsid w:val="00252A19"/>
    <w:rsid w:val="002538FA"/>
    <w:rsid w:val="00254F8C"/>
    <w:rsid w:val="00263985"/>
    <w:rsid w:val="002709A5"/>
    <w:rsid w:val="00284B75"/>
    <w:rsid w:val="00285C3A"/>
    <w:rsid w:val="0029298E"/>
    <w:rsid w:val="00292DFC"/>
    <w:rsid w:val="00293EC5"/>
    <w:rsid w:val="002949C9"/>
    <w:rsid w:val="002A169F"/>
    <w:rsid w:val="002D5AA6"/>
    <w:rsid w:val="002D5F8C"/>
    <w:rsid w:val="002E2BB9"/>
    <w:rsid w:val="002F430A"/>
    <w:rsid w:val="00306221"/>
    <w:rsid w:val="00315E9A"/>
    <w:rsid w:val="003242D5"/>
    <w:rsid w:val="003320E5"/>
    <w:rsid w:val="00336AF2"/>
    <w:rsid w:val="003415CE"/>
    <w:rsid w:val="00354A88"/>
    <w:rsid w:val="003A630F"/>
    <w:rsid w:val="003D4A12"/>
    <w:rsid w:val="003D5993"/>
    <w:rsid w:val="003E4B82"/>
    <w:rsid w:val="003E643C"/>
    <w:rsid w:val="003F0889"/>
    <w:rsid w:val="00404244"/>
    <w:rsid w:val="0043031D"/>
    <w:rsid w:val="00480855"/>
    <w:rsid w:val="00483F70"/>
    <w:rsid w:val="004A525F"/>
    <w:rsid w:val="004A5EE1"/>
    <w:rsid w:val="004A7A6B"/>
    <w:rsid w:val="004B119B"/>
    <w:rsid w:val="004C403E"/>
    <w:rsid w:val="004E6676"/>
    <w:rsid w:val="004F2F8F"/>
    <w:rsid w:val="005066ED"/>
    <w:rsid w:val="00510A78"/>
    <w:rsid w:val="00537091"/>
    <w:rsid w:val="00562259"/>
    <w:rsid w:val="0057264B"/>
    <w:rsid w:val="00573CC0"/>
    <w:rsid w:val="00575509"/>
    <w:rsid w:val="00575E32"/>
    <w:rsid w:val="005846A6"/>
    <w:rsid w:val="00584C78"/>
    <w:rsid w:val="00590C1B"/>
    <w:rsid w:val="00592DC4"/>
    <w:rsid w:val="0059619B"/>
    <w:rsid w:val="005B4DF8"/>
    <w:rsid w:val="005C7F6F"/>
    <w:rsid w:val="006043BD"/>
    <w:rsid w:val="00605B9B"/>
    <w:rsid w:val="006120DB"/>
    <w:rsid w:val="006326FC"/>
    <w:rsid w:val="00640B2C"/>
    <w:rsid w:val="0064181B"/>
    <w:rsid w:val="0066526E"/>
    <w:rsid w:val="00670C5E"/>
    <w:rsid w:val="006806B2"/>
    <w:rsid w:val="00686BAE"/>
    <w:rsid w:val="006A0CA0"/>
    <w:rsid w:val="006A3811"/>
    <w:rsid w:val="006A52EF"/>
    <w:rsid w:val="006D03E8"/>
    <w:rsid w:val="006D57DE"/>
    <w:rsid w:val="00711872"/>
    <w:rsid w:val="00713126"/>
    <w:rsid w:val="007225B6"/>
    <w:rsid w:val="00723912"/>
    <w:rsid w:val="00730D2F"/>
    <w:rsid w:val="007325B1"/>
    <w:rsid w:val="00734C4A"/>
    <w:rsid w:val="00755D59"/>
    <w:rsid w:val="00760581"/>
    <w:rsid w:val="00772FED"/>
    <w:rsid w:val="0078576A"/>
    <w:rsid w:val="007857AA"/>
    <w:rsid w:val="00793B82"/>
    <w:rsid w:val="007D4F61"/>
    <w:rsid w:val="007F6995"/>
    <w:rsid w:val="00831D75"/>
    <w:rsid w:val="00836A16"/>
    <w:rsid w:val="00840ADC"/>
    <w:rsid w:val="008532B9"/>
    <w:rsid w:val="0085508F"/>
    <w:rsid w:val="008578A3"/>
    <w:rsid w:val="00862ECD"/>
    <w:rsid w:val="00872E39"/>
    <w:rsid w:val="00886A2C"/>
    <w:rsid w:val="008B3D19"/>
    <w:rsid w:val="008C4306"/>
    <w:rsid w:val="008C6E2E"/>
    <w:rsid w:val="008D252D"/>
    <w:rsid w:val="008D38DC"/>
    <w:rsid w:val="008D784F"/>
    <w:rsid w:val="00903A96"/>
    <w:rsid w:val="00912678"/>
    <w:rsid w:val="009340E7"/>
    <w:rsid w:val="00955C74"/>
    <w:rsid w:val="009754F5"/>
    <w:rsid w:val="0099700B"/>
    <w:rsid w:val="009B1A3E"/>
    <w:rsid w:val="009C01B4"/>
    <w:rsid w:val="009C7AAB"/>
    <w:rsid w:val="009D573E"/>
    <w:rsid w:val="00A03D33"/>
    <w:rsid w:val="00A22969"/>
    <w:rsid w:val="00A32D60"/>
    <w:rsid w:val="00A35A16"/>
    <w:rsid w:val="00A50DE0"/>
    <w:rsid w:val="00A511F5"/>
    <w:rsid w:val="00A8344F"/>
    <w:rsid w:val="00A83C1A"/>
    <w:rsid w:val="00A8641F"/>
    <w:rsid w:val="00A9656F"/>
    <w:rsid w:val="00A96B1D"/>
    <w:rsid w:val="00AA077B"/>
    <w:rsid w:val="00AA5333"/>
    <w:rsid w:val="00AB7F9B"/>
    <w:rsid w:val="00AD6404"/>
    <w:rsid w:val="00AD7AFE"/>
    <w:rsid w:val="00AE4D54"/>
    <w:rsid w:val="00B17154"/>
    <w:rsid w:val="00B3380B"/>
    <w:rsid w:val="00B37031"/>
    <w:rsid w:val="00B66399"/>
    <w:rsid w:val="00B71AC5"/>
    <w:rsid w:val="00B848D5"/>
    <w:rsid w:val="00BA508E"/>
    <w:rsid w:val="00BB59E8"/>
    <w:rsid w:val="00BC4A1A"/>
    <w:rsid w:val="00BE08FF"/>
    <w:rsid w:val="00BE76EE"/>
    <w:rsid w:val="00BF0D90"/>
    <w:rsid w:val="00C04665"/>
    <w:rsid w:val="00C1531D"/>
    <w:rsid w:val="00C171BA"/>
    <w:rsid w:val="00C17D5D"/>
    <w:rsid w:val="00C3006B"/>
    <w:rsid w:val="00C3430A"/>
    <w:rsid w:val="00C35AA4"/>
    <w:rsid w:val="00C54043"/>
    <w:rsid w:val="00C564EB"/>
    <w:rsid w:val="00C5779F"/>
    <w:rsid w:val="00C64E9C"/>
    <w:rsid w:val="00C7792F"/>
    <w:rsid w:val="00CA3AFC"/>
    <w:rsid w:val="00CA4E73"/>
    <w:rsid w:val="00CB1830"/>
    <w:rsid w:val="00CB3B39"/>
    <w:rsid w:val="00CB5822"/>
    <w:rsid w:val="00CB75A1"/>
    <w:rsid w:val="00CF5958"/>
    <w:rsid w:val="00D05E42"/>
    <w:rsid w:val="00D06183"/>
    <w:rsid w:val="00D204E7"/>
    <w:rsid w:val="00D222FF"/>
    <w:rsid w:val="00D26EFE"/>
    <w:rsid w:val="00D43B5C"/>
    <w:rsid w:val="00D52E59"/>
    <w:rsid w:val="00D56CE0"/>
    <w:rsid w:val="00D6391B"/>
    <w:rsid w:val="00D723D5"/>
    <w:rsid w:val="00D74C53"/>
    <w:rsid w:val="00D8652F"/>
    <w:rsid w:val="00DB18AE"/>
    <w:rsid w:val="00DB59B5"/>
    <w:rsid w:val="00DE5291"/>
    <w:rsid w:val="00DF4180"/>
    <w:rsid w:val="00DF5748"/>
    <w:rsid w:val="00E008E9"/>
    <w:rsid w:val="00E07B88"/>
    <w:rsid w:val="00E16CC0"/>
    <w:rsid w:val="00E2682A"/>
    <w:rsid w:val="00E2726C"/>
    <w:rsid w:val="00E30518"/>
    <w:rsid w:val="00E3192C"/>
    <w:rsid w:val="00E35D18"/>
    <w:rsid w:val="00E67EB6"/>
    <w:rsid w:val="00E734B3"/>
    <w:rsid w:val="00E749A1"/>
    <w:rsid w:val="00E8632E"/>
    <w:rsid w:val="00E86AE5"/>
    <w:rsid w:val="00E95E82"/>
    <w:rsid w:val="00EB65D8"/>
    <w:rsid w:val="00ED087E"/>
    <w:rsid w:val="00ED36B6"/>
    <w:rsid w:val="00ED733E"/>
    <w:rsid w:val="00EE1CF1"/>
    <w:rsid w:val="00EE25E7"/>
    <w:rsid w:val="00F0781C"/>
    <w:rsid w:val="00F1368C"/>
    <w:rsid w:val="00F226ED"/>
    <w:rsid w:val="00F35918"/>
    <w:rsid w:val="00F51C6B"/>
    <w:rsid w:val="00F60DE0"/>
    <w:rsid w:val="00F62822"/>
    <w:rsid w:val="00F84593"/>
    <w:rsid w:val="00F92EE8"/>
    <w:rsid w:val="00FA0812"/>
    <w:rsid w:val="00FA37E4"/>
    <w:rsid w:val="00FB4C31"/>
    <w:rsid w:val="00FB7B1C"/>
    <w:rsid w:val="00FC0311"/>
    <w:rsid w:val="00FE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A4090C"/>
  <w15:docId w15:val="{B45490EA-A1DE-40C3-8A0B-1DE72518E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365E"/>
    <w:pPr>
      <w:spacing w:after="0" w:line="240" w:lineRule="auto"/>
    </w:pPr>
    <w:rPr>
      <w:rFonts w:ascii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54043"/>
    <w:pPr>
      <w:keepNext/>
      <w:outlineLvl w:val="0"/>
    </w:pPr>
    <w:rPr>
      <w:rFonts w:ascii="Arial" w:eastAsia="Times New Roman" w:hAnsi="Arial" w:cs="Arial"/>
      <w:b/>
      <w:bCs/>
      <w:caps/>
      <w:color w:val="D71920"/>
      <w:kern w:val="36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6365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6365E"/>
    <w:pPr>
      <w:ind w:left="720"/>
      <w:contextualSpacing/>
    </w:pPr>
    <w:rPr>
      <w:rFonts w:asciiTheme="minorHAnsi" w:hAnsiTheme="minorHAnsi" w:cstheme="minorBidi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365E"/>
    <w:rPr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92E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92EE8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F92EE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2EE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2EE8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2EE8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590C1B"/>
    <w:pPr>
      <w:jc w:val="both"/>
    </w:pPr>
    <w:rPr>
      <w:rFonts w:ascii="Arial" w:hAnsi="Arial" w:cs="Arial"/>
      <w:b/>
      <w:bCs/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90C1B"/>
    <w:rPr>
      <w:rFonts w:ascii="Arial" w:hAnsi="Arial" w:cs="Arial"/>
      <w:b/>
      <w:bCs/>
      <w:sz w:val="26"/>
      <w:szCs w:val="26"/>
    </w:rPr>
  </w:style>
  <w:style w:type="paragraph" w:styleId="Zwykytekst">
    <w:name w:val="Plain Text"/>
    <w:basedOn w:val="Normalny"/>
    <w:link w:val="ZwykytekstZnak"/>
    <w:uiPriority w:val="99"/>
    <w:unhideWhenUsed/>
    <w:rsid w:val="00590C1B"/>
    <w:rPr>
      <w:rFonts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90C1B"/>
    <w:rPr>
      <w:rFonts w:ascii="Calibri" w:hAnsi="Calibri"/>
      <w:szCs w:val="21"/>
    </w:rPr>
  </w:style>
  <w:style w:type="paragraph" w:styleId="Tekstpodstawowy2">
    <w:name w:val="Body Text 2"/>
    <w:basedOn w:val="Normalny"/>
    <w:link w:val="Tekstpodstawowy2Znak"/>
    <w:uiPriority w:val="99"/>
    <w:unhideWhenUsed/>
    <w:rsid w:val="00081B7F"/>
    <w:pPr>
      <w:jc w:val="both"/>
    </w:pPr>
    <w:rPr>
      <w:rFonts w:ascii="Arial" w:eastAsia="Times New Roman" w:hAnsi="Arial" w:cs="Arial"/>
      <w:i/>
      <w:iCs/>
      <w:sz w:val="21"/>
      <w:szCs w:val="21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81B7F"/>
    <w:rPr>
      <w:rFonts w:ascii="Arial" w:eastAsia="Times New Roman" w:hAnsi="Arial" w:cs="Arial"/>
      <w:i/>
      <w:iCs/>
      <w:sz w:val="21"/>
      <w:szCs w:val="2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7A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A6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F1368C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1368C"/>
    <w:pPr>
      <w:spacing w:after="160"/>
    </w:pPr>
    <w:rPr>
      <w:rFonts w:ascii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136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5F8C"/>
    <w:pPr>
      <w:spacing w:after="0"/>
    </w:pPr>
    <w:rPr>
      <w:rFonts w:ascii="Calibri" w:hAnsi="Calibri" w:cs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5F8C"/>
    <w:rPr>
      <w:rFonts w:ascii="Calibri" w:hAnsi="Calibri" w:cs="Calibri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A4E73"/>
    <w:pPr>
      <w:spacing w:after="0" w:line="240" w:lineRule="auto"/>
    </w:pPr>
    <w:rPr>
      <w:rFonts w:ascii="Calibri" w:hAnsi="Calibri" w:cs="Calibri"/>
    </w:rPr>
  </w:style>
  <w:style w:type="paragraph" w:styleId="Tekstpodstawowy3">
    <w:name w:val="Body Text 3"/>
    <w:basedOn w:val="Normalny"/>
    <w:link w:val="Tekstpodstawowy3Znak"/>
    <w:uiPriority w:val="99"/>
    <w:unhideWhenUsed/>
    <w:rsid w:val="000423BC"/>
    <w:pPr>
      <w:spacing w:after="160" w:line="259" w:lineRule="auto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423BC"/>
    <w:rPr>
      <w:rFonts w:ascii="Arial" w:hAnsi="Arial" w:cs="Arial"/>
      <w:b/>
      <w:bCs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54043"/>
    <w:rPr>
      <w:rFonts w:ascii="Arial" w:eastAsia="Times New Roman" w:hAnsi="Arial" w:cs="Arial"/>
      <w:b/>
      <w:bCs/>
      <w:caps/>
      <w:color w:val="D71920"/>
      <w:kern w:val="36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264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04244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6E2E"/>
    <w:rPr>
      <w:rFonts w:ascii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6E2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6E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9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3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20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69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ekao.com.pl/klient-indywidualny/codzienne-bankowanie/karty-kredytowe-debetowe/karta-kredytowa-z-zubrem.htm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ekao.com.pl/klient-indywidualny/bankowosc-elektroniczna/platnosci-z-bankiem-pekao-s.a..htm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pekao.com.pl/klient-indywidualny/ubezpieczenia/ubezpieczenie-turystyczne-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.pekao.com.pl/klient-indywidualny/codzienne-bankowanie/konta-osobiste/pakiet-komfort.html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pekao.com.pl/klient-indywidualny/codzienne-bankowanie/karty-kredytowe-debetowe/karta-kredytowa-z-zubrem.html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gemius.com/api/downloadReport2022.php" TargetMode="External"/><Relationship Id="rId1" Type="http://schemas.openxmlformats.org/officeDocument/2006/relationships/hyperlink" Target="https://nbp.pl/system-platniczy/dane-i-analizy/karty-platnicz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48A758E3661E49A4EF794CEB939712" ma:contentTypeVersion="2" ma:contentTypeDescription="Utwórz nowy dokument." ma:contentTypeScope="" ma:versionID="fb70bd2c0cb7b4da102c146661d22a01">
  <xsd:schema xmlns:xsd="http://www.w3.org/2001/XMLSchema" xmlns:xs="http://www.w3.org/2001/XMLSchema" xmlns:p="http://schemas.microsoft.com/office/2006/metadata/properties" xmlns:ns3="ad18f3d3-bb83-43c3-95dc-83b913e767ac" targetNamespace="http://schemas.microsoft.com/office/2006/metadata/properties" ma:root="true" ma:fieldsID="0a8e83173ca6e9335b6be45b94d2458d" ns3:_="">
    <xsd:import namespace="ad18f3d3-bb83-43c3-95dc-83b913e767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18f3d3-bb83-43c3-95dc-83b913e767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4F0373-A5CD-4077-BA6A-C6D29D332E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18f3d3-bb83-43c3-95dc-83b913e767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F2F467-9D51-4D9D-B54E-08B5874B94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D0F648C-98D1-4D76-97B1-B1A7A7C2C06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0AFE803-4E8F-4E16-9078-0F56C6E821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1105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Bank Pekao S.A.</dc:creator>
  <cp:lastModifiedBy>Snitko-Pleszko Anna  (Departament Komunikacji)</cp:lastModifiedBy>
  <cp:revision>4</cp:revision>
  <dcterms:created xsi:type="dcterms:W3CDTF">2023-06-06T07:36:00Z</dcterms:created>
  <dcterms:modified xsi:type="dcterms:W3CDTF">2023-06-06T07:55:00Z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0x010100EA48A758E3661E49A4EF794CEB939712</vt:lpwstr>
  </property>
  <property fmtid="{D5CDD505-2E9C-101B-9397-08002B2CF9AE}" pid="3" name="MSIP_Label_e926a907-a439-4552-97d4-cf3e4f94d4c9_Enabled">
    <vt:lpwstr>true</vt:lpwstr>
  </property>
  <property fmtid="{D5CDD505-2E9C-101B-9397-08002B2CF9AE}" pid="4" name="MSIP_Label_e926a907-a439-4552-97d4-cf3e4f94d4c9_SetDate">
    <vt:lpwstr>2023-04-17T13:37:42Z</vt:lpwstr>
  </property>
  <property fmtid="{D5CDD505-2E9C-101B-9397-08002B2CF9AE}" pid="5" name="MSIP_Label_e926a907-a439-4552-97d4-cf3e4f94d4c9_Method">
    <vt:lpwstr>Standard</vt:lpwstr>
  </property>
  <property fmtid="{D5CDD505-2E9C-101B-9397-08002B2CF9AE}" pid="6" name="MSIP_Label_e926a907-a439-4552-97d4-cf3e4f94d4c9_Name">
    <vt:lpwstr>Bank Pekao SA – Do użytku służbowego</vt:lpwstr>
  </property>
  <property fmtid="{D5CDD505-2E9C-101B-9397-08002B2CF9AE}" pid="7" name="MSIP_Label_e926a907-a439-4552-97d4-cf3e4f94d4c9_SiteId">
    <vt:lpwstr>72d4cc57-c098-4169-86a9-284d255e89f2</vt:lpwstr>
  </property>
  <property fmtid="{D5CDD505-2E9C-101B-9397-08002B2CF9AE}" pid="8" name="MSIP_Label_e926a907-a439-4552-97d4-cf3e4f94d4c9_ActionId">
    <vt:lpwstr>292b075c-e5d1-4c14-a759-30636d479431</vt:lpwstr>
  </property>
  <property fmtid="{D5CDD505-2E9C-101B-9397-08002B2CF9AE}" pid="9" name="MSIP_Label_e926a907-a439-4552-97d4-cf3e4f94d4c9_ContentBits">
    <vt:lpwstr>0</vt:lpwstr>
  </property>
</Properties>
</file>