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3949AC">
      <w:pPr>
        <w:jc w:val="right"/>
        <w:rPr>
          <w:b/>
          <w:color w:val="002060"/>
        </w:rPr>
      </w:pPr>
    </w:p>
    <w:p w14:paraId="5BF4C05E" w14:textId="20853336" w:rsidR="003A7C17" w:rsidRPr="00161A44" w:rsidRDefault="00FB77FC" w:rsidP="003E2B3B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3E2B3B">
        <w:rPr>
          <w:rFonts w:asciiTheme="minorHAnsi" w:hAnsiTheme="minorHAnsi" w:cstheme="minorHAnsi"/>
          <w:color w:val="002060"/>
          <w:sz w:val="22"/>
          <w:szCs w:val="20"/>
        </w:rPr>
        <w:t xml:space="preserve">   </w:t>
      </w:r>
      <w:r w:rsidR="00AA0D6E">
        <w:rPr>
          <w:rFonts w:asciiTheme="minorHAnsi" w:hAnsiTheme="minorHAnsi" w:cstheme="minorHAnsi"/>
          <w:color w:val="002060"/>
          <w:sz w:val="22"/>
          <w:szCs w:val="20"/>
        </w:rPr>
        <w:t xml:space="preserve">Gdańsk, </w:t>
      </w:r>
      <w:r w:rsidR="00966636">
        <w:rPr>
          <w:rFonts w:asciiTheme="minorHAnsi" w:hAnsiTheme="minorHAnsi" w:cstheme="minorHAnsi"/>
          <w:color w:val="002060"/>
          <w:sz w:val="22"/>
          <w:szCs w:val="20"/>
        </w:rPr>
        <w:t>5 czerwca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</w:t>
      </w:r>
      <w:r w:rsidR="003A7C17">
        <w:rPr>
          <w:rFonts w:asciiTheme="minorHAnsi" w:hAnsiTheme="minorHAnsi" w:cstheme="minorHAnsi"/>
          <w:color w:val="002060"/>
          <w:sz w:val="22"/>
          <w:szCs w:val="20"/>
        </w:rPr>
        <w:t>3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</w:p>
    <w:p w14:paraId="2055D348" w14:textId="77777777" w:rsidR="00FA27CC" w:rsidRPr="00132496" w:rsidRDefault="00FA27CC" w:rsidP="00FA27CC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6ABD3BAB" w14:textId="2089E02D" w:rsidR="00161A44" w:rsidRPr="00161A44" w:rsidRDefault="006A17E8" w:rsidP="00161A44">
      <w:pPr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Niemałe prawa małoletnich na etacie</w:t>
      </w:r>
      <w:r w:rsidR="0094001D">
        <w:rPr>
          <w:b/>
          <w:bCs/>
          <w:color w:val="002060"/>
          <w:sz w:val="26"/>
          <w:szCs w:val="26"/>
        </w:rPr>
        <w:t>. O czym powinni wiedzieć rodzice?</w:t>
      </w:r>
    </w:p>
    <w:p w14:paraId="78A70175" w14:textId="77777777" w:rsidR="00161A44" w:rsidRPr="00B94783" w:rsidRDefault="00161A44" w:rsidP="00B94783">
      <w:pPr>
        <w:jc w:val="both"/>
        <w:rPr>
          <w:color w:val="002060"/>
        </w:rPr>
      </w:pPr>
    </w:p>
    <w:p w14:paraId="3B441391" w14:textId="1CD46A28" w:rsidR="00383554" w:rsidRDefault="00966636" w:rsidP="00521ECD">
      <w:pPr>
        <w:spacing w:before="360" w:after="210" w:line="276" w:lineRule="auto"/>
        <w:jc w:val="both"/>
        <w:textAlignment w:val="baseline"/>
        <w:outlineLvl w:val="1"/>
        <w:rPr>
          <w:rFonts w:eastAsia="Times New Roman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57 proc. </w:t>
      </w:r>
      <w:r w:rsidR="008E6DE1">
        <w:rPr>
          <w:rFonts w:eastAsia="Times New Roman"/>
          <w:b/>
          <w:bCs/>
          <w:color w:val="002060"/>
          <w:sz w:val="24"/>
          <w:szCs w:val="24"/>
          <w:lang w:eastAsia="pl-PL"/>
        </w:rPr>
        <w:t>pracodawców</w:t>
      </w:r>
      <w:r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deklaruje, że </w:t>
      </w:r>
      <w:r w:rsid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dałoby szansę osobie nieletniej i zatrudniło ją np. na wakacje i z chęcią zrobi to, gdy będzie szukało </w:t>
      </w:r>
      <w:r w:rsidR="006A17E8">
        <w:rPr>
          <w:rFonts w:eastAsia="Times New Roman"/>
          <w:b/>
          <w:bCs/>
          <w:color w:val="002060"/>
          <w:sz w:val="24"/>
          <w:szCs w:val="24"/>
          <w:lang w:eastAsia="pl-PL"/>
        </w:rPr>
        <w:t>kogoś na etat</w:t>
      </w:r>
      <w:r w:rsidR="00747C7C">
        <w:rPr>
          <w:rFonts w:eastAsia="Times New Roman"/>
          <w:b/>
          <w:bCs/>
          <w:color w:val="002060"/>
          <w:sz w:val="24"/>
          <w:szCs w:val="24"/>
          <w:lang w:eastAsia="pl-PL"/>
        </w:rPr>
        <w:t>, wynika z badania Grupy Progres</w:t>
      </w:r>
      <w:r w:rsid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>. W krajach zachodnich pracujący nastolatek nikogo nie dziwi. W Polsce ten widok nie jest jeszcze powszechny –</w:t>
      </w:r>
      <w:r w:rsidR="00747C7C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>z</w:t>
      </w:r>
      <w:r w:rsidR="00383554" w:rsidRP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danych CBOS wynika, że co piąty uczeń szkoły ponadpodstawowej podejmował w wakacje </w:t>
      </w:r>
      <w:r w:rsid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>etat.</w:t>
      </w:r>
      <w:r w:rsidR="006A17E8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Większość nadal nie robi tego, mimo że prawo </w:t>
      </w:r>
      <w:r w:rsidR="00747C7C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im na to </w:t>
      </w:r>
      <w:r w:rsid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>pozwala</w:t>
      </w:r>
      <w:r w:rsidR="00747C7C">
        <w:rPr>
          <w:rFonts w:eastAsia="Times New Roman"/>
          <w:b/>
          <w:bCs/>
          <w:color w:val="002060"/>
          <w:sz w:val="24"/>
          <w:szCs w:val="24"/>
          <w:lang w:eastAsia="pl-PL"/>
        </w:rPr>
        <w:t>.</w:t>
      </w:r>
      <w:r w:rsidR="0094001D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Przepisów dot. zatrudniania nieletnich nie znają również rodzice. Warto jednak</w:t>
      </w:r>
      <w:r w:rsidR="00E07FFE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wiedzieć</w:t>
      </w:r>
      <w:r w:rsidR="0094001D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, na jaką ochronę prawną mogą liczyć </w:t>
      </w:r>
      <w:r w:rsidR="00F23B88">
        <w:rPr>
          <w:rFonts w:eastAsia="Times New Roman"/>
          <w:b/>
          <w:bCs/>
          <w:color w:val="002060"/>
          <w:sz w:val="24"/>
          <w:szCs w:val="24"/>
          <w:lang w:eastAsia="pl-PL"/>
        </w:rPr>
        <w:t>ich pociechy</w:t>
      </w:r>
      <w:r w:rsidR="0094001D">
        <w:rPr>
          <w:rFonts w:eastAsia="Times New Roman"/>
          <w:b/>
          <w:bCs/>
          <w:color w:val="002060"/>
          <w:sz w:val="24"/>
          <w:szCs w:val="24"/>
          <w:lang w:eastAsia="pl-PL"/>
        </w:rPr>
        <w:t>.</w:t>
      </w:r>
    </w:p>
    <w:p w14:paraId="3BD02604" w14:textId="5C42B159" w:rsidR="00A41F28" w:rsidRPr="007104E2" w:rsidRDefault="00747C7C" w:rsidP="00521ECD">
      <w:pPr>
        <w:spacing w:before="360" w:after="210" w:line="276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 xml:space="preserve">Otwartość na </w:t>
      </w:r>
      <w:r w:rsidR="00A41F28">
        <w:rPr>
          <w:rFonts w:eastAsia="Times New Roman"/>
          <w:color w:val="002060"/>
          <w:sz w:val="24"/>
          <w:szCs w:val="24"/>
          <w:lang w:eastAsia="pl-PL"/>
        </w:rPr>
        <w:t xml:space="preserve">aktywność zawodową młodych ludzi w Polsce jest duża </w:t>
      </w:r>
      <w:r w:rsidR="00A41F28" w:rsidRPr="00A41F28">
        <w:rPr>
          <w:rFonts w:eastAsia="Times New Roman"/>
          <w:color w:val="002060"/>
          <w:sz w:val="24"/>
          <w:szCs w:val="24"/>
          <w:lang w:eastAsia="pl-PL"/>
        </w:rPr>
        <w:t xml:space="preserve">– pracę nastolatków powyżej 16 roku życia popiera 87 proc. </w:t>
      </w:r>
      <w:r w:rsidR="00765409">
        <w:rPr>
          <w:rFonts w:eastAsia="Times New Roman"/>
          <w:color w:val="002060"/>
          <w:sz w:val="24"/>
          <w:szCs w:val="24"/>
          <w:lang w:eastAsia="pl-PL"/>
        </w:rPr>
        <w:t>ankietowanych</w:t>
      </w:r>
      <w:r w:rsidR="00A41F28" w:rsidRPr="00A41F28">
        <w:rPr>
          <w:rFonts w:eastAsia="Times New Roman"/>
          <w:color w:val="002060"/>
          <w:sz w:val="24"/>
          <w:szCs w:val="24"/>
          <w:lang w:eastAsia="pl-PL"/>
        </w:rPr>
        <w:t xml:space="preserve"> przez CBOS, a 33 proc. przychylnie wyraża się o zatrudnianiu osób w wieku 13-15 lat</w:t>
      </w:r>
      <w:r w:rsidR="00A41F28">
        <w:rPr>
          <w:rFonts w:eastAsia="Times New Roman"/>
          <w:b/>
          <w:bCs/>
          <w:color w:val="002060"/>
          <w:sz w:val="24"/>
          <w:szCs w:val="24"/>
          <w:lang w:eastAsia="pl-PL"/>
        </w:rPr>
        <w:t>.</w:t>
      </w:r>
      <w:r w:rsidR="00A41F28" w:rsidRPr="00A41F28">
        <w:rPr>
          <w:rFonts w:eastAsia="Times New Roman"/>
          <w:color w:val="002060"/>
          <w:sz w:val="24"/>
          <w:szCs w:val="24"/>
          <w:lang w:eastAsia="pl-PL"/>
        </w:rPr>
        <w:t xml:space="preserve"> Na niepełnoletnich pracowników p</w:t>
      </w:r>
      <w:r w:rsidR="006A17E8">
        <w:rPr>
          <w:rFonts w:eastAsia="Times New Roman"/>
          <w:color w:val="002060"/>
          <w:sz w:val="24"/>
          <w:szCs w:val="24"/>
          <w:lang w:eastAsia="pl-PL"/>
        </w:rPr>
        <w:t xml:space="preserve">ozytywnie </w:t>
      </w:r>
      <w:r w:rsidR="00A41F28" w:rsidRPr="00A41F28">
        <w:rPr>
          <w:rFonts w:eastAsia="Times New Roman"/>
          <w:color w:val="002060"/>
          <w:sz w:val="24"/>
          <w:szCs w:val="24"/>
          <w:lang w:eastAsia="pl-PL"/>
        </w:rPr>
        <w:t>patrzą też przedsiębiorcy – co drugi jest gotowy na ich zatrudnienie (wg. badania Grupy Progres).</w:t>
      </w:r>
      <w:r w:rsidR="00A41F28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="00A41F28" w:rsidRPr="00A41F28">
        <w:rPr>
          <w:rFonts w:eastAsia="Times New Roman"/>
          <w:color w:val="002060"/>
          <w:sz w:val="24"/>
          <w:szCs w:val="24"/>
          <w:lang w:eastAsia="pl-PL"/>
        </w:rPr>
        <w:t>Zajęć na rynku nie brakuje</w:t>
      </w:r>
      <w:r w:rsidR="00765409">
        <w:rPr>
          <w:rFonts w:eastAsia="Times New Roman"/>
          <w:color w:val="002060"/>
          <w:sz w:val="24"/>
          <w:szCs w:val="24"/>
          <w:lang w:eastAsia="pl-PL"/>
        </w:rPr>
        <w:t xml:space="preserve">, a według statystyk Grupy Progres młodzież najczęściej szuka możliwości zarobku sezonowego w sektorze </w:t>
      </w:r>
      <w:proofErr w:type="spellStart"/>
      <w:r w:rsidR="00765409">
        <w:rPr>
          <w:rFonts w:eastAsia="Times New Roman"/>
          <w:color w:val="002060"/>
          <w:sz w:val="24"/>
          <w:szCs w:val="24"/>
          <w:lang w:eastAsia="pl-PL"/>
        </w:rPr>
        <w:t>HoReCa</w:t>
      </w:r>
      <w:proofErr w:type="spellEnd"/>
      <w:r w:rsidR="00765409">
        <w:rPr>
          <w:rFonts w:eastAsia="Times New Roman"/>
          <w:color w:val="002060"/>
          <w:sz w:val="24"/>
          <w:szCs w:val="24"/>
          <w:lang w:eastAsia="pl-PL"/>
        </w:rPr>
        <w:t xml:space="preserve">, handlu, rolnictwie i ogrodnictwie oraz przy roznoszeniu ulotek czy opiece nad zwierzętami. </w:t>
      </w:r>
      <w:r w:rsidR="00C43E70">
        <w:rPr>
          <w:rFonts w:eastAsia="Times New Roman"/>
          <w:color w:val="002060"/>
          <w:sz w:val="24"/>
          <w:szCs w:val="24"/>
          <w:lang w:eastAsia="pl-PL"/>
        </w:rPr>
        <w:t xml:space="preserve">Zainteresowanie zarobkiem przed wakacjami widać również w sieci. Grupa „Praca dla młodych, nieletnich i studentów (CAŁA POLSKA)” aktywna na Facebooku od kwietnia 2021 liczy ponad 70 tys. członków i tylko w ostatnim tygodniu maja br. dołączyło do niej ponad 1 tys. osób. W maju pojawiło się na niej </w:t>
      </w:r>
      <w:r w:rsidR="00C43E70" w:rsidRPr="007104E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1390 postów dot. zarobkowych zajęć dla młodych ludzi. </w:t>
      </w:r>
      <w:r w:rsidR="007104E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Ci muszą być jednak zatrudniani na określonych zasadach</w:t>
      </w:r>
      <w:r w:rsidR="00F302E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oraz przy pracach, które nie są dla nich zabronione ustawowo. </w:t>
      </w:r>
    </w:p>
    <w:p w14:paraId="728A59EA" w14:textId="4F54B369" w:rsidR="007104E2" w:rsidRP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7104E2">
        <w:rPr>
          <w:rFonts w:asciiTheme="minorHAnsi" w:hAnsiTheme="minorHAnsi" w:cstheme="minorHAnsi"/>
          <w:i/>
          <w:iCs/>
          <w:color w:val="002060"/>
          <w:sz w:val="24"/>
          <w:szCs w:val="24"/>
        </w:rPr>
        <w:t>Według obowiązujących przepisó</w:t>
      </w:r>
      <w:r w:rsidR="008E6DE1">
        <w:rPr>
          <w:rFonts w:asciiTheme="minorHAnsi" w:hAnsiTheme="minorHAnsi" w:cstheme="minorHAnsi"/>
          <w:i/>
          <w:iCs/>
          <w:color w:val="002060"/>
          <w:sz w:val="24"/>
          <w:szCs w:val="24"/>
        </w:rPr>
        <w:t>w</w:t>
      </w:r>
      <w:r w:rsidRPr="007104E2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dawanie pracy młodocianym między 15 a 18 r. ż. jest możliwe, jeśli ukończyli oni co najmniej ośmioletnią szkołę podstawową, przedstawią świadectwo lekarskie stwierdzające, że praca danego rodzaju nie zagraża ich zdrowiu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– </w:t>
      </w:r>
      <w:r w:rsidRPr="007104E2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mówi </w:t>
      </w:r>
      <w:r w:rsidR="00695B72">
        <w:rPr>
          <w:rFonts w:asciiTheme="minorHAnsi" w:hAnsiTheme="minorHAnsi" w:cstheme="minorHAnsi"/>
          <w:b/>
          <w:bCs/>
          <w:color w:val="002060"/>
          <w:sz w:val="24"/>
          <w:szCs w:val="24"/>
        </w:rPr>
        <w:t>Martyna Curyło</w:t>
      </w:r>
      <w:r w:rsidR="00DD5A4E">
        <w:rPr>
          <w:rFonts w:asciiTheme="minorHAnsi" w:hAnsiTheme="minorHAnsi" w:cstheme="minorHAnsi"/>
          <w:b/>
          <w:bCs/>
          <w:color w:val="002060"/>
          <w:sz w:val="24"/>
          <w:szCs w:val="24"/>
        </w:rPr>
        <w:t>,</w:t>
      </w:r>
      <w:r w:rsidR="00695B72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Radca Prawny, Kierownik Działu Prawnego</w:t>
      </w:r>
      <w:r w:rsidRPr="007104E2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Grupy Progres.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–  </w:t>
      </w:r>
      <w:r w:rsidRPr="007104E2">
        <w:rPr>
          <w:rFonts w:asciiTheme="minorHAnsi" w:hAnsiTheme="minorHAnsi" w:cstheme="minorHAnsi"/>
          <w:i/>
          <w:iCs/>
          <w:color w:val="002060"/>
          <w:sz w:val="24"/>
          <w:szCs w:val="24"/>
        </w:rPr>
        <w:t>Osoba, która nie ukończyła ośmioletniej szkoły podstawowej i która nie ma 15 lat, może być zatrudniona na zasadach określonych dla młodocianych wyłącznie w celu przygotowania zawodowego w formie przyuczenia do wykonywania określonej pracy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Pr="007104E2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  <w:t xml:space="preserve">– </w:t>
      </w:r>
      <w:r w:rsidRPr="007104E2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dodaje </w:t>
      </w:r>
      <w:r w:rsidR="00695B72">
        <w:rPr>
          <w:rFonts w:asciiTheme="minorHAnsi" w:hAnsiTheme="minorHAnsi" w:cstheme="minorHAnsi"/>
          <w:b/>
          <w:bCs/>
          <w:color w:val="002060"/>
          <w:sz w:val="24"/>
          <w:szCs w:val="24"/>
        </w:rPr>
        <w:t>Martyna Curyło</w:t>
      </w:r>
      <w:r w:rsidRPr="007104E2">
        <w:rPr>
          <w:rFonts w:asciiTheme="minorHAnsi" w:hAnsiTheme="minorHAnsi" w:cstheme="minorHAnsi"/>
          <w:b/>
          <w:bCs/>
          <w:color w:val="002060"/>
          <w:sz w:val="24"/>
          <w:szCs w:val="24"/>
        </w:rPr>
        <w:t>.</w:t>
      </w:r>
    </w:p>
    <w:p w14:paraId="4A49534C" w14:textId="7B6174D6" w:rsidR="00D77705" w:rsidRPr="007104E2" w:rsidRDefault="00D77705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14F9134D" w14:textId="7721F35C" w:rsidR="007104E2" w:rsidRPr="007104E2" w:rsidRDefault="00127E1A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O</w:t>
      </w:r>
      <w:r w:rsidR="007104E2" w:rsidRPr="007104E2">
        <w:rPr>
          <w:rFonts w:asciiTheme="minorHAnsi" w:hAnsiTheme="minorHAnsi" w:cstheme="minorHAnsi"/>
          <w:color w:val="002060"/>
          <w:sz w:val="24"/>
          <w:szCs w:val="24"/>
        </w:rPr>
        <w:t>soba, która ukończyła ośmioletnią szkołę podstawową, ale nie ma jeszcze 15 lat może być zatrudniona na zasadach określonych dla młodocianych w roku kalendarzowym, w którym kończy 15 lat. Bez żadnej zgody ani opinii może więc być zatrudniona na podstawie umów o naukę zawodu, przyuczenie do wykonywania określonej pracy i o wykonywanie prac lekkich.</w:t>
      </w:r>
    </w:p>
    <w:p w14:paraId="326632C3" w14:textId="77777777" w:rsidR="007104E2" w:rsidRP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15B628C0" w14:textId="77777777" w:rsidR="007104E2" w:rsidRP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7104E2">
        <w:rPr>
          <w:rFonts w:asciiTheme="minorHAnsi" w:hAnsiTheme="minorHAnsi" w:cstheme="minorHAnsi"/>
          <w:color w:val="002060"/>
          <w:sz w:val="24"/>
          <w:szCs w:val="24"/>
        </w:rPr>
        <w:lastRenderedPageBreak/>
        <w:t>Natomiast osoba, która ukończyła ośmioletnią szkołę podstawową, w okresie poprzedzającym rok, w którym osiągnęła 15 lat, może być zatrudniona tylko na podstawie umowy o naukę zawodu i to pod warunkiem wyrażenia zgody przez jej przedstawiciela ustawowego lub opiekuna prawnego oraz uzyskania pozytywnej opinii poradni psychologiczno-pedagogicznej.</w:t>
      </w:r>
    </w:p>
    <w:p w14:paraId="60430510" w14:textId="77777777" w:rsidR="007104E2" w:rsidRP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0626129A" w14:textId="77777777" w:rsidR="007104E2" w:rsidRP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7104E2">
        <w:rPr>
          <w:rFonts w:asciiTheme="minorHAnsi" w:hAnsiTheme="minorHAnsi" w:cstheme="minorHAnsi"/>
          <w:color w:val="002060"/>
          <w:sz w:val="24"/>
          <w:szCs w:val="24"/>
        </w:rPr>
        <w:t>Niezależnie od zasad zatrudnienia pracowników młodocianych przepisy umożliwiają w pewnych sytuacjach i po spełnieniu określonych warunków zlecenie wykonania pracy lub innych zajęć zarobkowych dziecku przed ukończeniem przez nie 16. roku życia. Dotyczy to działalności kulturalnej, artystycznej, sportowej lub reklamowej.</w:t>
      </w:r>
    </w:p>
    <w:p w14:paraId="7DA464F9" w14:textId="77777777" w:rsid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D7528BC" w14:textId="41A9C417" w:rsid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Chęć zatrudnienia nastolatków i sam fakt podjęcia takiego działania to dopiero początek drogi. Trzeba pamiętać, że prawo wymaga </w:t>
      </w:r>
      <w:r w:rsidR="00D77705"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stosowania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się do zasad regulujących </w:t>
      </w:r>
      <w:r w:rsidR="00D77705"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pracę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="00D77705"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małoletnich</w:t>
      </w:r>
      <w:r w:rsid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– </w:t>
      </w:r>
      <w:r w:rsidR="00D77705" w:rsidRPr="00D77705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mówi </w:t>
      </w:r>
      <w:r w:rsidR="00DD5A4E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Martyna Curyło </w:t>
      </w:r>
      <w:r w:rsidR="00D77705" w:rsidRPr="00D77705">
        <w:rPr>
          <w:rFonts w:asciiTheme="minorHAnsi" w:hAnsiTheme="minorHAnsi" w:cstheme="minorHAnsi"/>
          <w:b/>
          <w:bCs/>
          <w:color w:val="002060"/>
          <w:sz w:val="24"/>
          <w:szCs w:val="24"/>
        </w:rPr>
        <w:t>z Grupy Progres.</w:t>
      </w:r>
      <w:r w:rsidR="00D77705">
        <w:rPr>
          <w:rFonts w:asciiTheme="minorHAnsi" w:hAnsiTheme="minorHAnsi" w:cstheme="minorHAnsi"/>
          <w:color w:val="002060"/>
          <w:sz w:val="24"/>
          <w:szCs w:val="24"/>
        </w:rPr>
        <w:t xml:space="preserve"> –</w:t>
      </w:r>
      <w:r w:rsidR="00D77705"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Trzeba zapewnić im 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opiekę i pomoc niezbędną do przystosowania się do właściwego wykonywania pracy</w:t>
      </w:r>
      <w:r w:rsidR="00D77705"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, 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prowadzić ewidencję młodocianych pracowników</w:t>
      </w:r>
      <w:r w:rsidR="00D77705"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, a w przypadku tych zatrudnionych na podstawie 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umowy o pracę</w:t>
      </w:r>
      <w:r w:rsid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="008E6DE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- </w:t>
      </w:r>
      <w:r w:rsid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pamiętać, że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podlegają </w:t>
      </w:r>
      <w:r w:rsid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oni 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ubezpieczeniom społecznym na takich zasadach jak inni pracownic</w:t>
      </w:r>
      <w:r w:rsid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y – </w:t>
      </w:r>
      <w:r w:rsidR="00D77705" w:rsidRPr="00D77705">
        <w:rPr>
          <w:rFonts w:asciiTheme="minorHAnsi" w:hAnsiTheme="minorHAnsi" w:cstheme="minorHAnsi"/>
          <w:b/>
          <w:bCs/>
          <w:color w:val="002060"/>
          <w:sz w:val="24"/>
          <w:szCs w:val="24"/>
        </w:rPr>
        <w:t>podkreśla.</w:t>
      </w:r>
    </w:p>
    <w:p w14:paraId="09AE71B2" w14:textId="77777777" w:rsidR="00D77705" w:rsidRDefault="00D77705" w:rsidP="00521EC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77EAEF70" w14:textId="21418F7B" w:rsidR="00521ECD" w:rsidRPr="007104E2" w:rsidRDefault="00D77705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21ECD">
        <w:rPr>
          <w:rFonts w:asciiTheme="minorHAnsi" w:hAnsiTheme="minorHAnsi" w:cstheme="minorHAnsi"/>
          <w:color w:val="002060"/>
          <w:sz w:val="24"/>
          <w:szCs w:val="24"/>
        </w:rPr>
        <w:t>Inne z ważnych zasad, któr</w:t>
      </w:r>
      <w:r w:rsidR="008E6DE1">
        <w:rPr>
          <w:rFonts w:asciiTheme="minorHAnsi" w:hAnsiTheme="minorHAnsi" w:cstheme="minorHAnsi"/>
          <w:color w:val="002060"/>
          <w:sz w:val="24"/>
          <w:szCs w:val="24"/>
        </w:rPr>
        <w:t>ych</w:t>
      </w:r>
      <w:r w:rsidR="00521ECD" w:rsidRPr="00521ECD">
        <w:rPr>
          <w:rFonts w:asciiTheme="minorHAnsi" w:hAnsiTheme="minorHAnsi" w:cstheme="minorHAnsi"/>
          <w:color w:val="002060"/>
          <w:sz w:val="24"/>
          <w:szCs w:val="24"/>
        </w:rPr>
        <w:t xml:space="preserve"> muszą przestrzegać przełożeni to m.in. czas pracy. 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>Młodociany nie może pracować więcej niż 8 godzin na dobę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 xml:space="preserve">, a jeśli nie skończył on jeszcze 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>16. roku życia – 6 godzin.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 xml:space="preserve"> Wymagane są również przerwy. 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Jeżeli dobowy wymiar czasu pracy młodocianego jest dłuższy niż 4,5 godziny na dobę, 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>to ma on prawo do odpoczynku trwającego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 nieprzerwanie 30 minut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 xml:space="preserve"> i 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>wliczan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>ego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 do czasu pracy.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 xml:space="preserve"> Młodzież nie może brać nadgodzin i pracować w porze nocnej 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(pomiędzy godzinami 22:00 a 6:00, a w szczególnych przypadkach 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>–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 zwłaszcza młodocianego, który nie ukończył 15 lat 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>– pomiędzy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 godzinami 20:00 a 6:00).</w:t>
      </w:r>
    </w:p>
    <w:p w14:paraId="24F9321F" w14:textId="77777777" w:rsidR="00521ECD" w:rsidRDefault="00521ECD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4CBB9E70" w14:textId="04EAA3A0" w:rsidR="00521ECD" w:rsidRDefault="00521ECD" w:rsidP="00F302E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Jeśli młody pracownik poprosi o nieprzerwany odpoczynek, to ma do niego prawo w wysokości co najmniej 48 godz. tygodniowo</w:t>
      </w:r>
      <w:r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wolny czas </w:t>
      </w:r>
      <w:r w:rsidRPr="007104E2">
        <w:rPr>
          <w:rFonts w:asciiTheme="minorHAnsi" w:hAnsiTheme="minorHAnsi" w:cstheme="minorHAnsi"/>
          <w:color w:val="002060"/>
          <w:sz w:val="24"/>
          <w:szCs w:val="24"/>
        </w:rPr>
        <w:t>powinien obejmować niedzielę.</w:t>
      </w:r>
      <w:r w:rsidR="00F302ED">
        <w:rPr>
          <w:rFonts w:asciiTheme="minorHAnsi" w:hAnsiTheme="minorHAnsi" w:cstheme="minorHAnsi"/>
          <w:color w:val="002060"/>
          <w:sz w:val="24"/>
          <w:szCs w:val="24"/>
        </w:rPr>
        <w:t xml:space="preserve"> Co więcej, przysługuje mu też dłuższy urlop – p</w:t>
      </w:r>
      <w:r w:rsidR="00F302ED" w:rsidRPr="007104E2">
        <w:rPr>
          <w:rFonts w:asciiTheme="minorHAnsi" w:hAnsiTheme="minorHAnsi" w:cstheme="minorHAnsi"/>
          <w:color w:val="002060"/>
          <w:sz w:val="24"/>
          <w:szCs w:val="24"/>
        </w:rPr>
        <w:t>o upływie 6 miesięcy od rozpoczęcia pierwszej pracy w wymiarze 12 dni roboczych</w:t>
      </w:r>
      <w:r w:rsidR="00F302ED">
        <w:rPr>
          <w:rFonts w:asciiTheme="minorHAnsi" w:hAnsiTheme="minorHAnsi" w:cstheme="minorHAnsi"/>
          <w:color w:val="002060"/>
          <w:sz w:val="24"/>
          <w:szCs w:val="24"/>
        </w:rPr>
        <w:t xml:space="preserve">, a po roku pracy – </w:t>
      </w:r>
      <w:r w:rsidR="00F302ED" w:rsidRPr="007104E2">
        <w:rPr>
          <w:rFonts w:asciiTheme="minorHAnsi" w:hAnsiTheme="minorHAnsi" w:cstheme="minorHAnsi"/>
          <w:color w:val="002060"/>
          <w:sz w:val="24"/>
          <w:szCs w:val="24"/>
        </w:rPr>
        <w:t>w wymiarze 26 dni roboczych</w:t>
      </w:r>
      <w:r w:rsidR="00F302ED">
        <w:rPr>
          <w:rFonts w:asciiTheme="minorHAnsi" w:hAnsiTheme="minorHAnsi" w:cstheme="minorHAnsi"/>
          <w:color w:val="002060"/>
          <w:sz w:val="24"/>
          <w:szCs w:val="24"/>
        </w:rPr>
        <w:t xml:space="preserve">.  </w:t>
      </w:r>
    </w:p>
    <w:p w14:paraId="63239BEF" w14:textId="77777777" w:rsidR="00F302ED" w:rsidRDefault="00F302ED" w:rsidP="00F302E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A5701B8" w14:textId="60F1CD8B" w:rsidR="00F302ED" w:rsidRPr="00F302ED" w:rsidRDefault="00F302ED" w:rsidP="00F302E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>Dawanie szansy ludziom młodym i pozwalanie im na zdobywanie pierwszych doświadczeń zawodowych to dobry kierunek, w którym powinni zmierzać polscy pracodawcy. Wszystko musi być jednak zgodnie z obowiązującymi przepisami, a z moich obserwacji wynika, że niestety</w:t>
      </w:r>
      <w:r w:rsidR="006A17E8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nie zawsze tak się dzieje – </w:t>
      </w:r>
      <w:r w:rsidR="006A17E8" w:rsidRPr="006A17E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podsumowuje </w:t>
      </w:r>
      <w:r w:rsidR="00DD5A4E">
        <w:rPr>
          <w:rFonts w:asciiTheme="minorHAnsi" w:hAnsiTheme="minorHAnsi" w:cstheme="minorHAnsi"/>
          <w:b/>
          <w:bCs/>
          <w:color w:val="002060"/>
          <w:sz w:val="24"/>
          <w:szCs w:val="24"/>
        </w:rPr>
        <w:t>Martyna Curyło</w:t>
      </w:r>
      <w:r w:rsidR="006A17E8" w:rsidRPr="006A17E8">
        <w:rPr>
          <w:rFonts w:asciiTheme="minorHAnsi" w:hAnsiTheme="minorHAnsi" w:cstheme="minorHAnsi"/>
          <w:b/>
          <w:bCs/>
          <w:color w:val="002060"/>
          <w:sz w:val="24"/>
          <w:szCs w:val="24"/>
        </w:rPr>
        <w:t>.</w:t>
      </w:r>
      <w:r w:rsidR="006A17E8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</w:p>
    <w:p w14:paraId="056062BD" w14:textId="7C628B6C" w:rsidR="003E1F86" w:rsidRPr="00AA499A" w:rsidRDefault="003E1F86" w:rsidP="003949AC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A499A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5DB89771" w14:textId="77777777" w:rsidR="003E1F86" w:rsidRDefault="003E1F86" w:rsidP="003949AC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Kapitałowa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</w:t>
      </w:r>
      <w:proofErr w:type="spellStart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Recruitment</w:t>
      </w:r>
      <w:proofErr w:type="spellEnd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lastRenderedPageBreak/>
        <w:t>najdynamiczniej rozwijająca się firma w Polsce), Medal Europejski (2021 r.), Lider Polskiego Biznesu (2022 r.) i Firma Przyjazna Cudzoziemcom (2022 r.).</w:t>
      </w:r>
    </w:p>
    <w:p w14:paraId="0D96BF64" w14:textId="77777777" w:rsidR="003E1F86" w:rsidRPr="003E1F86" w:rsidRDefault="003E1F86" w:rsidP="003949AC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3E1F86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2EBB875D" w14:textId="77777777" w:rsidR="00E05548" w:rsidRPr="003E1F86" w:rsidRDefault="00E05548" w:rsidP="003949AC">
      <w:pPr>
        <w:rPr>
          <w:b/>
          <w:color w:val="002060"/>
        </w:rPr>
      </w:pPr>
      <w:r w:rsidRPr="003E1F86">
        <w:rPr>
          <w:b/>
          <w:color w:val="002060"/>
        </w:rPr>
        <w:t xml:space="preserve">Biuro prasowe Grupy Progres: </w:t>
      </w:r>
    </w:p>
    <w:p w14:paraId="6B44D79E" w14:textId="77777777" w:rsidR="00E05548" w:rsidRPr="003E1F86" w:rsidRDefault="00E05548" w:rsidP="003949AC">
      <w:pPr>
        <w:rPr>
          <w:color w:val="002060"/>
        </w:rPr>
      </w:pPr>
      <w:r w:rsidRPr="003E1F86">
        <w:rPr>
          <w:color w:val="002060"/>
        </w:rPr>
        <w:t>Kamila Tyniec</w:t>
      </w:r>
    </w:p>
    <w:p w14:paraId="7F5D49C2" w14:textId="0EC64921" w:rsidR="00DF5583" w:rsidRPr="003E1F86" w:rsidRDefault="00E05548" w:rsidP="003949AC">
      <w:pPr>
        <w:rPr>
          <w:color w:val="002060"/>
          <w:lang w:val="en-US"/>
        </w:rPr>
      </w:pPr>
      <w:r w:rsidRPr="003E1F86">
        <w:rPr>
          <w:color w:val="002060"/>
        </w:rPr>
        <w:t xml:space="preserve">e-mail: </w:t>
      </w:r>
      <w:hyperlink r:id="rId8" w:history="1">
        <w:r w:rsidRPr="003E1F86">
          <w:rPr>
            <w:rStyle w:val="Hipercze"/>
          </w:rPr>
          <w:t>k.tyniec@bepr.pl</w:t>
        </w:r>
      </w:hyperlink>
      <w:r w:rsidR="006D016D" w:rsidRPr="003E1F86">
        <w:rPr>
          <w:color w:val="002060"/>
        </w:rPr>
        <w:t xml:space="preserve"> lub </w:t>
      </w:r>
      <w:r w:rsidRPr="003E1F86">
        <w:rPr>
          <w:color w:val="002060"/>
        </w:rPr>
        <w:t xml:space="preserve">kom. </w:t>
      </w:r>
      <w:r w:rsidRPr="003E1F86">
        <w:rPr>
          <w:color w:val="002060"/>
          <w:lang w:val="en-US"/>
        </w:rPr>
        <w:t>+48 500 690 965</w:t>
      </w:r>
    </w:p>
    <w:sectPr w:rsidR="00DF5583" w:rsidRPr="003E1F86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4D28" w14:textId="77777777" w:rsidR="005D58E6" w:rsidRDefault="005D58E6" w:rsidP="00B332FF">
      <w:r>
        <w:separator/>
      </w:r>
    </w:p>
  </w:endnote>
  <w:endnote w:type="continuationSeparator" w:id="0">
    <w:p w14:paraId="539548C7" w14:textId="77777777" w:rsidR="005D58E6" w:rsidRDefault="005D58E6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85C5" w14:textId="77777777" w:rsidR="005D58E6" w:rsidRDefault="005D58E6" w:rsidP="00B332FF">
      <w:r>
        <w:separator/>
      </w:r>
    </w:p>
  </w:footnote>
  <w:footnote w:type="continuationSeparator" w:id="0">
    <w:p w14:paraId="62554094" w14:textId="77777777" w:rsidR="005D58E6" w:rsidRDefault="005D58E6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1415A00"/>
    <w:multiLevelType w:val="multilevel"/>
    <w:tmpl w:val="E0AE0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411DD"/>
    <w:multiLevelType w:val="hybridMultilevel"/>
    <w:tmpl w:val="05029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068D"/>
    <w:multiLevelType w:val="multilevel"/>
    <w:tmpl w:val="F7A4D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A177C"/>
    <w:multiLevelType w:val="multilevel"/>
    <w:tmpl w:val="6C88F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A7A49"/>
    <w:multiLevelType w:val="hybridMultilevel"/>
    <w:tmpl w:val="434C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7E275F"/>
    <w:multiLevelType w:val="hybridMultilevel"/>
    <w:tmpl w:val="4F6A0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438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825585">
    <w:abstractNumId w:val="7"/>
  </w:num>
  <w:num w:numId="3" w16cid:durableId="1714769923">
    <w:abstractNumId w:val="14"/>
  </w:num>
  <w:num w:numId="4" w16cid:durableId="2081246455">
    <w:abstractNumId w:val="2"/>
  </w:num>
  <w:num w:numId="5" w16cid:durableId="1540320976">
    <w:abstractNumId w:val="13"/>
  </w:num>
  <w:num w:numId="6" w16cid:durableId="1414085053">
    <w:abstractNumId w:val="3"/>
  </w:num>
  <w:num w:numId="7" w16cid:durableId="1214734065">
    <w:abstractNumId w:val="16"/>
  </w:num>
  <w:num w:numId="8" w16cid:durableId="254291827">
    <w:abstractNumId w:val="1"/>
  </w:num>
  <w:num w:numId="9" w16cid:durableId="507403002">
    <w:abstractNumId w:val="0"/>
  </w:num>
  <w:num w:numId="10" w16cid:durableId="1902404399">
    <w:abstractNumId w:val="15"/>
  </w:num>
  <w:num w:numId="11" w16cid:durableId="1633288417">
    <w:abstractNumId w:val="12"/>
  </w:num>
  <w:num w:numId="12" w16cid:durableId="377634687">
    <w:abstractNumId w:val="9"/>
  </w:num>
  <w:num w:numId="13" w16cid:durableId="911044234">
    <w:abstractNumId w:val="6"/>
  </w:num>
  <w:num w:numId="14" w16cid:durableId="1137453245">
    <w:abstractNumId w:val="11"/>
  </w:num>
  <w:num w:numId="15" w16cid:durableId="470363962">
    <w:abstractNumId w:val="17"/>
  </w:num>
  <w:num w:numId="16" w16cid:durableId="1285700013">
    <w:abstractNumId w:val="5"/>
  </w:num>
  <w:num w:numId="17" w16cid:durableId="1133795825">
    <w:abstractNumId w:val="10"/>
  </w:num>
  <w:num w:numId="18" w16cid:durableId="1303537857">
    <w:abstractNumId w:val="8"/>
  </w:num>
  <w:num w:numId="19" w16cid:durableId="1926765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7963"/>
    <w:rsid w:val="00010BB1"/>
    <w:rsid w:val="000153F5"/>
    <w:rsid w:val="000204C6"/>
    <w:rsid w:val="00034974"/>
    <w:rsid w:val="00036102"/>
    <w:rsid w:val="000426D5"/>
    <w:rsid w:val="00053363"/>
    <w:rsid w:val="0005546C"/>
    <w:rsid w:val="000565AC"/>
    <w:rsid w:val="00065D23"/>
    <w:rsid w:val="000668DA"/>
    <w:rsid w:val="00067662"/>
    <w:rsid w:val="00074B37"/>
    <w:rsid w:val="000802A6"/>
    <w:rsid w:val="00080CD1"/>
    <w:rsid w:val="000902C0"/>
    <w:rsid w:val="000924FC"/>
    <w:rsid w:val="000A3077"/>
    <w:rsid w:val="000A3552"/>
    <w:rsid w:val="000A6C87"/>
    <w:rsid w:val="000B2757"/>
    <w:rsid w:val="000B2884"/>
    <w:rsid w:val="000C403C"/>
    <w:rsid w:val="000C44DC"/>
    <w:rsid w:val="000C7470"/>
    <w:rsid w:val="000D47B0"/>
    <w:rsid w:val="000D60DF"/>
    <w:rsid w:val="000E1DA9"/>
    <w:rsid w:val="000E6326"/>
    <w:rsid w:val="000F2E79"/>
    <w:rsid w:val="000F4B4C"/>
    <w:rsid w:val="000F50E3"/>
    <w:rsid w:val="00102972"/>
    <w:rsid w:val="001063AF"/>
    <w:rsid w:val="001126CB"/>
    <w:rsid w:val="00112702"/>
    <w:rsid w:val="00114250"/>
    <w:rsid w:val="00127E1A"/>
    <w:rsid w:val="00132496"/>
    <w:rsid w:val="0013343E"/>
    <w:rsid w:val="001477B9"/>
    <w:rsid w:val="001522F5"/>
    <w:rsid w:val="00152D23"/>
    <w:rsid w:val="0015784A"/>
    <w:rsid w:val="00161A44"/>
    <w:rsid w:val="00165D83"/>
    <w:rsid w:val="00172852"/>
    <w:rsid w:val="00180C30"/>
    <w:rsid w:val="00180F6C"/>
    <w:rsid w:val="001834B1"/>
    <w:rsid w:val="00192A33"/>
    <w:rsid w:val="001944AA"/>
    <w:rsid w:val="00194540"/>
    <w:rsid w:val="001A3CF1"/>
    <w:rsid w:val="001A5D06"/>
    <w:rsid w:val="001A701A"/>
    <w:rsid w:val="001A75A5"/>
    <w:rsid w:val="001B0C85"/>
    <w:rsid w:val="001B1511"/>
    <w:rsid w:val="001B41C0"/>
    <w:rsid w:val="001C5671"/>
    <w:rsid w:val="001C6A76"/>
    <w:rsid w:val="001D0185"/>
    <w:rsid w:val="001D35E3"/>
    <w:rsid w:val="001E358E"/>
    <w:rsid w:val="001E74E4"/>
    <w:rsid w:val="001E7FE8"/>
    <w:rsid w:val="001F03BC"/>
    <w:rsid w:val="001F14B3"/>
    <w:rsid w:val="001F7C74"/>
    <w:rsid w:val="002102D7"/>
    <w:rsid w:val="00215C72"/>
    <w:rsid w:val="0021608E"/>
    <w:rsid w:val="00217BD9"/>
    <w:rsid w:val="00225843"/>
    <w:rsid w:val="00226588"/>
    <w:rsid w:val="00231305"/>
    <w:rsid w:val="00231C0B"/>
    <w:rsid w:val="0023276C"/>
    <w:rsid w:val="002333C2"/>
    <w:rsid w:val="00237E0C"/>
    <w:rsid w:val="0024032B"/>
    <w:rsid w:val="00241CDE"/>
    <w:rsid w:val="00251CB2"/>
    <w:rsid w:val="002527CA"/>
    <w:rsid w:val="00252DE4"/>
    <w:rsid w:val="002547CE"/>
    <w:rsid w:val="00254F35"/>
    <w:rsid w:val="00270F72"/>
    <w:rsid w:val="00271898"/>
    <w:rsid w:val="0027776A"/>
    <w:rsid w:val="00280B72"/>
    <w:rsid w:val="00286E1F"/>
    <w:rsid w:val="0028720F"/>
    <w:rsid w:val="00293D11"/>
    <w:rsid w:val="00296D40"/>
    <w:rsid w:val="002A1444"/>
    <w:rsid w:val="002A3BAD"/>
    <w:rsid w:val="002A406D"/>
    <w:rsid w:val="002A6884"/>
    <w:rsid w:val="002B2936"/>
    <w:rsid w:val="002B6D71"/>
    <w:rsid w:val="002C19BC"/>
    <w:rsid w:val="002C295A"/>
    <w:rsid w:val="002C7FCC"/>
    <w:rsid w:val="002D06AC"/>
    <w:rsid w:val="002E4735"/>
    <w:rsid w:val="002E4D8D"/>
    <w:rsid w:val="002E6FD1"/>
    <w:rsid w:val="002F6058"/>
    <w:rsid w:val="00301E41"/>
    <w:rsid w:val="0031516E"/>
    <w:rsid w:val="00321C33"/>
    <w:rsid w:val="00322352"/>
    <w:rsid w:val="00323633"/>
    <w:rsid w:val="00326F34"/>
    <w:rsid w:val="0032786E"/>
    <w:rsid w:val="0033021F"/>
    <w:rsid w:val="0033214D"/>
    <w:rsid w:val="003414F1"/>
    <w:rsid w:val="00346619"/>
    <w:rsid w:val="00356E10"/>
    <w:rsid w:val="00361517"/>
    <w:rsid w:val="003629C8"/>
    <w:rsid w:val="00367362"/>
    <w:rsid w:val="0036739B"/>
    <w:rsid w:val="00381731"/>
    <w:rsid w:val="00381CC9"/>
    <w:rsid w:val="00383554"/>
    <w:rsid w:val="00391607"/>
    <w:rsid w:val="00391CE0"/>
    <w:rsid w:val="00393D1D"/>
    <w:rsid w:val="003941D4"/>
    <w:rsid w:val="003949AC"/>
    <w:rsid w:val="003A5053"/>
    <w:rsid w:val="003A6667"/>
    <w:rsid w:val="003A7C17"/>
    <w:rsid w:val="003B13B2"/>
    <w:rsid w:val="003B1C4B"/>
    <w:rsid w:val="003B2C2A"/>
    <w:rsid w:val="003C022A"/>
    <w:rsid w:val="003C42D0"/>
    <w:rsid w:val="003C46B2"/>
    <w:rsid w:val="003D054B"/>
    <w:rsid w:val="003D28B1"/>
    <w:rsid w:val="003D759B"/>
    <w:rsid w:val="003E1F86"/>
    <w:rsid w:val="003E2B3B"/>
    <w:rsid w:val="003E77A9"/>
    <w:rsid w:val="003F173D"/>
    <w:rsid w:val="003F496A"/>
    <w:rsid w:val="00400D52"/>
    <w:rsid w:val="004018D5"/>
    <w:rsid w:val="00402361"/>
    <w:rsid w:val="00403851"/>
    <w:rsid w:val="004062B8"/>
    <w:rsid w:val="00410C6C"/>
    <w:rsid w:val="00412F56"/>
    <w:rsid w:val="00427773"/>
    <w:rsid w:val="004323D1"/>
    <w:rsid w:val="00433886"/>
    <w:rsid w:val="0043438C"/>
    <w:rsid w:val="00441DF5"/>
    <w:rsid w:val="00441F95"/>
    <w:rsid w:val="00445800"/>
    <w:rsid w:val="00445A45"/>
    <w:rsid w:val="00460C94"/>
    <w:rsid w:val="00463167"/>
    <w:rsid w:val="00465B97"/>
    <w:rsid w:val="00476C4A"/>
    <w:rsid w:val="004815B8"/>
    <w:rsid w:val="00481951"/>
    <w:rsid w:val="00495EC6"/>
    <w:rsid w:val="004A2351"/>
    <w:rsid w:val="004A2A29"/>
    <w:rsid w:val="004B7E12"/>
    <w:rsid w:val="004E22CE"/>
    <w:rsid w:val="004E3C8A"/>
    <w:rsid w:val="004E64AC"/>
    <w:rsid w:val="004F032D"/>
    <w:rsid w:val="004F16A8"/>
    <w:rsid w:val="004F1E0F"/>
    <w:rsid w:val="004F6E3E"/>
    <w:rsid w:val="00500DDE"/>
    <w:rsid w:val="00511830"/>
    <w:rsid w:val="00512452"/>
    <w:rsid w:val="00512A67"/>
    <w:rsid w:val="00512F62"/>
    <w:rsid w:val="00514E69"/>
    <w:rsid w:val="00516A5A"/>
    <w:rsid w:val="00521ECD"/>
    <w:rsid w:val="0052476B"/>
    <w:rsid w:val="005262E5"/>
    <w:rsid w:val="00530981"/>
    <w:rsid w:val="00533A72"/>
    <w:rsid w:val="0053464A"/>
    <w:rsid w:val="00536118"/>
    <w:rsid w:val="00540F74"/>
    <w:rsid w:val="00543494"/>
    <w:rsid w:val="00553E6C"/>
    <w:rsid w:val="00557152"/>
    <w:rsid w:val="005603F4"/>
    <w:rsid w:val="00570410"/>
    <w:rsid w:val="00572EF3"/>
    <w:rsid w:val="005740D7"/>
    <w:rsid w:val="005747AE"/>
    <w:rsid w:val="005747CF"/>
    <w:rsid w:val="0059056F"/>
    <w:rsid w:val="005927B2"/>
    <w:rsid w:val="005956A4"/>
    <w:rsid w:val="00596452"/>
    <w:rsid w:val="005973BF"/>
    <w:rsid w:val="005A09C9"/>
    <w:rsid w:val="005A212B"/>
    <w:rsid w:val="005A3F81"/>
    <w:rsid w:val="005B43EC"/>
    <w:rsid w:val="005C4587"/>
    <w:rsid w:val="005C67FD"/>
    <w:rsid w:val="005C7553"/>
    <w:rsid w:val="005D1823"/>
    <w:rsid w:val="005D39B9"/>
    <w:rsid w:val="005D56D5"/>
    <w:rsid w:val="005D58E6"/>
    <w:rsid w:val="005F7D58"/>
    <w:rsid w:val="006144DB"/>
    <w:rsid w:val="00617839"/>
    <w:rsid w:val="006229DA"/>
    <w:rsid w:val="00623E55"/>
    <w:rsid w:val="006241ED"/>
    <w:rsid w:val="0064167D"/>
    <w:rsid w:val="00643689"/>
    <w:rsid w:val="00664495"/>
    <w:rsid w:val="00670266"/>
    <w:rsid w:val="00674190"/>
    <w:rsid w:val="006751EB"/>
    <w:rsid w:val="006829CF"/>
    <w:rsid w:val="006847B1"/>
    <w:rsid w:val="00691170"/>
    <w:rsid w:val="00695B72"/>
    <w:rsid w:val="006A1098"/>
    <w:rsid w:val="006A17E8"/>
    <w:rsid w:val="006C0683"/>
    <w:rsid w:val="006C0A82"/>
    <w:rsid w:val="006C3A25"/>
    <w:rsid w:val="006D016D"/>
    <w:rsid w:val="006D5D94"/>
    <w:rsid w:val="006D652A"/>
    <w:rsid w:val="006D6FC0"/>
    <w:rsid w:val="006E1DD8"/>
    <w:rsid w:val="006E38A9"/>
    <w:rsid w:val="006E657F"/>
    <w:rsid w:val="007011C7"/>
    <w:rsid w:val="0070165E"/>
    <w:rsid w:val="007104E2"/>
    <w:rsid w:val="00711579"/>
    <w:rsid w:val="00714B45"/>
    <w:rsid w:val="007157FA"/>
    <w:rsid w:val="007240ED"/>
    <w:rsid w:val="00724C9D"/>
    <w:rsid w:val="00733113"/>
    <w:rsid w:val="00740A88"/>
    <w:rsid w:val="007465C3"/>
    <w:rsid w:val="00747C7C"/>
    <w:rsid w:val="007508C7"/>
    <w:rsid w:val="007520B9"/>
    <w:rsid w:val="00752FA8"/>
    <w:rsid w:val="007565E2"/>
    <w:rsid w:val="00760942"/>
    <w:rsid w:val="007638C4"/>
    <w:rsid w:val="00765409"/>
    <w:rsid w:val="0077092E"/>
    <w:rsid w:val="007716D7"/>
    <w:rsid w:val="00772E11"/>
    <w:rsid w:val="00781F52"/>
    <w:rsid w:val="00791B84"/>
    <w:rsid w:val="00795226"/>
    <w:rsid w:val="007A0A35"/>
    <w:rsid w:val="007B3D7D"/>
    <w:rsid w:val="007B404D"/>
    <w:rsid w:val="007B5463"/>
    <w:rsid w:val="007B7852"/>
    <w:rsid w:val="007C0AE6"/>
    <w:rsid w:val="007C50A0"/>
    <w:rsid w:val="007C7383"/>
    <w:rsid w:val="007C75A5"/>
    <w:rsid w:val="007C7859"/>
    <w:rsid w:val="007D0392"/>
    <w:rsid w:val="007D1FD1"/>
    <w:rsid w:val="007D2EEF"/>
    <w:rsid w:val="007D737D"/>
    <w:rsid w:val="007E1799"/>
    <w:rsid w:val="007E4E0D"/>
    <w:rsid w:val="007E5F53"/>
    <w:rsid w:val="007F0262"/>
    <w:rsid w:val="007F3A4F"/>
    <w:rsid w:val="007F3E84"/>
    <w:rsid w:val="007F55BA"/>
    <w:rsid w:val="007F74A0"/>
    <w:rsid w:val="00804413"/>
    <w:rsid w:val="00804B88"/>
    <w:rsid w:val="00817FDF"/>
    <w:rsid w:val="008375C6"/>
    <w:rsid w:val="00840053"/>
    <w:rsid w:val="00851356"/>
    <w:rsid w:val="008738BB"/>
    <w:rsid w:val="0088277C"/>
    <w:rsid w:val="0089087A"/>
    <w:rsid w:val="00896D22"/>
    <w:rsid w:val="00896F74"/>
    <w:rsid w:val="008A0F82"/>
    <w:rsid w:val="008A3A86"/>
    <w:rsid w:val="008B18D7"/>
    <w:rsid w:val="008B49F0"/>
    <w:rsid w:val="008B4AD4"/>
    <w:rsid w:val="008B7179"/>
    <w:rsid w:val="008B7F3E"/>
    <w:rsid w:val="008C49B6"/>
    <w:rsid w:val="008D0ED1"/>
    <w:rsid w:val="008D2771"/>
    <w:rsid w:val="008E0E59"/>
    <w:rsid w:val="008E0F0E"/>
    <w:rsid w:val="008E11FC"/>
    <w:rsid w:val="008E380D"/>
    <w:rsid w:val="008E6DE1"/>
    <w:rsid w:val="008E7511"/>
    <w:rsid w:val="00900BC8"/>
    <w:rsid w:val="00902F43"/>
    <w:rsid w:val="00904401"/>
    <w:rsid w:val="0091269A"/>
    <w:rsid w:val="00915B6C"/>
    <w:rsid w:val="00923A2F"/>
    <w:rsid w:val="00924EAB"/>
    <w:rsid w:val="0093053E"/>
    <w:rsid w:val="00933034"/>
    <w:rsid w:val="00935535"/>
    <w:rsid w:val="00937AF8"/>
    <w:rsid w:val="0094001D"/>
    <w:rsid w:val="00945355"/>
    <w:rsid w:val="00947D6D"/>
    <w:rsid w:val="009540D7"/>
    <w:rsid w:val="009571ED"/>
    <w:rsid w:val="009646A6"/>
    <w:rsid w:val="00966636"/>
    <w:rsid w:val="00974C5D"/>
    <w:rsid w:val="00981EC9"/>
    <w:rsid w:val="00982A64"/>
    <w:rsid w:val="00995675"/>
    <w:rsid w:val="0099771C"/>
    <w:rsid w:val="009A75F4"/>
    <w:rsid w:val="009B155A"/>
    <w:rsid w:val="009B24DF"/>
    <w:rsid w:val="009B302C"/>
    <w:rsid w:val="009B6CD0"/>
    <w:rsid w:val="009C23BE"/>
    <w:rsid w:val="009D3599"/>
    <w:rsid w:val="009D366C"/>
    <w:rsid w:val="009D5E45"/>
    <w:rsid w:val="009E5581"/>
    <w:rsid w:val="009E5B91"/>
    <w:rsid w:val="009E6056"/>
    <w:rsid w:val="009E6DF0"/>
    <w:rsid w:val="009F0227"/>
    <w:rsid w:val="009F103A"/>
    <w:rsid w:val="009F4B3E"/>
    <w:rsid w:val="009F6B3C"/>
    <w:rsid w:val="009F7EC3"/>
    <w:rsid w:val="00A00851"/>
    <w:rsid w:val="00A03887"/>
    <w:rsid w:val="00A223AE"/>
    <w:rsid w:val="00A22AC8"/>
    <w:rsid w:val="00A31144"/>
    <w:rsid w:val="00A416A1"/>
    <w:rsid w:val="00A41F28"/>
    <w:rsid w:val="00A51B87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0491"/>
    <w:rsid w:val="00A93D2E"/>
    <w:rsid w:val="00A94149"/>
    <w:rsid w:val="00A97895"/>
    <w:rsid w:val="00AA0D6E"/>
    <w:rsid w:val="00AA43F0"/>
    <w:rsid w:val="00AA499A"/>
    <w:rsid w:val="00AA5B4D"/>
    <w:rsid w:val="00AB5C7D"/>
    <w:rsid w:val="00AC0CA9"/>
    <w:rsid w:val="00AC76AB"/>
    <w:rsid w:val="00AE0C4E"/>
    <w:rsid w:val="00AE2990"/>
    <w:rsid w:val="00AE3272"/>
    <w:rsid w:val="00AE48F0"/>
    <w:rsid w:val="00AF3CF6"/>
    <w:rsid w:val="00AF4001"/>
    <w:rsid w:val="00AF56E3"/>
    <w:rsid w:val="00AF7D6A"/>
    <w:rsid w:val="00B001C9"/>
    <w:rsid w:val="00B05E2E"/>
    <w:rsid w:val="00B17AC1"/>
    <w:rsid w:val="00B22885"/>
    <w:rsid w:val="00B23A03"/>
    <w:rsid w:val="00B248A1"/>
    <w:rsid w:val="00B315A7"/>
    <w:rsid w:val="00B332FF"/>
    <w:rsid w:val="00B36436"/>
    <w:rsid w:val="00B44B22"/>
    <w:rsid w:val="00B54A0C"/>
    <w:rsid w:val="00B56394"/>
    <w:rsid w:val="00B625B4"/>
    <w:rsid w:val="00B63CEC"/>
    <w:rsid w:val="00B7173C"/>
    <w:rsid w:val="00B71D33"/>
    <w:rsid w:val="00B75213"/>
    <w:rsid w:val="00B75DA6"/>
    <w:rsid w:val="00B902CE"/>
    <w:rsid w:val="00B92356"/>
    <w:rsid w:val="00B94783"/>
    <w:rsid w:val="00B95E76"/>
    <w:rsid w:val="00B96FA0"/>
    <w:rsid w:val="00BA077A"/>
    <w:rsid w:val="00BA3A20"/>
    <w:rsid w:val="00BB0821"/>
    <w:rsid w:val="00BB6D0E"/>
    <w:rsid w:val="00BB6D37"/>
    <w:rsid w:val="00BE0917"/>
    <w:rsid w:val="00BE1F69"/>
    <w:rsid w:val="00BE7867"/>
    <w:rsid w:val="00BF080B"/>
    <w:rsid w:val="00BF210F"/>
    <w:rsid w:val="00C0117C"/>
    <w:rsid w:val="00C068CE"/>
    <w:rsid w:val="00C11EEA"/>
    <w:rsid w:val="00C21316"/>
    <w:rsid w:val="00C22A96"/>
    <w:rsid w:val="00C30652"/>
    <w:rsid w:val="00C3641C"/>
    <w:rsid w:val="00C37D47"/>
    <w:rsid w:val="00C43E70"/>
    <w:rsid w:val="00C467A0"/>
    <w:rsid w:val="00C50E5D"/>
    <w:rsid w:val="00C60A32"/>
    <w:rsid w:val="00C703CA"/>
    <w:rsid w:val="00C72A81"/>
    <w:rsid w:val="00C81B78"/>
    <w:rsid w:val="00C852BE"/>
    <w:rsid w:val="00C92005"/>
    <w:rsid w:val="00C93D2F"/>
    <w:rsid w:val="00CA4372"/>
    <w:rsid w:val="00CA5D6F"/>
    <w:rsid w:val="00CB0118"/>
    <w:rsid w:val="00CB0C5F"/>
    <w:rsid w:val="00CB1A1E"/>
    <w:rsid w:val="00CC7FBD"/>
    <w:rsid w:val="00CD1B72"/>
    <w:rsid w:val="00CD36B5"/>
    <w:rsid w:val="00CD6E4E"/>
    <w:rsid w:val="00CD776E"/>
    <w:rsid w:val="00CE1926"/>
    <w:rsid w:val="00CE1F25"/>
    <w:rsid w:val="00CE2F4C"/>
    <w:rsid w:val="00CE4B61"/>
    <w:rsid w:val="00D0632C"/>
    <w:rsid w:val="00D06C42"/>
    <w:rsid w:val="00D07E15"/>
    <w:rsid w:val="00D12EAA"/>
    <w:rsid w:val="00D24642"/>
    <w:rsid w:val="00D3498E"/>
    <w:rsid w:val="00D428F8"/>
    <w:rsid w:val="00D52E9C"/>
    <w:rsid w:val="00D62F36"/>
    <w:rsid w:val="00D64C59"/>
    <w:rsid w:val="00D651C3"/>
    <w:rsid w:val="00D655EE"/>
    <w:rsid w:val="00D66F63"/>
    <w:rsid w:val="00D77705"/>
    <w:rsid w:val="00D80F14"/>
    <w:rsid w:val="00D83B31"/>
    <w:rsid w:val="00D9195B"/>
    <w:rsid w:val="00D97599"/>
    <w:rsid w:val="00DA6C2E"/>
    <w:rsid w:val="00DA7433"/>
    <w:rsid w:val="00DB1303"/>
    <w:rsid w:val="00DB16EF"/>
    <w:rsid w:val="00DB25DA"/>
    <w:rsid w:val="00DD25D9"/>
    <w:rsid w:val="00DD2D35"/>
    <w:rsid w:val="00DD5A4E"/>
    <w:rsid w:val="00DD6DBA"/>
    <w:rsid w:val="00DF23DC"/>
    <w:rsid w:val="00DF2BE8"/>
    <w:rsid w:val="00DF5583"/>
    <w:rsid w:val="00E017EC"/>
    <w:rsid w:val="00E03C52"/>
    <w:rsid w:val="00E05548"/>
    <w:rsid w:val="00E07EAA"/>
    <w:rsid w:val="00E07FFE"/>
    <w:rsid w:val="00E123DB"/>
    <w:rsid w:val="00E13B3B"/>
    <w:rsid w:val="00E16B37"/>
    <w:rsid w:val="00E233AE"/>
    <w:rsid w:val="00E24786"/>
    <w:rsid w:val="00E373C9"/>
    <w:rsid w:val="00E42011"/>
    <w:rsid w:val="00E4770C"/>
    <w:rsid w:val="00E50747"/>
    <w:rsid w:val="00E55742"/>
    <w:rsid w:val="00E559BB"/>
    <w:rsid w:val="00E57B9B"/>
    <w:rsid w:val="00E60047"/>
    <w:rsid w:val="00E65520"/>
    <w:rsid w:val="00E8569E"/>
    <w:rsid w:val="00E870D6"/>
    <w:rsid w:val="00E936EB"/>
    <w:rsid w:val="00EA1D36"/>
    <w:rsid w:val="00EB3A78"/>
    <w:rsid w:val="00EB52F7"/>
    <w:rsid w:val="00EC09DE"/>
    <w:rsid w:val="00EC5AB1"/>
    <w:rsid w:val="00EC6FD3"/>
    <w:rsid w:val="00EC74E8"/>
    <w:rsid w:val="00ED1C77"/>
    <w:rsid w:val="00ED2886"/>
    <w:rsid w:val="00ED2E5E"/>
    <w:rsid w:val="00ED3B00"/>
    <w:rsid w:val="00ED62E3"/>
    <w:rsid w:val="00ED73F3"/>
    <w:rsid w:val="00ED7494"/>
    <w:rsid w:val="00EE292E"/>
    <w:rsid w:val="00EE6B69"/>
    <w:rsid w:val="00EF6665"/>
    <w:rsid w:val="00F1211C"/>
    <w:rsid w:val="00F125CF"/>
    <w:rsid w:val="00F13302"/>
    <w:rsid w:val="00F23B88"/>
    <w:rsid w:val="00F23E5F"/>
    <w:rsid w:val="00F2485C"/>
    <w:rsid w:val="00F2796A"/>
    <w:rsid w:val="00F302ED"/>
    <w:rsid w:val="00F35B07"/>
    <w:rsid w:val="00F36B63"/>
    <w:rsid w:val="00F436C1"/>
    <w:rsid w:val="00F44C66"/>
    <w:rsid w:val="00F50A10"/>
    <w:rsid w:val="00F54BC8"/>
    <w:rsid w:val="00F60D97"/>
    <w:rsid w:val="00F639C0"/>
    <w:rsid w:val="00F64107"/>
    <w:rsid w:val="00F729B6"/>
    <w:rsid w:val="00F74241"/>
    <w:rsid w:val="00F80C05"/>
    <w:rsid w:val="00F92269"/>
    <w:rsid w:val="00FA27CC"/>
    <w:rsid w:val="00FA4751"/>
    <w:rsid w:val="00FB33D1"/>
    <w:rsid w:val="00FB77FC"/>
    <w:rsid w:val="00FC0AB4"/>
    <w:rsid w:val="00FC1310"/>
    <w:rsid w:val="00FC48F8"/>
    <w:rsid w:val="00FC6E7E"/>
    <w:rsid w:val="00FD2FE0"/>
    <w:rsid w:val="00FE13C8"/>
    <w:rsid w:val="00FE1FF2"/>
    <w:rsid w:val="00FE4C3A"/>
    <w:rsid w:val="00FF038F"/>
    <w:rsid w:val="00FF449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9666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6663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4C9D"/>
    <w:rPr>
      <w:color w:val="954F72" w:themeColor="followedHyperlink"/>
      <w:u w:val="single"/>
    </w:rPr>
  </w:style>
  <w:style w:type="character" w:customStyle="1" w:styleId="s17">
    <w:name w:val="s17"/>
    <w:basedOn w:val="Domylnaczcionkaakapitu"/>
    <w:rsid w:val="00B92356"/>
  </w:style>
  <w:style w:type="paragraph" w:customStyle="1" w:styleId="Tre">
    <w:name w:val="Treść"/>
    <w:rsid w:val="008A0F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8A0F82"/>
  </w:style>
  <w:style w:type="paragraph" w:customStyle="1" w:styleId="Domylne">
    <w:name w:val="Domyślne"/>
    <w:rsid w:val="00161A4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2Znak">
    <w:name w:val="Nagłówek 2 Znak"/>
    <w:basedOn w:val="Domylnaczcionkaakapitu"/>
    <w:link w:val="Nagwek2"/>
    <w:uiPriority w:val="9"/>
    <w:rsid w:val="009666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66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6578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6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12992824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177413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14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Katarzyna Kozłowska</cp:lastModifiedBy>
  <cp:revision>7</cp:revision>
  <cp:lastPrinted>2023-05-10T11:26:00Z</cp:lastPrinted>
  <dcterms:created xsi:type="dcterms:W3CDTF">2023-06-02T12:00:00Z</dcterms:created>
  <dcterms:modified xsi:type="dcterms:W3CDTF">2023-06-06T08:02:00Z</dcterms:modified>
</cp:coreProperties>
</file>