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027D" w14:textId="77777777" w:rsidR="00045F40" w:rsidRDefault="000460C8">
      <w:pPr>
        <w:pBdr>
          <w:bottom w:val="single" w:sz="12" w:space="1" w:color="auto"/>
        </w:pBdr>
        <w:jc w:val="both"/>
        <w:rPr>
          <w:rFonts w:asciiTheme="majorHAnsi" w:hAnsiTheme="majorHAnsi" w:cs="Times New Roman"/>
          <w:b/>
          <w:color w:val="auto"/>
          <w:sz w:val="28"/>
          <w:szCs w:val="18"/>
          <w:lang w:val="lv-LV"/>
        </w:rPr>
      </w:pPr>
      <w:r>
        <w:rPr>
          <w:rFonts w:asciiTheme="majorHAnsi" w:hAnsiTheme="majorHAnsi"/>
          <w:b/>
          <w:sz w:val="28"/>
          <w:szCs w:val="18"/>
          <w:lang w:val="lv-LV"/>
        </w:rPr>
        <w:t>INFORMACJA PRASOWA</w:t>
      </w:r>
    </w:p>
    <w:p w14:paraId="04A0027E" w14:textId="212B2216" w:rsidR="00045F40" w:rsidRDefault="000460C8">
      <w:pPr>
        <w:jc w:val="both"/>
        <w:rPr>
          <w:rFonts w:asciiTheme="majorHAnsi" w:hAnsiTheme="majorHAnsi"/>
          <w:sz w:val="18"/>
          <w:szCs w:val="18"/>
          <w:lang w:val="lv-LV"/>
        </w:rPr>
      </w:pPr>
      <w:r w:rsidRPr="00FE4F2F">
        <w:rPr>
          <w:rFonts w:asciiTheme="majorHAnsi" w:hAnsiTheme="majorHAnsi"/>
          <w:sz w:val="18"/>
          <w:szCs w:val="18"/>
          <w:lang w:val="lv-LV"/>
        </w:rPr>
        <w:t xml:space="preserve">Gdańsk, </w:t>
      </w:r>
      <w:r w:rsidR="00765CA7">
        <w:rPr>
          <w:rFonts w:asciiTheme="majorHAnsi" w:hAnsiTheme="majorHAnsi"/>
          <w:sz w:val="18"/>
          <w:szCs w:val="18"/>
          <w:lang w:val="lv-LV"/>
        </w:rPr>
        <w:t>10</w:t>
      </w:r>
      <w:r w:rsidRPr="00FE4F2F">
        <w:rPr>
          <w:rFonts w:asciiTheme="majorHAnsi" w:hAnsiTheme="majorHAnsi"/>
          <w:sz w:val="18"/>
          <w:szCs w:val="18"/>
          <w:lang w:val="lv-LV"/>
        </w:rPr>
        <w:t xml:space="preserve"> </w:t>
      </w:r>
      <w:r w:rsidR="00765CA7">
        <w:rPr>
          <w:rFonts w:asciiTheme="majorHAnsi" w:hAnsiTheme="majorHAnsi"/>
          <w:sz w:val="18"/>
          <w:szCs w:val="18"/>
          <w:lang w:val="lv-LV"/>
        </w:rPr>
        <w:t>lipca</w:t>
      </w:r>
      <w:r w:rsidRPr="00FE4F2F">
        <w:rPr>
          <w:rFonts w:asciiTheme="majorHAnsi" w:hAnsiTheme="majorHAnsi"/>
          <w:sz w:val="18"/>
          <w:szCs w:val="18"/>
          <w:lang w:val="lv-LV"/>
        </w:rPr>
        <w:t xml:space="preserve"> 202</w:t>
      </w:r>
      <w:r w:rsidR="00F03137" w:rsidRPr="00FE4F2F">
        <w:rPr>
          <w:rFonts w:asciiTheme="majorHAnsi" w:hAnsiTheme="majorHAnsi"/>
          <w:sz w:val="18"/>
          <w:szCs w:val="18"/>
          <w:lang w:val="lv-LV"/>
        </w:rPr>
        <w:t>3</w:t>
      </w:r>
      <w:r w:rsidRPr="00FE4F2F">
        <w:rPr>
          <w:rFonts w:asciiTheme="majorHAnsi" w:hAnsiTheme="majorHAnsi"/>
          <w:sz w:val="18"/>
          <w:szCs w:val="18"/>
          <w:lang w:val="lv-LV"/>
        </w:rPr>
        <w:t xml:space="preserve"> r</w:t>
      </w:r>
      <w:r w:rsidR="00BA49AA" w:rsidRPr="00FE4F2F">
        <w:rPr>
          <w:rFonts w:asciiTheme="majorHAnsi" w:hAnsiTheme="majorHAnsi"/>
          <w:sz w:val="18"/>
          <w:szCs w:val="18"/>
          <w:lang w:val="lv-LV"/>
        </w:rPr>
        <w:t>.</w:t>
      </w:r>
      <w:r>
        <w:rPr>
          <w:rFonts w:asciiTheme="majorHAnsi" w:hAnsiTheme="majorHAnsi"/>
          <w:sz w:val="18"/>
          <w:szCs w:val="18"/>
          <w:lang w:val="lv-LV"/>
        </w:rPr>
        <w:t xml:space="preserve"> </w:t>
      </w:r>
    </w:p>
    <w:p w14:paraId="04A0027F" w14:textId="77777777" w:rsidR="00045F40" w:rsidRDefault="00045F40">
      <w:pPr>
        <w:spacing w:line="276" w:lineRule="auto"/>
        <w:jc w:val="both"/>
        <w:rPr>
          <w:rFonts w:asciiTheme="majorHAnsi" w:hAnsiTheme="majorHAnsi" w:cstheme="minorHAnsi"/>
          <w:b/>
          <w:bCs/>
          <w:iCs/>
          <w:color w:val="314173"/>
          <w:sz w:val="24"/>
          <w:szCs w:val="21"/>
        </w:rPr>
      </w:pPr>
    </w:p>
    <w:p w14:paraId="04A00280" w14:textId="16B0A1AF" w:rsidR="00045F40" w:rsidRDefault="00765CA7">
      <w:pPr>
        <w:spacing w:line="276" w:lineRule="auto"/>
        <w:jc w:val="both"/>
        <w:rPr>
          <w:rFonts w:asciiTheme="majorHAnsi" w:hAnsiTheme="majorHAnsi" w:cstheme="minorHAnsi"/>
          <w:b/>
          <w:bCs/>
          <w:iCs/>
          <w:color w:val="314173"/>
          <w:sz w:val="28"/>
          <w:szCs w:val="28"/>
        </w:rPr>
      </w:pPr>
      <w:bookmarkStart w:id="0" w:name="_Hlk138917608"/>
      <w:r w:rsidRPr="00765CA7">
        <w:rPr>
          <w:rFonts w:asciiTheme="majorHAnsi" w:hAnsiTheme="majorHAnsi" w:cstheme="minorHAnsi"/>
          <w:b/>
          <w:bCs/>
          <w:iCs/>
          <w:color w:val="314173"/>
          <w:sz w:val="28"/>
          <w:szCs w:val="28"/>
        </w:rPr>
        <w:t>Wakacje Polaków 2023. Prawie 30 proc. gospodarstw domowych nie planuje żadnych wydatków</w:t>
      </w:r>
      <w:bookmarkEnd w:id="0"/>
      <w:r w:rsidR="006D725F">
        <w:rPr>
          <w:rFonts w:asciiTheme="majorHAnsi" w:hAnsiTheme="majorHAnsi" w:cstheme="minorHAnsi"/>
          <w:b/>
          <w:bCs/>
          <w:iCs/>
          <w:color w:val="314173"/>
          <w:sz w:val="28"/>
          <w:szCs w:val="28"/>
        </w:rPr>
        <w:t xml:space="preserve"> </w:t>
      </w:r>
      <w:r w:rsidR="00812A83">
        <w:rPr>
          <w:rFonts w:asciiTheme="majorHAnsi" w:hAnsiTheme="majorHAnsi" w:cstheme="minorHAnsi"/>
          <w:b/>
          <w:bCs/>
          <w:iCs/>
          <w:color w:val="314173"/>
          <w:sz w:val="28"/>
          <w:szCs w:val="28"/>
        </w:rPr>
        <w:t>na wakacje</w:t>
      </w:r>
    </w:p>
    <w:p w14:paraId="04A00281" w14:textId="77777777" w:rsidR="00045F40" w:rsidRDefault="00045F40">
      <w:pPr>
        <w:spacing w:line="276" w:lineRule="auto"/>
        <w:jc w:val="both"/>
        <w:rPr>
          <w:rFonts w:asciiTheme="majorHAnsi" w:hAnsiTheme="majorHAnsi"/>
          <w:iCs/>
          <w:color w:val="auto"/>
          <w:spacing w:val="-2"/>
          <w:sz w:val="21"/>
          <w:szCs w:val="21"/>
        </w:rPr>
      </w:pPr>
    </w:p>
    <w:p w14:paraId="2D669C90" w14:textId="5A7AF76C" w:rsidR="00443D95" w:rsidRDefault="00765CA7" w:rsidP="00DE22DD">
      <w:pPr>
        <w:spacing w:line="276" w:lineRule="auto"/>
        <w:jc w:val="both"/>
        <w:rPr>
          <w:rFonts w:asciiTheme="majorHAnsi" w:hAnsiTheme="majorHAnsi" w:cs="Calibri"/>
          <w:b/>
          <w:bCs/>
          <w:iCs/>
          <w:color w:val="auto"/>
          <w:spacing w:val="-2"/>
          <w:sz w:val="21"/>
          <w:szCs w:val="21"/>
        </w:rPr>
      </w:pPr>
      <w:bookmarkStart w:id="1" w:name="_Hlk138917714"/>
      <w:r w:rsidRPr="00765CA7">
        <w:rPr>
          <w:rFonts w:asciiTheme="majorHAnsi" w:hAnsiTheme="majorHAnsi" w:cs="Calibri"/>
          <w:b/>
          <w:bCs/>
          <w:iCs/>
          <w:color w:val="auto"/>
          <w:spacing w:val="-2"/>
          <w:sz w:val="21"/>
          <w:szCs w:val="21"/>
        </w:rPr>
        <w:t>Tylko 17 proc. Polaków w 2023 r. przeznaczy na wakacyjny wypoczynek więcej pieniędzy niż przed rokiem. Większość ogranicza wydatki albo skracając urlopy, albo w ogóle z nich rezygnując.</w:t>
      </w:r>
      <w:bookmarkEnd w:id="1"/>
    </w:p>
    <w:p w14:paraId="6273C092" w14:textId="77777777" w:rsidR="00765CA7" w:rsidRPr="00DE22DD" w:rsidRDefault="00765CA7" w:rsidP="00DE22DD">
      <w:pPr>
        <w:spacing w:line="276" w:lineRule="auto"/>
        <w:jc w:val="both"/>
        <w:rPr>
          <w:rFonts w:asciiTheme="majorHAnsi" w:hAnsiTheme="majorHAnsi" w:cs="Calibri"/>
          <w:b/>
          <w:bCs/>
          <w:iCs/>
          <w:color w:val="auto"/>
          <w:spacing w:val="-2"/>
          <w:sz w:val="21"/>
          <w:szCs w:val="21"/>
        </w:rPr>
      </w:pPr>
    </w:p>
    <w:p w14:paraId="277A842A" w14:textId="59A9B4F1" w:rsidR="00765CA7" w:rsidRDefault="00765CA7" w:rsidP="00765CA7">
      <w:pPr>
        <w:spacing w:line="276" w:lineRule="auto"/>
        <w:jc w:val="both"/>
        <w:rPr>
          <w:rFonts w:asciiTheme="majorHAnsi" w:hAnsiTheme="majorHAnsi" w:cs="Calibri"/>
          <w:iCs/>
          <w:color w:val="auto"/>
          <w:spacing w:val="-2"/>
          <w:sz w:val="21"/>
          <w:szCs w:val="21"/>
        </w:rPr>
      </w:pPr>
      <w:r w:rsidRPr="00765CA7">
        <w:rPr>
          <w:rFonts w:asciiTheme="majorHAnsi" w:hAnsiTheme="majorHAnsi" w:cs="Calibri"/>
          <w:iCs/>
          <w:color w:val="auto"/>
          <w:spacing w:val="-2"/>
          <w:sz w:val="21"/>
          <w:szCs w:val="21"/>
        </w:rPr>
        <w:t xml:space="preserve">To wniosek, który można wyciągnąć z sondażu przeprowadzonego przez Związek Przedsiębiorstw Finansowych w Polsce (ZPF) oraz Instytut Rozwoju Gospodarczego Szkoły Głównej Handlowej </w:t>
      </w:r>
      <w:r w:rsidR="00E82A9F">
        <w:rPr>
          <w:rFonts w:asciiTheme="majorHAnsi" w:hAnsiTheme="majorHAnsi" w:cs="Calibri"/>
          <w:iCs/>
          <w:color w:val="auto"/>
          <w:spacing w:val="-2"/>
          <w:sz w:val="21"/>
          <w:szCs w:val="21"/>
        </w:rPr>
        <w:br/>
      </w:r>
      <w:r w:rsidRPr="00765CA7">
        <w:rPr>
          <w:rFonts w:asciiTheme="majorHAnsi" w:hAnsiTheme="majorHAnsi" w:cs="Calibri"/>
          <w:iCs/>
          <w:color w:val="auto"/>
          <w:spacing w:val="-2"/>
          <w:sz w:val="21"/>
          <w:szCs w:val="21"/>
        </w:rPr>
        <w:t>(IRG SGH) w ramach cyklicznego badania „Sytuacja na rynku consumer finance”.</w:t>
      </w:r>
    </w:p>
    <w:p w14:paraId="763010E3" w14:textId="77777777" w:rsidR="00765CA7" w:rsidRPr="00765CA7" w:rsidRDefault="00765CA7" w:rsidP="00765CA7">
      <w:pPr>
        <w:spacing w:line="276" w:lineRule="auto"/>
        <w:jc w:val="both"/>
        <w:rPr>
          <w:rFonts w:asciiTheme="majorHAnsi" w:hAnsiTheme="majorHAnsi" w:cs="Calibri"/>
          <w:iCs/>
          <w:color w:val="auto"/>
          <w:spacing w:val="-2"/>
          <w:sz w:val="21"/>
          <w:szCs w:val="21"/>
        </w:rPr>
      </w:pPr>
    </w:p>
    <w:p w14:paraId="222D052B" w14:textId="5E8F68F3" w:rsidR="00765CA7" w:rsidRDefault="00765CA7" w:rsidP="00765CA7">
      <w:pPr>
        <w:spacing w:line="276" w:lineRule="auto"/>
        <w:jc w:val="both"/>
        <w:rPr>
          <w:rFonts w:asciiTheme="majorHAnsi" w:hAnsiTheme="majorHAnsi" w:cs="Calibri"/>
          <w:iCs/>
          <w:color w:val="auto"/>
          <w:spacing w:val="-2"/>
          <w:sz w:val="21"/>
          <w:szCs w:val="21"/>
        </w:rPr>
      </w:pPr>
      <w:r w:rsidRPr="00765CA7">
        <w:rPr>
          <w:rFonts w:asciiTheme="majorHAnsi" w:hAnsiTheme="majorHAnsi" w:cs="Calibri"/>
          <w:iCs/>
          <w:color w:val="auto"/>
          <w:spacing w:val="-2"/>
          <w:sz w:val="21"/>
          <w:szCs w:val="21"/>
        </w:rPr>
        <w:t xml:space="preserve">Respondenci zostali zapytani w nim o to, ile środków wydadzą na tegoroczne wakacje w porównaniu </w:t>
      </w:r>
      <w:r w:rsidR="00E82A9F">
        <w:rPr>
          <w:rFonts w:asciiTheme="majorHAnsi" w:hAnsiTheme="majorHAnsi" w:cs="Calibri"/>
          <w:iCs/>
          <w:color w:val="auto"/>
          <w:spacing w:val="-2"/>
          <w:sz w:val="21"/>
          <w:szCs w:val="21"/>
        </w:rPr>
        <w:br/>
      </w:r>
      <w:r w:rsidRPr="00765CA7">
        <w:rPr>
          <w:rFonts w:asciiTheme="majorHAnsi" w:hAnsiTheme="majorHAnsi" w:cs="Calibri"/>
          <w:iCs/>
          <w:color w:val="auto"/>
          <w:spacing w:val="-2"/>
          <w:sz w:val="21"/>
          <w:szCs w:val="21"/>
        </w:rPr>
        <w:t>do 2022 r.</w:t>
      </w:r>
    </w:p>
    <w:p w14:paraId="2A90D633" w14:textId="77777777" w:rsidR="00765CA7" w:rsidRPr="00765CA7" w:rsidRDefault="00765CA7" w:rsidP="00765CA7">
      <w:pPr>
        <w:spacing w:line="276" w:lineRule="auto"/>
        <w:jc w:val="both"/>
        <w:rPr>
          <w:rFonts w:asciiTheme="majorHAnsi" w:hAnsiTheme="majorHAnsi" w:cs="Calibri"/>
          <w:iCs/>
          <w:color w:val="auto"/>
          <w:spacing w:val="-2"/>
          <w:sz w:val="21"/>
          <w:szCs w:val="21"/>
        </w:rPr>
      </w:pPr>
    </w:p>
    <w:p w14:paraId="342C0828" w14:textId="11763D58" w:rsidR="00765CA7" w:rsidRPr="00765CA7" w:rsidRDefault="00765CA7" w:rsidP="00765CA7">
      <w:pPr>
        <w:spacing w:line="276" w:lineRule="auto"/>
        <w:jc w:val="both"/>
        <w:rPr>
          <w:rFonts w:asciiTheme="majorHAnsi" w:hAnsiTheme="majorHAnsi" w:cs="Calibri"/>
          <w:b/>
          <w:bCs/>
          <w:iCs/>
          <w:color w:val="auto"/>
          <w:spacing w:val="-2"/>
          <w:sz w:val="21"/>
          <w:szCs w:val="21"/>
        </w:rPr>
      </w:pPr>
      <w:r w:rsidRPr="00765CA7">
        <w:rPr>
          <w:rFonts w:asciiTheme="majorHAnsi" w:hAnsiTheme="majorHAnsi" w:cs="Calibri"/>
          <w:b/>
          <w:bCs/>
          <w:iCs/>
          <w:color w:val="auto"/>
          <w:spacing w:val="-2"/>
          <w:sz w:val="21"/>
          <w:szCs w:val="21"/>
        </w:rPr>
        <w:t>Prawie połowa Polaków maksymalnie tnie wydatki na wakacje</w:t>
      </w:r>
    </w:p>
    <w:p w14:paraId="4FF0B942" w14:textId="77777777" w:rsidR="00765CA7" w:rsidRPr="00765CA7" w:rsidRDefault="00765CA7" w:rsidP="00765CA7">
      <w:pPr>
        <w:spacing w:line="276" w:lineRule="auto"/>
        <w:jc w:val="both"/>
        <w:rPr>
          <w:rFonts w:asciiTheme="majorHAnsi" w:hAnsiTheme="majorHAnsi" w:cs="Calibri"/>
          <w:iCs/>
          <w:color w:val="auto"/>
          <w:spacing w:val="-2"/>
          <w:sz w:val="21"/>
          <w:szCs w:val="21"/>
        </w:rPr>
      </w:pPr>
    </w:p>
    <w:p w14:paraId="1841AF97" w14:textId="77777777" w:rsidR="00765CA7" w:rsidRDefault="00765CA7" w:rsidP="00765CA7">
      <w:pPr>
        <w:spacing w:line="276" w:lineRule="auto"/>
        <w:jc w:val="both"/>
        <w:rPr>
          <w:rFonts w:asciiTheme="majorHAnsi" w:hAnsiTheme="majorHAnsi" w:cs="Calibri"/>
          <w:iCs/>
          <w:color w:val="auto"/>
          <w:spacing w:val="-2"/>
          <w:sz w:val="21"/>
          <w:szCs w:val="21"/>
        </w:rPr>
      </w:pPr>
      <w:r w:rsidRPr="00765CA7">
        <w:rPr>
          <w:rFonts w:asciiTheme="majorHAnsi" w:hAnsiTheme="majorHAnsi" w:cs="Calibri"/>
          <w:iCs/>
          <w:color w:val="auto"/>
          <w:spacing w:val="-2"/>
          <w:sz w:val="21"/>
          <w:szCs w:val="21"/>
        </w:rPr>
        <w:t>Tylko 17 proc. ankietowanych zadeklarowało, że na wakacyjny wypoczynek w tym roku przeznaczy więcej pieniędzy niż w 2022 r. Około jedna trzecia skupia się na tym, by nie przekroczyć wysokości ubiegłorocznego budżetu. Tymczasem prawie połowa zadeklarowała, że wydatki wakacyjne będą mniejsze niż przed rokiem lub nie poniosą ich wcale.</w:t>
      </w:r>
    </w:p>
    <w:p w14:paraId="5510679F" w14:textId="77777777" w:rsidR="00765CA7" w:rsidRPr="00765CA7" w:rsidRDefault="00765CA7" w:rsidP="00765CA7">
      <w:pPr>
        <w:spacing w:line="276" w:lineRule="auto"/>
        <w:jc w:val="both"/>
        <w:rPr>
          <w:rFonts w:asciiTheme="majorHAnsi" w:hAnsiTheme="majorHAnsi" w:cs="Calibri"/>
          <w:iCs/>
          <w:color w:val="auto"/>
          <w:spacing w:val="-2"/>
          <w:sz w:val="21"/>
          <w:szCs w:val="21"/>
        </w:rPr>
      </w:pPr>
    </w:p>
    <w:p w14:paraId="7A32829B" w14:textId="6C85FF7F" w:rsidR="00FF2923" w:rsidRDefault="00765CA7" w:rsidP="00765CA7">
      <w:pPr>
        <w:spacing w:line="276" w:lineRule="auto"/>
        <w:jc w:val="both"/>
        <w:rPr>
          <w:rFonts w:asciiTheme="majorHAnsi" w:hAnsiTheme="majorHAnsi"/>
          <w:sz w:val="21"/>
          <w:szCs w:val="21"/>
        </w:rPr>
      </w:pPr>
      <w:r w:rsidRPr="00765CA7">
        <w:rPr>
          <w:rFonts w:asciiTheme="majorHAnsi" w:hAnsiTheme="majorHAnsi" w:cs="Calibri"/>
          <w:iCs/>
          <w:color w:val="auto"/>
          <w:spacing w:val="-2"/>
          <w:sz w:val="21"/>
          <w:szCs w:val="21"/>
        </w:rPr>
        <w:t>Dokładne wyniki prezentujemy na poniższej grafice.</w:t>
      </w:r>
    </w:p>
    <w:p w14:paraId="1AD51563" w14:textId="77777777" w:rsidR="003B473B" w:rsidRDefault="003B473B" w:rsidP="00765CA7">
      <w:pPr>
        <w:spacing w:line="276" w:lineRule="auto"/>
        <w:jc w:val="both"/>
        <w:rPr>
          <w:rFonts w:asciiTheme="majorHAnsi" w:hAnsiTheme="majorHAnsi"/>
          <w:sz w:val="21"/>
          <w:szCs w:val="21"/>
        </w:rPr>
      </w:pPr>
    </w:p>
    <w:p w14:paraId="183477DD" w14:textId="2404505C" w:rsidR="003B473B" w:rsidRDefault="003B473B" w:rsidP="003B473B">
      <w:pPr>
        <w:spacing w:line="276" w:lineRule="auto"/>
        <w:jc w:val="center"/>
        <w:rPr>
          <w:rFonts w:asciiTheme="majorHAnsi" w:hAnsiTheme="majorHAnsi"/>
          <w:sz w:val="21"/>
          <w:szCs w:val="21"/>
        </w:rPr>
      </w:pPr>
      <w:r>
        <w:rPr>
          <w:noProof/>
        </w:rPr>
        <w:drawing>
          <wp:inline distT="0" distB="0" distL="0" distR="0" wp14:anchorId="76BFEABA" wp14:editId="44CC5F3B">
            <wp:extent cx="5958840" cy="3351848"/>
            <wp:effectExtent l="0" t="0" r="3810" b="1270"/>
            <wp:docPr id="636880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3587" cy="3365768"/>
                    </a:xfrm>
                    <a:prstGeom prst="rect">
                      <a:avLst/>
                    </a:prstGeom>
                    <a:noFill/>
                    <a:ln>
                      <a:noFill/>
                    </a:ln>
                  </pic:spPr>
                </pic:pic>
              </a:graphicData>
            </a:graphic>
          </wp:inline>
        </w:drawing>
      </w:r>
    </w:p>
    <w:p w14:paraId="4F0EF84F" w14:textId="77777777" w:rsidR="00443D95" w:rsidRPr="00FF2923" w:rsidRDefault="00443D95" w:rsidP="00FF2923">
      <w:pPr>
        <w:spacing w:line="276" w:lineRule="auto"/>
        <w:jc w:val="both"/>
        <w:rPr>
          <w:rFonts w:asciiTheme="majorHAnsi" w:hAnsiTheme="majorHAnsi"/>
          <w:sz w:val="21"/>
          <w:szCs w:val="21"/>
        </w:rPr>
      </w:pPr>
    </w:p>
    <w:p w14:paraId="3D4E8BF1" w14:textId="3EBA2598" w:rsidR="00765CA7" w:rsidRDefault="006D725F" w:rsidP="00765CA7">
      <w:pPr>
        <w:spacing w:line="276" w:lineRule="auto"/>
        <w:jc w:val="both"/>
        <w:rPr>
          <w:rFonts w:asciiTheme="majorHAnsi" w:hAnsiTheme="majorHAnsi"/>
          <w:sz w:val="21"/>
          <w:szCs w:val="21"/>
        </w:rPr>
      </w:pPr>
      <w:r>
        <w:rPr>
          <w:rFonts w:asciiTheme="majorHAnsi" w:hAnsiTheme="majorHAnsi"/>
          <w:sz w:val="21"/>
          <w:szCs w:val="21"/>
        </w:rPr>
        <w:lastRenderedPageBreak/>
        <w:t xml:space="preserve">- </w:t>
      </w:r>
      <w:r w:rsidR="00765CA7" w:rsidRPr="00765CA7">
        <w:rPr>
          <w:rFonts w:asciiTheme="majorHAnsi" w:hAnsiTheme="majorHAnsi"/>
          <w:sz w:val="21"/>
          <w:szCs w:val="21"/>
        </w:rPr>
        <w:t xml:space="preserve">W przypadku wskazanych 17 proc. gospodarstw domowych większe wydatki wcale nie oznaczają, </w:t>
      </w:r>
      <w:r w:rsidR="00E82A9F">
        <w:rPr>
          <w:rFonts w:asciiTheme="majorHAnsi" w:hAnsiTheme="majorHAnsi"/>
          <w:sz w:val="21"/>
          <w:szCs w:val="21"/>
        </w:rPr>
        <w:br/>
      </w:r>
      <w:r w:rsidR="00765CA7" w:rsidRPr="00765CA7">
        <w:rPr>
          <w:rFonts w:asciiTheme="majorHAnsi" w:hAnsiTheme="majorHAnsi"/>
          <w:sz w:val="21"/>
          <w:szCs w:val="21"/>
        </w:rPr>
        <w:t>że wakacje będą w tym roku dłuższe czy lepsze. Ceny hoteli, wycieczek, dojazdu i wyżywienia są znacznie wyższe. Sondaż wyraźnie pokazuje, że galopująca inflacja wymusza cięcie kosztów, co dla większości oznacza oszczędzanie na wydatkach wakacyjnych lub nawet rezygnację z wyjazdów - komentuje dr Sławomir Dudek, ekonomista IRG SGH i współautor badania.</w:t>
      </w:r>
    </w:p>
    <w:p w14:paraId="5C9CF68A" w14:textId="77777777" w:rsidR="00765CA7" w:rsidRPr="00765CA7" w:rsidRDefault="00765CA7" w:rsidP="00765CA7">
      <w:pPr>
        <w:spacing w:line="276" w:lineRule="auto"/>
        <w:jc w:val="both"/>
        <w:rPr>
          <w:rFonts w:asciiTheme="majorHAnsi" w:hAnsiTheme="majorHAnsi"/>
          <w:sz w:val="21"/>
          <w:szCs w:val="21"/>
        </w:rPr>
      </w:pPr>
    </w:p>
    <w:p w14:paraId="095B6A1B" w14:textId="77777777" w:rsidR="00765CA7"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t>Wskazuje, że odsetek rezygnacji z wydatków bądź ich zmniejszenia wobec ubiegłego roku jest najwyższy w gospodarstwach domowych o miesięcznych dochodach na poziomie poniżej 1 tys. zł na osobę - sięga aż 78 proc.</w:t>
      </w:r>
    </w:p>
    <w:p w14:paraId="170847CF" w14:textId="77777777" w:rsidR="00765CA7" w:rsidRPr="00765CA7" w:rsidRDefault="00765CA7" w:rsidP="00765CA7">
      <w:pPr>
        <w:spacing w:line="276" w:lineRule="auto"/>
        <w:jc w:val="both"/>
        <w:rPr>
          <w:rFonts w:asciiTheme="majorHAnsi" w:hAnsiTheme="majorHAnsi"/>
          <w:sz w:val="21"/>
          <w:szCs w:val="21"/>
        </w:rPr>
      </w:pPr>
    </w:p>
    <w:p w14:paraId="13024136" w14:textId="0641009A" w:rsidR="00765CA7"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t xml:space="preserve">Wysoki odsetek rezygnacji i ograniczania kosztów widać też w małych miastach (do 10 tys. mieszkańców). - W nich prawie 63 proc. gospodarstw domowych tnie wydatki wakacyjne </w:t>
      </w:r>
      <w:r w:rsidR="00E82A9F">
        <w:rPr>
          <w:rFonts w:asciiTheme="majorHAnsi" w:hAnsiTheme="majorHAnsi"/>
          <w:sz w:val="21"/>
          <w:szCs w:val="21"/>
        </w:rPr>
        <w:br/>
      </w:r>
      <w:r w:rsidRPr="00765CA7">
        <w:rPr>
          <w:rFonts w:asciiTheme="majorHAnsi" w:hAnsiTheme="majorHAnsi"/>
          <w:sz w:val="21"/>
          <w:szCs w:val="21"/>
        </w:rPr>
        <w:t>w porównaniu do ubiegłego roku lub wcale ich nie poniesie - zauważa dr Sławomir Dudek. Dla porównania, w dużych miastach (powyżej 100 tys. mieszkańców) ten odsetek spada do 42 proc.</w:t>
      </w:r>
    </w:p>
    <w:p w14:paraId="22463564" w14:textId="77777777" w:rsidR="00765CA7" w:rsidRPr="00765CA7" w:rsidRDefault="00765CA7" w:rsidP="00765CA7">
      <w:pPr>
        <w:spacing w:line="276" w:lineRule="auto"/>
        <w:jc w:val="both"/>
        <w:rPr>
          <w:rFonts w:asciiTheme="majorHAnsi" w:hAnsiTheme="majorHAnsi"/>
          <w:sz w:val="21"/>
          <w:szCs w:val="21"/>
        </w:rPr>
      </w:pPr>
    </w:p>
    <w:p w14:paraId="5E85462E" w14:textId="137C5ABA" w:rsidR="00765CA7" w:rsidRDefault="00765CA7" w:rsidP="00765CA7">
      <w:pPr>
        <w:spacing w:line="276" w:lineRule="auto"/>
        <w:jc w:val="both"/>
        <w:rPr>
          <w:rFonts w:asciiTheme="majorHAnsi" w:hAnsiTheme="majorHAnsi"/>
          <w:b/>
          <w:bCs/>
          <w:sz w:val="21"/>
          <w:szCs w:val="21"/>
        </w:rPr>
      </w:pPr>
      <w:r w:rsidRPr="00765CA7">
        <w:rPr>
          <w:rFonts w:asciiTheme="majorHAnsi" w:hAnsiTheme="majorHAnsi"/>
          <w:b/>
          <w:bCs/>
          <w:sz w:val="21"/>
          <w:szCs w:val="21"/>
        </w:rPr>
        <w:t>Wakacje 2023. Wydatki gospodarstw domowych w podziale na województwa</w:t>
      </w:r>
    </w:p>
    <w:p w14:paraId="40597E89" w14:textId="77777777" w:rsidR="00765CA7" w:rsidRPr="00765CA7" w:rsidRDefault="00765CA7" w:rsidP="00765CA7">
      <w:pPr>
        <w:spacing w:line="276" w:lineRule="auto"/>
        <w:jc w:val="both"/>
        <w:rPr>
          <w:rFonts w:asciiTheme="majorHAnsi" w:hAnsiTheme="majorHAnsi"/>
          <w:b/>
          <w:bCs/>
          <w:sz w:val="21"/>
          <w:szCs w:val="21"/>
        </w:rPr>
      </w:pPr>
    </w:p>
    <w:p w14:paraId="503EBD12" w14:textId="77777777" w:rsidR="00765CA7"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t>Z badania ZPF i IRG SGH wynika, że - biorąc pod uwagę podział na województwa - wydatki wakacyjne najmocniej tną mieszkańcy województwa świętokrzyskiego. Tam prawie co czwarte gospodarstwo domowe zadeklarowało, że nie wyda żadnych pieniędzy na wakacyjny wypoczynek, a jedna trzecia - mniej niż przed rokiem.</w:t>
      </w:r>
    </w:p>
    <w:p w14:paraId="161DA75A" w14:textId="77777777" w:rsidR="00765CA7" w:rsidRDefault="00765CA7" w:rsidP="00765CA7">
      <w:pPr>
        <w:spacing w:line="276" w:lineRule="auto"/>
        <w:jc w:val="both"/>
        <w:rPr>
          <w:rFonts w:asciiTheme="majorHAnsi" w:hAnsiTheme="majorHAnsi"/>
          <w:sz w:val="21"/>
          <w:szCs w:val="21"/>
        </w:rPr>
      </w:pPr>
    </w:p>
    <w:p w14:paraId="168CD234" w14:textId="0AA9D7A7" w:rsidR="00FF2923"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t>Łączne odsetki odpowiedzi potwierdzających cięcie kosztów wakacyjnych prezentujemy na poniższej mapie Polski.</w:t>
      </w:r>
    </w:p>
    <w:p w14:paraId="702066E3" w14:textId="77777777" w:rsidR="003B473B" w:rsidRDefault="003B473B" w:rsidP="00765CA7">
      <w:pPr>
        <w:spacing w:line="276" w:lineRule="auto"/>
        <w:jc w:val="both"/>
        <w:rPr>
          <w:rFonts w:asciiTheme="majorHAnsi" w:hAnsiTheme="majorHAnsi"/>
          <w:sz w:val="21"/>
          <w:szCs w:val="21"/>
        </w:rPr>
      </w:pPr>
    </w:p>
    <w:p w14:paraId="0143E1E5" w14:textId="13FDA962" w:rsidR="003B473B" w:rsidRDefault="003B473B" w:rsidP="003B473B">
      <w:pPr>
        <w:spacing w:line="276" w:lineRule="auto"/>
        <w:jc w:val="center"/>
        <w:rPr>
          <w:rFonts w:asciiTheme="majorHAnsi" w:hAnsiTheme="majorHAnsi"/>
          <w:sz w:val="21"/>
          <w:szCs w:val="21"/>
        </w:rPr>
      </w:pPr>
      <w:r>
        <w:rPr>
          <w:noProof/>
        </w:rPr>
        <w:drawing>
          <wp:inline distT="0" distB="0" distL="0" distR="0" wp14:anchorId="4D7E0E60" wp14:editId="5D7D57E3">
            <wp:extent cx="3962400" cy="3962400"/>
            <wp:effectExtent l="0" t="0" r="0" b="0"/>
            <wp:docPr id="134103727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p>
    <w:p w14:paraId="452D9E5A" w14:textId="347F5287" w:rsidR="00765CA7"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lastRenderedPageBreak/>
        <w:t>Wskaźnik inflacji utrzymuje się w Polsce na dwucyfrowym poziomie od wiosny 2022 r. Według najnowszych danych Głównego Urzędu Statystycznego (GUS) w czerwcu ceny towarów i usług konsumpcyjnych były o 11,5 proc. wyższe niż w tym samym okresie ubiegłego roku (GUS: szybki szacunek wskaźnika cen towarów i usług konsumpcyjnych w czerwcu 2023 r.). Rekord inflacji odnotowano na początku 2023 r. - wskaźnik sięgnął wówczas 18,4 proc.</w:t>
      </w:r>
    </w:p>
    <w:p w14:paraId="1B0EFA42" w14:textId="77777777" w:rsidR="00765CA7" w:rsidRPr="00765CA7" w:rsidRDefault="00765CA7" w:rsidP="00765CA7">
      <w:pPr>
        <w:spacing w:line="276" w:lineRule="auto"/>
        <w:jc w:val="both"/>
        <w:rPr>
          <w:rFonts w:asciiTheme="majorHAnsi" w:hAnsiTheme="majorHAnsi"/>
          <w:sz w:val="21"/>
          <w:szCs w:val="21"/>
        </w:rPr>
      </w:pPr>
    </w:p>
    <w:p w14:paraId="0220AE4D" w14:textId="28A367CE" w:rsidR="00765CA7" w:rsidRDefault="00765CA7" w:rsidP="00765CA7">
      <w:pPr>
        <w:spacing w:line="276" w:lineRule="auto"/>
        <w:jc w:val="both"/>
        <w:rPr>
          <w:rFonts w:asciiTheme="majorHAnsi" w:hAnsiTheme="majorHAnsi"/>
          <w:b/>
          <w:bCs/>
          <w:sz w:val="21"/>
          <w:szCs w:val="21"/>
        </w:rPr>
      </w:pPr>
      <w:r w:rsidRPr="00765CA7">
        <w:rPr>
          <w:rFonts w:asciiTheme="majorHAnsi" w:hAnsiTheme="majorHAnsi"/>
          <w:b/>
          <w:bCs/>
          <w:sz w:val="21"/>
          <w:szCs w:val="21"/>
        </w:rPr>
        <w:t>Badanie „Sytuacja na rynku consumer finance”</w:t>
      </w:r>
    </w:p>
    <w:p w14:paraId="5A7BE35B" w14:textId="77777777" w:rsidR="00765CA7" w:rsidRPr="00765CA7" w:rsidRDefault="00765CA7" w:rsidP="00765CA7">
      <w:pPr>
        <w:spacing w:line="276" w:lineRule="auto"/>
        <w:jc w:val="both"/>
        <w:rPr>
          <w:rFonts w:asciiTheme="majorHAnsi" w:hAnsiTheme="majorHAnsi"/>
          <w:b/>
          <w:bCs/>
          <w:sz w:val="21"/>
          <w:szCs w:val="21"/>
        </w:rPr>
      </w:pPr>
    </w:p>
    <w:p w14:paraId="3ACB7E04" w14:textId="77777777" w:rsidR="00765CA7"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t>„Sytuacja na rynku consumer finance” to badanie realizowane od 2006 r. w odstępach kwartalnych przez ZPF oraz IRG SGH. W jego ramach respondenci odpowiadają na szereg pytań dotyczących sytuacji finansowej gospodarstw domowych.</w:t>
      </w:r>
    </w:p>
    <w:p w14:paraId="43D89048" w14:textId="77777777" w:rsidR="00765CA7" w:rsidRPr="00765CA7" w:rsidRDefault="00765CA7" w:rsidP="00765CA7">
      <w:pPr>
        <w:spacing w:line="276" w:lineRule="auto"/>
        <w:jc w:val="both"/>
        <w:rPr>
          <w:rFonts w:asciiTheme="majorHAnsi" w:hAnsiTheme="majorHAnsi"/>
          <w:sz w:val="21"/>
          <w:szCs w:val="21"/>
        </w:rPr>
      </w:pPr>
    </w:p>
    <w:p w14:paraId="2BAE2238" w14:textId="748D904A" w:rsidR="00765CA7"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t>Efektem badania jest publikowany cyklicznie Barometr Rynku Consumer Finance (BR</w:t>
      </w:r>
      <w:r w:rsidR="00BC4881">
        <w:rPr>
          <w:rFonts w:asciiTheme="majorHAnsi" w:hAnsiTheme="majorHAnsi"/>
          <w:sz w:val="21"/>
          <w:szCs w:val="21"/>
        </w:rPr>
        <w:t>C</w:t>
      </w:r>
      <w:r w:rsidRPr="00765CA7">
        <w:rPr>
          <w:rFonts w:asciiTheme="majorHAnsi" w:hAnsiTheme="majorHAnsi"/>
          <w:sz w:val="21"/>
          <w:szCs w:val="21"/>
        </w:rPr>
        <w:t>F). Pokazuje on aktualne nastroje konsumentów i pozwala przewidywać m.in. ich skłonność do zaciągania nowych zobowiązań.</w:t>
      </w:r>
    </w:p>
    <w:p w14:paraId="0EF2112E" w14:textId="77777777" w:rsidR="00765CA7" w:rsidRPr="00765CA7" w:rsidRDefault="00765CA7" w:rsidP="00765CA7">
      <w:pPr>
        <w:spacing w:line="276" w:lineRule="auto"/>
        <w:jc w:val="both"/>
        <w:rPr>
          <w:rFonts w:asciiTheme="majorHAnsi" w:hAnsiTheme="majorHAnsi"/>
          <w:sz w:val="21"/>
          <w:szCs w:val="21"/>
        </w:rPr>
      </w:pPr>
    </w:p>
    <w:p w14:paraId="04A002AE" w14:textId="14875CE4" w:rsidR="00045F40" w:rsidRDefault="00765CA7" w:rsidP="00765CA7">
      <w:pPr>
        <w:spacing w:line="276" w:lineRule="auto"/>
        <w:jc w:val="both"/>
        <w:rPr>
          <w:rFonts w:asciiTheme="majorHAnsi" w:hAnsiTheme="majorHAnsi"/>
          <w:sz w:val="21"/>
          <w:szCs w:val="21"/>
        </w:rPr>
      </w:pPr>
      <w:r w:rsidRPr="00765CA7">
        <w:rPr>
          <w:rFonts w:asciiTheme="majorHAnsi" w:hAnsiTheme="majorHAnsi"/>
          <w:sz w:val="21"/>
          <w:szCs w:val="21"/>
        </w:rPr>
        <w:t xml:space="preserve">Jeżeli chcą Państwo uzyskać dodatkowy komentarz ekspertów ZPF, prosimy o kontakt mailowy na adres: </w:t>
      </w:r>
      <w:r w:rsidR="003B473B" w:rsidRPr="00765CA7">
        <w:rPr>
          <w:rFonts w:asciiTheme="majorHAnsi" w:hAnsiTheme="majorHAnsi"/>
          <w:sz w:val="21"/>
          <w:szCs w:val="21"/>
        </w:rPr>
        <w:t>media@zpf.pl.</w:t>
      </w:r>
    </w:p>
    <w:p w14:paraId="3F67D06A" w14:textId="77777777" w:rsidR="00443D95" w:rsidRPr="00443D95" w:rsidRDefault="00443D95">
      <w:pPr>
        <w:spacing w:line="276" w:lineRule="auto"/>
        <w:jc w:val="both"/>
        <w:rPr>
          <w:rFonts w:asciiTheme="majorHAnsi" w:hAnsiTheme="majorHAnsi"/>
          <w:sz w:val="21"/>
          <w:szCs w:val="21"/>
        </w:rPr>
      </w:pPr>
    </w:p>
    <w:p w14:paraId="04A002AF" w14:textId="77777777" w:rsidR="00045F40" w:rsidRDefault="000460C8">
      <w:pPr>
        <w:jc w:val="both"/>
        <w:rPr>
          <w:rFonts w:asciiTheme="majorHAnsi" w:hAnsiTheme="majorHAnsi" w:cstheme="minorHAnsi"/>
          <w:sz w:val="22"/>
          <w:szCs w:val="22"/>
        </w:rPr>
      </w:pPr>
      <w:bookmarkStart w:id="2" w:name="_Hlk120263354"/>
      <w:r>
        <w:rPr>
          <w:rFonts w:asciiTheme="majorHAnsi" w:hAnsiTheme="majorHAnsi" w:cstheme="minorHAnsi"/>
          <w:sz w:val="22"/>
          <w:szCs w:val="22"/>
        </w:rPr>
        <w:t>***</w:t>
      </w:r>
    </w:p>
    <w:p w14:paraId="04A002B0" w14:textId="77777777" w:rsidR="00045F40" w:rsidRDefault="00045F40">
      <w:pPr>
        <w:jc w:val="both"/>
        <w:rPr>
          <w:rFonts w:asciiTheme="majorHAnsi" w:hAnsiTheme="majorHAnsi" w:cstheme="minorHAnsi"/>
          <w:sz w:val="22"/>
          <w:szCs w:val="22"/>
        </w:rPr>
      </w:pPr>
    </w:p>
    <w:p w14:paraId="04A002B1" w14:textId="77777777" w:rsidR="00045F40" w:rsidRDefault="000460C8">
      <w:pPr>
        <w:spacing w:line="276" w:lineRule="auto"/>
        <w:jc w:val="both"/>
        <w:rPr>
          <w:rFonts w:asciiTheme="majorHAnsi" w:hAnsiTheme="majorHAnsi"/>
        </w:rPr>
      </w:pPr>
      <w:r>
        <w:rPr>
          <w:rFonts w:asciiTheme="majorHAnsi" w:hAnsiTheme="majorHAnsi"/>
          <w:b/>
          <w:bCs/>
        </w:rPr>
        <w:t>Związek Przedsiębiorstw Finansowych w Polsce</w:t>
      </w:r>
      <w:r>
        <w:rPr>
          <w:rFonts w:asciiTheme="majorHAnsi" w:hAnsiTheme="majorHAnsi"/>
        </w:rPr>
        <w:t xml:space="preserve"> to organizacja pracodawców w branży finansowej. </w:t>
      </w:r>
      <w:r>
        <w:rPr>
          <w:rFonts w:asciiTheme="majorHAnsi" w:hAnsiTheme="majorHAnsi"/>
        </w:rPr>
        <w:br/>
        <w:t>W skład ZPF wchodzi obecnie blisko 100 podmiotów reprezentujących najważniejsze sektory rynku. To m.in. banki, ubezpieczyciele, instytucje pożyczkowe, biura informacji gospodarczej, pośrednicy finansowi, podmioty zarządzające wierzytelnościami, organizatorzy crowdfundingu udziałowego.</w:t>
      </w:r>
    </w:p>
    <w:p w14:paraId="04A002B2" w14:textId="77777777" w:rsidR="00045F40" w:rsidRDefault="00045F40">
      <w:pPr>
        <w:spacing w:line="276" w:lineRule="auto"/>
        <w:jc w:val="both"/>
        <w:rPr>
          <w:rFonts w:asciiTheme="majorHAnsi" w:hAnsiTheme="majorHAnsi"/>
        </w:rPr>
      </w:pPr>
    </w:p>
    <w:p w14:paraId="04A002B3" w14:textId="77777777" w:rsidR="00045F40" w:rsidRDefault="000460C8">
      <w:pPr>
        <w:spacing w:line="276" w:lineRule="auto"/>
        <w:jc w:val="both"/>
        <w:rPr>
          <w:rFonts w:asciiTheme="majorHAnsi" w:hAnsiTheme="majorHAnsi"/>
        </w:rPr>
      </w:pPr>
      <w:r>
        <w:rPr>
          <w:rFonts w:asciiTheme="majorHAnsi" w:hAnsiTheme="majorHAnsi"/>
        </w:rPr>
        <w:t>Od ponad 20 lat ZPF działa na rzecz rozwoju rynku finansowego w Polsce i podnoszenia standardów etycznych w branży. ZPF występuje aktywnie jako partner społeczny w polskich i unijnych procesach legislacyjnych. ZPF należy do Rady Rozwoju Rynku Finansowego, powołanej przez Ministra Finansów Rzeczypospolitej Polskiej, a także reprezentuje polskie instytucje finansowe w UE.</w:t>
      </w:r>
    </w:p>
    <w:p w14:paraId="04A002B4" w14:textId="77777777" w:rsidR="00045F40" w:rsidRDefault="00045F40">
      <w:pPr>
        <w:spacing w:line="276" w:lineRule="auto"/>
        <w:jc w:val="both"/>
        <w:rPr>
          <w:rFonts w:asciiTheme="majorHAnsi" w:hAnsiTheme="majorHAnsi"/>
        </w:rPr>
      </w:pPr>
    </w:p>
    <w:p w14:paraId="04A002B5" w14:textId="77777777" w:rsidR="00045F40" w:rsidRDefault="000460C8">
      <w:pPr>
        <w:spacing w:line="276" w:lineRule="auto"/>
        <w:jc w:val="both"/>
        <w:rPr>
          <w:rFonts w:asciiTheme="majorHAnsi" w:hAnsiTheme="majorHAnsi"/>
        </w:rPr>
      </w:pPr>
      <w:r>
        <w:rPr>
          <w:rFonts w:asciiTheme="majorHAnsi" w:hAnsiTheme="majorHAnsi"/>
        </w:rPr>
        <w:t xml:space="preserve">ZPF ma w swoim dorobku badawczym kilkaset raportów branżowych. Organizuje kongresy, szkolenia </w:t>
      </w:r>
      <w:r>
        <w:rPr>
          <w:rFonts w:asciiTheme="majorHAnsi" w:hAnsiTheme="majorHAnsi"/>
        </w:rPr>
        <w:br/>
        <w:t>i wiele innych projektów dla przedstawicieli branży finansowej.</w:t>
      </w:r>
    </w:p>
    <w:p w14:paraId="04A002B6" w14:textId="77777777" w:rsidR="00045F40" w:rsidRDefault="00045F40">
      <w:pPr>
        <w:spacing w:line="276" w:lineRule="auto"/>
        <w:jc w:val="both"/>
        <w:rPr>
          <w:rFonts w:asciiTheme="majorHAnsi" w:hAnsiTheme="majorHAnsi"/>
        </w:rPr>
      </w:pPr>
    </w:p>
    <w:p w14:paraId="04A002B7" w14:textId="14A2C84A" w:rsidR="00045F40" w:rsidRDefault="000460C8">
      <w:pPr>
        <w:spacing w:line="276" w:lineRule="auto"/>
        <w:jc w:val="both"/>
        <w:rPr>
          <w:rFonts w:asciiTheme="majorHAnsi" w:hAnsiTheme="majorHAnsi"/>
        </w:rPr>
      </w:pPr>
      <w:r>
        <w:rPr>
          <w:rFonts w:asciiTheme="majorHAnsi" w:hAnsiTheme="majorHAnsi"/>
        </w:rPr>
        <w:t xml:space="preserve">Prezesem ZPF jest Marcin Czugan, radca prawny. W latach 2015-2017 przewodniczył Komitetowi Prawno-Politycznemu EUROFINAS (European Federation of Finance House Associations) w Brukseli, największej organizacji zrzeszającej kredytodawców kredytu konsumenckiego w Europie. Obecnie wchodzi również </w:t>
      </w:r>
      <w:r w:rsidR="00D541C3">
        <w:rPr>
          <w:rFonts w:asciiTheme="majorHAnsi" w:hAnsiTheme="majorHAnsi"/>
        </w:rPr>
        <w:br/>
      </w:r>
      <w:r>
        <w:rPr>
          <w:rFonts w:asciiTheme="majorHAnsi" w:hAnsiTheme="majorHAnsi"/>
        </w:rPr>
        <w:t>w skład jej zarządu.</w:t>
      </w:r>
    </w:p>
    <w:p w14:paraId="04A002B8" w14:textId="77777777" w:rsidR="00045F40" w:rsidRDefault="00045F40">
      <w:pPr>
        <w:jc w:val="both"/>
        <w:rPr>
          <w:rFonts w:asciiTheme="majorHAnsi" w:hAnsiTheme="majorHAnsi"/>
        </w:rPr>
      </w:pPr>
    </w:p>
    <w:p w14:paraId="04A002B9" w14:textId="77777777" w:rsidR="00045F40" w:rsidRDefault="000460C8">
      <w:pPr>
        <w:jc w:val="both"/>
        <w:rPr>
          <w:rFonts w:asciiTheme="majorHAnsi" w:hAnsiTheme="majorHAnsi"/>
          <w:b/>
          <w:color w:val="000090"/>
          <w:sz w:val="16"/>
          <w:szCs w:val="18"/>
        </w:rPr>
      </w:pPr>
      <w:r>
        <w:rPr>
          <w:rFonts w:asciiTheme="majorHAnsi" w:hAnsiTheme="majorHAnsi"/>
          <w:noProof/>
          <w:lang w:val="en-US"/>
        </w:rPr>
        <w:drawing>
          <wp:anchor distT="0" distB="0" distL="114300" distR="114300" simplePos="0" relativeHeight="251659264" behindDoc="0" locked="0" layoutInCell="1" allowOverlap="1" wp14:anchorId="04A002C2" wp14:editId="04A002C3">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04A002BB" w14:textId="4D4087B1" w:rsidR="00045F40" w:rsidRDefault="00BC4881" w:rsidP="00E67710">
      <w:pPr>
        <w:jc w:val="both"/>
        <w:rPr>
          <w:rFonts w:asciiTheme="majorHAnsi" w:hAnsiTheme="majorHAnsi"/>
          <w:iCs/>
          <w:color w:val="auto"/>
          <w:spacing w:val="-2"/>
          <w:sz w:val="21"/>
          <w:szCs w:val="21"/>
        </w:rPr>
      </w:pPr>
      <w:hyperlink r:id="rId14" w:history="1">
        <w:r w:rsidR="000460C8">
          <w:rPr>
            <w:rStyle w:val="Hipercze"/>
            <w:rFonts w:asciiTheme="majorHAnsi" w:hAnsiTheme="majorHAnsi"/>
            <w:sz w:val="16"/>
            <w:szCs w:val="18"/>
          </w:rPr>
          <w:t>http://www.linkedin.com/company/zpf</w:t>
        </w:r>
      </w:hyperlink>
      <w:bookmarkEnd w:id="2"/>
    </w:p>
    <w:p w14:paraId="04A002BC" w14:textId="77777777" w:rsidR="00045F40" w:rsidRDefault="00045F40">
      <w:pPr>
        <w:spacing w:line="276" w:lineRule="auto"/>
        <w:jc w:val="both"/>
        <w:rPr>
          <w:rFonts w:asciiTheme="majorHAnsi" w:hAnsiTheme="majorHAnsi"/>
          <w:iCs/>
          <w:color w:val="auto"/>
          <w:spacing w:val="-2"/>
          <w:sz w:val="21"/>
          <w:szCs w:val="21"/>
        </w:rPr>
      </w:pPr>
    </w:p>
    <w:sectPr w:rsidR="00045F40">
      <w:headerReference w:type="default" r:id="rId15"/>
      <w:footerReference w:type="default" r:id="rId16"/>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B8A7" w14:textId="77777777" w:rsidR="005725A4" w:rsidRDefault="005725A4">
      <w:r>
        <w:separator/>
      </w:r>
    </w:p>
    <w:p w14:paraId="0FD4D3EF" w14:textId="77777777" w:rsidR="005725A4" w:rsidRDefault="005725A4"/>
  </w:endnote>
  <w:endnote w:type="continuationSeparator" w:id="0">
    <w:p w14:paraId="2BBDA8CD" w14:textId="77777777" w:rsidR="005725A4" w:rsidRDefault="005725A4">
      <w:r>
        <w:continuationSeparator/>
      </w:r>
    </w:p>
    <w:p w14:paraId="26017A3F" w14:textId="77777777" w:rsidR="005725A4" w:rsidRDefault="00572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04A002CD" w14:textId="77777777" w:rsidR="00045F40" w:rsidRDefault="000460C8">
            <w:pPr>
              <w:pStyle w:val="Stopka"/>
              <w:jc w:val="right"/>
              <w:rPr>
                <w:rFonts w:asciiTheme="majorHAnsi" w:hAnsiTheme="majorHAnsi"/>
                <w:sz w:val="18"/>
                <w:szCs w:val="18"/>
              </w:rPr>
            </w:pPr>
            <w:r>
              <w:rPr>
                <w:rFonts w:asciiTheme="majorHAnsi" w:hAnsiTheme="majorHAnsi"/>
                <w:noProof/>
                <w:sz w:val="18"/>
                <w:szCs w:val="18"/>
              </w:rPr>
              <w:drawing>
                <wp:anchor distT="0" distB="0" distL="114300" distR="114300" simplePos="0" relativeHeight="251658240" behindDoc="0" locked="0" layoutInCell="1" allowOverlap="1" wp14:anchorId="04A002D0" wp14:editId="04A002D1">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 xml:space="preserve">Strona </w:t>
            </w:r>
            <w:r>
              <w:rPr>
                <w:rFonts w:asciiTheme="majorHAnsi" w:hAnsiTheme="majorHAnsi"/>
                <w:sz w:val="18"/>
                <w:szCs w:val="18"/>
              </w:rPr>
              <w:fldChar w:fldCharType="begin"/>
            </w:r>
            <w:r>
              <w:rPr>
                <w:rFonts w:asciiTheme="majorHAnsi" w:hAnsiTheme="majorHAnsi"/>
                <w:sz w:val="18"/>
                <w:szCs w:val="18"/>
              </w:rPr>
              <w:instrText>PAGE</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r>
              <w:rPr>
                <w:rFonts w:asciiTheme="majorHAnsi" w:hAnsiTheme="majorHAnsi"/>
                <w:sz w:val="18"/>
                <w:szCs w:val="18"/>
              </w:rPr>
              <w:t xml:space="preserve"> z </w:t>
            </w:r>
            <w:r>
              <w:rPr>
                <w:rFonts w:asciiTheme="majorHAnsi" w:hAnsiTheme="majorHAnsi"/>
                <w:sz w:val="18"/>
                <w:szCs w:val="18"/>
              </w:rPr>
              <w:fldChar w:fldCharType="begin"/>
            </w:r>
            <w:r>
              <w:rPr>
                <w:rFonts w:asciiTheme="majorHAnsi" w:hAnsiTheme="majorHAnsi"/>
                <w:sz w:val="18"/>
                <w:szCs w:val="18"/>
              </w:rPr>
              <w:instrText>NUMPAGES</w:instrText>
            </w:r>
            <w:r>
              <w:rPr>
                <w:rFonts w:asciiTheme="majorHAnsi" w:hAnsiTheme="majorHAnsi"/>
                <w:sz w:val="18"/>
                <w:szCs w:val="18"/>
              </w:rPr>
              <w:fldChar w:fldCharType="separate"/>
            </w:r>
            <w:r>
              <w:rPr>
                <w:rFonts w:asciiTheme="majorHAnsi" w:hAnsiTheme="majorHAnsi"/>
                <w:noProof/>
                <w:sz w:val="18"/>
                <w:szCs w:val="18"/>
              </w:rPr>
              <w:t>3</w:t>
            </w:r>
            <w:r>
              <w:rPr>
                <w:rFonts w:asciiTheme="majorHAnsi" w:hAnsiTheme="maj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7249" w14:textId="77777777" w:rsidR="005725A4" w:rsidRDefault="005725A4">
      <w:r>
        <w:separator/>
      </w:r>
    </w:p>
    <w:p w14:paraId="13CA2BF8" w14:textId="77777777" w:rsidR="005725A4" w:rsidRDefault="005725A4"/>
  </w:footnote>
  <w:footnote w:type="continuationSeparator" w:id="0">
    <w:p w14:paraId="4615415B" w14:textId="77777777" w:rsidR="005725A4" w:rsidRDefault="005725A4">
      <w:r>
        <w:continuationSeparator/>
      </w:r>
    </w:p>
    <w:p w14:paraId="38790AB0" w14:textId="77777777" w:rsidR="005725A4" w:rsidRDefault="00572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2CC" w14:textId="77777777" w:rsidR="00045F40" w:rsidRDefault="000460C8">
    <w:pPr>
      <w:pStyle w:val="Nagwek"/>
    </w:pPr>
    <w:r>
      <w:rPr>
        <w:rFonts w:asciiTheme="minorHAnsi" w:hAnsiTheme="minorHAnsi"/>
        <w:noProof/>
        <w:color w:val="1C2442"/>
      </w:rPr>
      <w:drawing>
        <wp:inline distT="0" distB="0" distL="0" distR="0" wp14:anchorId="04A002CE" wp14:editId="04A002C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836AD8"/>
    <w:multiLevelType w:val="hybridMultilevel"/>
    <w:tmpl w:val="3A38EBA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1"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2"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C517E75"/>
    <w:multiLevelType w:val="hybridMultilevel"/>
    <w:tmpl w:val="3CF4D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76938"/>
    <w:multiLevelType w:val="hybridMultilevel"/>
    <w:tmpl w:val="279E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9"/>
  </w:num>
  <w:num w:numId="2" w16cid:durableId="26151447">
    <w:abstractNumId w:val="6"/>
  </w:num>
  <w:num w:numId="3" w16cid:durableId="2091195825">
    <w:abstractNumId w:val="3"/>
  </w:num>
  <w:num w:numId="4" w16cid:durableId="168375630">
    <w:abstractNumId w:val="4"/>
  </w:num>
  <w:num w:numId="5" w16cid:durableId="1304894537">
    <w:abstractNumId w:val="12"/>
  </w:num>
  <w:num w:numId="6" w16cid:durableId="598292792">
    <w:abstractNumId w:val="16"/>
  </w:num>
  <w:num w:numId="7" w16cid:durableId="1972049076">
    <w:abstractNumId w:val="1"/>
  </w:num>
  <w:num w:numId="8" w16cid:durableId="977028122">
    <w:abstractNumId w:val="9"/>
  </w:num>
  <w:num w:numId="9" w16cid:durableId="1994217558">
    <w:abstractNumId w:val="7"/>
  </w:num>
  <w:num w:numId="10" w16cid:durableId="501895109">
    <w:abstractNumId w:val="24"/>
  </w:num>
  <w:num w:numId="11" w16cid:durableId="482158256">
    <w:abstractNumId w:val="11"/>
  </w:num>
  <w:num w:numId="12" w16cid:durableId="1822187499">
    <w:abstractNumId w:val="22"/>
  </w:num>
  <w:num w:numId="13" w16cid:durableId="1256595171">
    <w:abstractNumId w:val="15"/>
  </w:num>
  <w:num w:numId="14" w16cid:durableId="362557525">
    <w:abstractNumId w:val="19"/>
  </w:num>
  <w:num w:numId="15" w16cid:durableId="1500197127">
    <w:abstractNumId w:val="25"/>
  </w:num>
  <w:num w:numId="16" w16cid:durableId="395982433">
    <w:abstractNumId w:val="26"/>
  </w:num>
  <w:num w:numId="17" w16cid:durableId="1426803212">
    <w:abstractNumId w:val="20"/>
  </w:num>
  <w:num w:numId="18" w16cid:durableId="1896617993">
    <w:abstractNumId w:val="10"/>
  </w:num>
  <w:num w:numId="19" w16cid:durableId="432365694">
    <w:abstractNumId w:val="21"/>
  </w:num>
  <w:num w:numId="20" w16cid:durableId="1095058326">
    <w:abstractNumId w:val="14"/>
  </w:num>
  <w:num w:numId="21" w16cid:durableId="193081461">
    <w:abstractNumId w:val="27"/>
  </w:num>
  <w:num w:numId="22" w16cid:durableId="1131940714">
    <w:abstractNumId w:val="2"/>
  </w:num>
  <w:num w:numId="23" w16cid:durableId="1727991563">
    <w:abstractNumId w:val="17"/>
  </w:num>
  <w:num w:numId="24" w16cid:durableId="617488062">
    <w:abstractNumId w:val="30"/>
  </w:num>
  <w:num w:numId="25" w16cid:durableId="1993944316">
    <w:abstractNumId w:val="5"/>
  </w:num>
  <w:num w:numId="26" w16cid:durableId="337198606">
    <w:abstractNumId w:val="0"/>
  </w:num>
  <w:num w:numId="27" w16cid:durableId="49695078">
    <w:abstractNumId w:val="23"/>
  </w:num>
  <w:num w:numId="28" w16cid:durableId="777801040">
    <w:abstractNumId w:val="28"/>
  </w:num>
  <w:num w:numId="29" w16cid:durableId="1350133745">
    <w:abstractNumId w:val="18"/>
  </w:num>
  <w:num w:numId="30" w16cid:durableId="219362212">
    <w:abstractNumId w:val="13"/>
  </w:num>
  <w:num w:numId="31" w16cid:durableId="72772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40"/>
    <w:rsid w:val="00001DE2"/>
    <w:rsid w:val="00007AFD"/>
    <w:rsid w:val="00027973"/>
    <w:rsid w:val="00045F40"/>
    <w:rsid w:val="000460C8"/>
    <w:rsid w:val="00094A0E"/>
    <w:rsid w:val="00124A28"/>
    <w:rsid w:val="001545D8"/>
    <w:rsid w:val="00167E29"/>
    <w:rsid w:val="001C3BD3"/>
    <w:rsid w:val="001F6B12"/>
    <w:rsid w:val="002C2F51"/>
    <w:rsid w:val="0032709E"/>
    <w:rsid w:val="003944E5"/>
    <w:rsid w:val="003B473B"/>
    <w:rsid w:val="00443D95"/>
    <w:rsid w:val="004E7FF6"/>
    <w:rsid w:val="0050102F"/>
    <w:rsid w:val="00524A94"/>
    <w:rsid w:val="005725A4"/>
    <w:rsid w:val="005D7F9F"/>
    <w:rsid w:val="0064291B"/>
    <w:rsid w:val="00666B3A"/>
    <w:rsid w:val="006B0455"/>
    <w:rsid w:val="006C29AB"/>
    <w:rsid w:val="006D725F"/>
    <w:rsid w:val="007431C9"/>
    <w:rsid w:val="00762777"/>
    <w:rsid w:val="00765CA7"/>
    <w:rsid w:val="008118CF"/>
    <w:rsid w:val="00812A83"/>
    <w:rsid w:val="008B245F"/>
    <w:rsid w:val="00926BB9"/>
    <w:rsid w:val="009601FB"/>
    <w:rsid w:val="00B4378E"/>
    <w:rsid w:val="00BA2839"/>
    <w:rsid w:val="00BA49AA"/>
    <w:rsid w:val="00BC4881"/>
    <w:rsid w:val="00CD760D"/>
    <w:rsid w:val="00D22BE6"/>
    <w:rsid w:val="00D5152B"/>
    <w:rsid w:val="00D541C3"/>
    <w:rsid w:val="00DE22DD"/>
    <w:rsid w:val="00E4301A"/>
    <w:rsid w:val="00E45140"/>
    <w:rsid w:val="00E67710"/>
    <w:rsid w:val="00E82A9F"/>
    <w:rsid w:val="00E87DEC"/>
    <w:rsid w:val="00EE0154"/>
    <w:rsid w:val="00F03137"/>
    <w:rsid w:val="00FD013E"/>
    <w:rsid w:val="00FE4F2F"/>
    <w:rsid w:val="00FF2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027D"/>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rebuchet MS" w:hAnsi="Trebuchet MS" w:cs="Arial"/>
      <w:color w:val="000000"/>
    </w:rPr>
  </w:style>
  <w:style w:type="paragraph" w:styleId="Nagwek1">
    <w:name w:val="heading 1"/>
    <w:basedOn w:val="Normalny"/>
    <w:next w:val="Normalny"/>
    <w:link w:val="Nagwek1Znak"/>
    <w:qFormat/>
    <w:pPr>
      <w:keepNext/>
      <w:spacing w:before="40"/>
      <w:jc w:val="center"/>
      <w:outlineLvl w:val="0"/>
    </w:pPr>
    <w:rPr>
      <w:sz w:val="28"/>
    </w:rPr>
  </w:style>
  <w:style w:type="paragraph" w:styleId="Nagwek2">
    <w:name w:val="heading 2"/>
    <w:basedOn w:val="Normalny"/>
    <w:next w:val="Normalny"/>
    <w:link w:val="Nagwek2Znak"/>
    <w:qFormat/>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hAnsi="Cambria" w:cs="Times New Roman"/>
      <w:b/>
      <w:bCs/>
      <w:color w:val="000000"/>
      <w:kern w:val="32"/>
      <w:sz w:val="32"/>
      <w:szCs w:val="32"/>
    </w:rPr>
  </w:style>
  <w:style w:type="character" w:customStyle="1" w:styleId="Nagwek2Znak">
    <w:name w:val="Nagłówek 2 Znak"/>
    <w:link w:val="Nagwek2"/>
    <w:semiHidden/>
    <w:locked/>
    <w:rPr>
      <w:rFonts w:ascii="Cambria" w:hAnsi="Cambria" w:cs="Times New Roman"/>
      <w:b/>
      <w:bCs/>
      <w:i/>
      <w:iCs/>
      <w:color w:val="000000"/>
      <w:sz w:val="28"/>
      <w:szCs w:val="28"/>
    </w:rPr>
  </w:style>
  <w:style w:type="character" w:styleId="UyteHipercze">
    <w:name w:val="FollowedHyperlink"/>
    <w:semiHidden/>
    <w:rPr>
      <w:rFonts w:cs="Times New Roman"/>
      <w:color w:val="800080"/>
      <w:u w:val="single"/>
    </w:rPr>
  </w:style>
  <w:style w:type="paragraph" w:styleId="Tekstpodstawowywcity">
    <w:name w:val="Body Text Indent"/>
    <w:basedOn w:val="Normalny"/>
    <w:link w:val="TekstpodstawowywcityZnak"/>
    <w:semiHidden/>
    <w:pPr>
      <w:ind w:firstLine="709"/>
      <w:jc w:val="both"/>
    </w:pPr>
    <w:rPr>
      <w:bCs/>
      <w:iCs/>
    </w:rPr>
  </w:style>
  <w:style w:type="character" w:customStyle="1" w:styleId="TekstpodstawowywcityZnak">
    <w:name w:val="Tekst podstawowy wcięty Znak"/>
    <w:link w:val="Tekstpodstawowywcity"/>
    <w:semiHidden/>
    <w:locked/>
    <w:rPr>
      <w:rFonts w:ascii="Trebuchet MS" w:hAnsi="Trebuchet MS" w:cs="Arial"/>
      <w:color w:val="000000"/>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rFonts w:ascii="Trebuchet MS" w:hAnsi="Trebuchet MS" w:cs="Arial"/>
      <w:color w:val="00000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ascii="Trebuchet MS" w:hAnsi="Trebuchet MS" w:cs="Arial"/>
      <w:color w:val="000000"/>
    </w:rPr>
  </w:style>
  <w:style w:type="character" w:styleId="Hipercze">
    <w:name w:val="Hyperlink"/>
    <w:semiHidden/>
    <w:rPr>
      <w:rFonts w:cs="Times New Roman"/>
      <w:color w:val="0000FF"/>
      <w:u w:val="single"/>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color w:val="000000"/>
      <w:sz w:val="16"/>
      <w:szCs w:val="16"/>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Pr>
      <w:rFonts w:ascii="Calibri" w:hAnsi="Calibri"/>
      <w:sz w:val="22"/>
      <w:szCs w:val="22"/>
      <w:lang w:eastAsia="en-US"/>
    </w:rPr>
  </w:style>
  <w:style w:type="character" w:customStyle="1" w:styleId="NoSpacingChar">
    <w:name w:val="No Spacing Char"/>
    <w:link w:val="Bezodstpw1"/>
    <w:locked/>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style>
  <w:style w:type="character" w:customStyle="1" w:styleId="TekstprzypisukocowegoZnak">
    <w:name w:val="Tekst przypisu końcowego Znak"/>
    <w:link w:val="Tekstprzypisukocowego"/>
    <w:semiHidden/>
    <w:locked/>
    <w:rPr>
      <w:rFonts w:ascii="Trebuchet MS" w:hAnsi="Trebuchet MS" w:cs="Arial"/>
      <w:color w:val="000000"/>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link w:val="Tekstkomentarza"/>
    <w:semiHidden/>
    <w:locked/>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rFonts w:ascii="Trebuchet MS" w:hAnsi="Trebuchet MS" w:cs="Arial"/>
      <w:b/>
      <w:bCs/>
      <w:color w:val="000000"/>
      <w:sz w:val="20"/>
      <w:szCs w:val="20"/>
    </w:rPr>
  </w:style>
  <w:style w:type="paragraph" w:styleId="NormalnyWeb">
    <w:name w:val="Normal (Web)"/>
    <w:basedOn w:val="Normalny"/>
    <w:uiPriority w:val="99"/>
    <w:unhideWhenUsed/>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pPr>
      <w:ind w:left="720"/>
      <w:contextualSpacing/>
    </w:pPr>
  </w:style>
  <w:style w:type="paragraph" w:styleId="Podtytu">
    <w:name w:val="Subtitle"/>
    <w:basedOn w:val="Normalny"/>
    <w:next w:val="Normalny"/>
    <w:link w:val="PodtytuZnak"/>
    <w:qFormat/>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Pr>
      <w:b/>
      <w:bCs/>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Poprawka">
    <w:name w:val="Revision"/>
    <w:hidden/>
    <w:uiPriority w:val="99"/>
    <w:semiHidden/>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kedin.com/company/z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2.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677</Words>
  <Characters>4325</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24</cp:revision>
  <cp:lastPrinted>2020-05-13T19:23:00Z</cp:lastPrinted>
  <dcterms:created xsi:type="dcterms:W3CDTF">2023-05-11T07:51:00Z</dcterms:created>
  <dcterms:modified xsi:type="dcterms:W3CDTF">2023-07-09T20:22:00Z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