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297C" w14:textId="77777777" w:rsidR="00DA4937" w:rsidRPr="00DA4937" w:rsidRDefault="00DA4937" w:rsidP="00DA4937">
      <w:pPr>
        <w:pStyle w:val="Domylne"/>
        <w:spacing w:before="0" w:after="240" w:line="276" w:lineRule="auto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DA4937">
        <w:rPr>
          <w:rFonts w:ascii="Arial" w:eastAsia="Arial" w:hAnsi="Arial" w:cs="Arial"/>
          <w:sz w:val="28"/>
          <w:szCs w:val="28"/>
          <w:lang w:val="pl-PL"/>
        </w:rPr>
        <w:t>Rośnie ekosystem 3W – 11 nowych organizacji dołącza do świata 3W</w:t>
      </w:r>
    </w:p>
    <w:p w14:paraId="76A24E43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b/>
          <w:lang w:val="pl-PL"/>
        </w:rPr>
      </w:pPr>
      <w:r w:rsidRPr="00D6619A">
        <w:rPr>
          <w:rFonts w:ascii="Arial" w:eastAsia="Arial" w:hAnsi="Arial" w:cs="Arial"/>
          <w:b/>
          <w:bCs/>
          <w:lang w:val="pl-PL"/>
        </w:rPr>
        <w:t>Kolejne jedenaście</w:t>
      </w:r>
      <w:r w:rsidRPr="00D6619A">
        <w:rPr>
          <w:rFonts w:ascii="Arial" w:eastAsia="Arial" w:hAnsi="Arial" w:cs="Arial"/>
          <w:b/>
          <w:lang w:val="pl-PL"/>
        </w:rPr>
        <w:t xml:space="preserve"> nowych organizacji dołączyło do inicjatywy 3W</w:t>
      </w:r>
      <w:r w:rsidRPr="00D6619A">
        <w:rPr>
          <w:rFonts w:ascii="Arial" w:eastAsia="Arial" w:hAnsi="Arial" w:cs="Arial"/>
          <w:b/>
          <w:bCs/>
          <w:lang w:val="pl-PL"/>
        </w:rPr>
        <w:t xml:space="preserve"> i wzbogaciło</w:t>
      </w:r>
      <w:r w:rsidRPr="00D6619A">
        <w:rPr>
          <w:rFonts w:ascii="Arial" w:eastAsia="Arial" w:hAnsi="Arial" w:cs="Arial"/>
          <w:b/>
          <w:lang w:val="pl-PL"/>
        </w:rPr>
        <w:t xml:space="preserve"> nasz ekosystem </w:t>
      </w:r>
      <w:r w:rsidRPr="00D6619A">
        <w:rPr>
          <w:rFonts w:ascii="Arial" w:eastAsia="Arial" w:hAnsi="Arial" w:cs="Arial"/>
          <w:b/>
          <w:bCs/>
          <w:lang w:val="pl-PL"/>
        </w:rPr>
        <w:t>nowymi perspektywami i rozwiązaniami</w:t>
      </w:r>
      <w:r w:rsidRPr="00D6619A">
        <w:rPr>
          <w:rFonts w:ascii="Arial" w:eastAsia="Arial" w:hAnsi="Arial" w:cs="Arial"/>
          <w:b/>
          <w:lang w:val="pl-PL"/>
        </w:rPr>
        <w:t xml:space="preserve"> w dziedzinie </w:t>
      </w:r>
      <w:proofErr w:type="spellStart"/>
      <w:r w:rsidRPr="00D6619A">
        <w:rPr>
          <w:rFonts w:ascii="Arial" w:eastAsia="Arial" w:hAnsi="Arial" w:cs="Arial"/>
          <w:b/>
          <w:lang w:val="pl-PL"/>
        </w:rPr>
        <w:t>zr</w:t>
      </w:r>
      <w:r w:rsidRPr="00D6619A">
        <w:rPr>
          <w:rFonts w:ascii="Arial" w:eastAsia="Arial" w:hAnsi="Arial" w:cs="Arial"/>
          <w:b/>
          <w:lang w:val="es-ES"/>
        </w:rPr>
        <w:t>ó</w:t>
      </w:r>
      <w:r w:rsidRPr="00D6619A">
        <w:rPr>
          <w:rFonts w:ascii="Arial" w:eastAsia="Arial" w:hAnsi="Arial" w:cs="Arial"/>
          <w:b/>
          <w:lang w:val="pl-PL"/>
        </w:rPr>
        <w:t>wnoważonego</w:t>
      </w:r>
      <w:proofErr w:type="spellEnd"/>
      <w:r w:rsidRPr="00D6619A">
        <w:rPr>
          <w:rFonts w:ascii="Arial" w:eastAsia="Arial" w:hAnsi="Arial" w:cs="Arial"/>
          <w:b/>
          <w:lang w:val="pl-PL"/>
        </w:rPr>
        <w:t xml:space="preserve"> wykorzystania </w:t>
      </w:r>
      <w:proofErr w:type="spellStart"/>
      <w:r w:rsidRPr="00D6619A">
        <w:rPr>
          <w:rFonts w:ascii="Arial" w:eastAsia="Arial" w:hAnsi="Arial" w:cs="Arial"/>
          <w:b/>
          <w:lang w:val="pl-PL"/>
        </w:rPr>
        <w:t>zasob</w:t>
      </w:r>
      <w:r w:rsidRPr="00D6619A">
        <w:rPr>
          <w:rFonts w:ascii="Arial" w:eastAsia="Arial" w:hAnsi="Arial" w:cs="Arial"/>
          <w:b/>
          <w:lang w:val="es-ES"/>
        </w:rPr>
        <w:t>ó</w:t>
      </w:r>
      <w:proofErr w:type="spellEnd"/>
      <w:r w:rsidRPr="00D6619A">
        <w:rPr>
          <w:rFonts w:ascii="Arial" w:eastAsia="Arial" w:hAnsi="Arial" w:cs="Arial"/>
          <w:b/>
          <w:lang w:val="pl-PL"/>
        </w:rPr>
        <w:t xml:space="preserve">w wody, energii oraz innowacyjnych technologii. </w:t>
      </w:r>
    </w:p>
    <w:p w14:paraId="4BA166D6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09F2FB62" w14:textId="77777777" w:rsidR="00DA4937" w:rsidRPr="00D6619A" w:rsidRDefault="00DA4937" w:rsidP="00DA4937">
      <w:pPr>
        <w:pStyle w:val="Tre"/>
        <w:spacing w:line="276" w:lineRule="auto"/>
        <w:jc w:val="center"/>
        <w:rPr>
          <w:rFonts w:ascii="Arial" w:eastAsia="Arial" w:hAnsi="Arial" w:cs="Arial"/>
          <w:color w:val="auto"/>
          <w:lang w:val="pl-PL"/>
        </w:rPr>
      </w:pPr>
      <w:r w:rsidRPr="00D6619A">
        <w:rPr>
          <w:rFonts w:ascii="Arial" w:eastAsia="Arial" w:hAnsi="Arial" w:cs="Arial"/>
          <w:noProof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F2028C1" wp14:editId="1FC8603D">
            <wp:extent cx="4444584" cy="2408768"/>
            <wp:effectExtent l="0" t="0" r="635" b="4445"/>
            <wp:docPr id="1529128033" name="Obraz 1" descr="Obraz zawierający zieleń, zrzut ekranu, na wolnym powietrzu,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128033" name="Obraz 1" descr="Obraz zawierający zieleń, zrzut ekranu, na wolnym powietrzu, roślina&#10;&#10;Opis wygenerowany automatyczni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7"/>
                    <a:stretch/>
                  </pic:blipFill>
                  <pic:spPr bwMode="auto">
                    <a:xfrm>
                      <a:off x="0" y="0"/>
                      <a:ext cx="4493053" cy="2435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297B2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color w:val="auto"/>
          <w:lang w:val="pl-PL"/>
        </w:rPr>
      </w:pPr>
    </w:p>
    <w:p w14:paraId="7DA2713C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  <w:r w:rsidRPr="00D6619A">
        <w:rPr>
          <w:rFonts w:ascii="Arial" w:eastAsia="Arial" w:hAnsi="Arial" w:cs="Arial"/>
          <w:color w:val="auto"/>
          <w:lang w:val="pl-PL"/>
        </w:rPr>
        <w:t xml:space="preserve">Nowe podmioty, które wspólnie z BGK będą realizować projekty związane z wodą, wodorem i węglem to: </w:t>
      </w:r>
      <w:r w:rsidRPr="00D6619A">
        <w:rPr>
          <w:rFonts w:ascii="Arial" w:eastAsia="Arial" w:hAnsi="Arial" w:cs="Arial"/>
          <w:lang w:val="pl-PL"/>
        </w:rPr>
        <w:t>Główny Instytut G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r w:rsidRPr="00D6619A">
        <w:rPr>
          <w:rFonts w:ascii="Arial" w:eastAsia="Arial" w:hAnsi="Arial" w:cs="Arial"/>
          <w:lang w:val="pl-PL"/>
        </w:rPr>
        <w:t>rnictwa</w:t>
      </w:r>
      <w:proofErr w:type="spellEnd"/>
      <w:r w:rsidRPr="00D6619A">
        <w:rPr>
          <w:rFonts w:ascii="Arial" w:eastAsia="Arial" w:hAnsi="Arial" w:cs="Arial"/>
          <w:lang w:val="pl-PL"/>
        </w:rPr>
        <w:t xml:space="preserve">, PROTIUM P.S.A, </w:t>
      </w:r>
      <w:r w:rsidRPr="00D6619A">
        <w:rPr>
          <w:rFonts w:ascii="Arial" w:eastAsia="Arial" w:hAnsi="Arial" w:cs="Arial"/>
          <w:lang w:val="it-IT"/>
        </w:rPr>
        <w:t>J.T.C. Sp</w:t>
      </w:r>
      <w:proofErr w:type="spellStart"/>
      <w:r w:rsidRPr="00D6619A">
        <w:rPr>
          <w:rFonts w:ascii="Arial" w:eastAsia="Arial" w:hAnsi="Arial" w:cs="Arial"/>
          <w:lang w:val="pl-PL"/>
        </w:rPr>
        <w:t>ółka</w:t>
      </w:r>
      <w:proofErr w:type="spellEnd"/>
      <w:r w:rsidRPr="00D6619A">
        <w:rPr>
          <w:rFonts w:ascii="Arial" w:eastAsia="Arial" w:hAnsi="Arial" w:cs="Arial"/>
          <w:lang w:val="pl-PL"/>
        </w:rPr>
        <w:t xml:space="preserve"> Akcyjna, Świętokrzyska Dolina Wodorowa, Green Box Energy</w:t>
      </w:r>
      <w:r w:rsidRPr="00D6619A">
        <w:rPr>
          <w:rFonts w:ascii="Arial" w:eastAsia="Arial" w:hAnsi="Arial" w:cs="Arial"/>
          <w:color w:val="auto"/>
          <w:lang w:val="pl-PL"/>
        </w:rPr>
        <w:t xml:space="preserve"> S.A.,</w:t>
      </w:r>
      <w:r w:rsidRPr="00D6619A">
        <w:rPr>
          <w:rFonts w:ascii="Arial" w:eastAsia="Arial" w:hAnsi="Arial" w:cs="Arial"/>
          <w:lang w:val="pl-PL"/>
        </w:rPr>
        <w:t xml:space="preserve"> H2PV S.A., </w:t>
      </w:r>
      <w:proofErr w:type="spellStart"/>
      <w:r w:rsidRPr="00D6619A">
        <w:rPr>
          <w:rFonts w:ascii="Arial" w:eastAsia="Arial" w:hAnsi="Arial" w:cs="Arial"/>
          <w:lang w:val="it-IT"/>
        </w:rPr>
        <w:t>Hartimex</w:t>
      </w:r>
      <w:proofErr w:type="spellEnd"/>
      <w:r w:rsidRPr="00D6619A">
        <w:rPr>
          <w:rFonts w:ascii="Arial" w:eastAsia="Arial" w:hAnsi="Arial" w:cs="Arial"/>
          <w:lang w:val="it-IT"/>
        </w:rPr>
        <w:t xml:space="preserve"> </w:t>
      </w:r>
      <w:r w:rsidRPr="00D6619A">
        <w:rPr>
          <w:rFonts w:ascii="Arial" w:eastAsia="Arial" w:hAnsi="Arial" w:cs="Arial"/>
          <w:color w:val="0A0A0A"/>
          <w:lang w:val="it-IT"/>
        </w:rPr>
        <w:t>sp. z o.o.</w:t>
      </w:r>
      <w:r w:rsidRPr="00D6619A">
        <w:rPr>
          <w:rFonts w:ascii="Arial" w:eastAsia="Arial" w:hAnsi="Arial" w:cs="Arial"/>
          <w:lang w:val="it-IT"/>
        </w:rPr>
        <w:t>,</w:t>
      </w:r>
      <w:r w:rsidRPr="00D6619A">
        <w:rPr>
          <w:rFonts w:ascii="Arial" w:eastAsia="Arial" w:hAnsi="Arial" w:cs="Arial"/>
          <w:lang w:val="pl-PL"/>
        </w:rPr>
        <w:t xml:space="preserve"> </w:t>
      </w:r>
      <w:r w:rsidRPr="00D6619A">
        <w:rPr>
          <w:rFonts w:ascii="Arial" w:eastAsia="Arial" w:hAnsi="Arial" w:cs="Arial"/>
          <w:lang w:val="de-DE"/>
        </w:rPr>
        <w:t>Schwander</w:t>
      </w:r>
      <w:r w:rsidRPr="00D6619A">
        <w:rPr>
          <w:rFonts w:ascii="Arial" w:eastAsia="Arial" w:hAnsi="Arial" w:cs="Arial"/>
          <w:lang w:val="pl-PL"/>
        </w:rPr>
        <w:t xml:space="preserve"> Polska, AMII Sp. z o.o., Łódzki Klaster Fala Energii, Bytomskie Przedsiębiorstwo Komunalne.</w:t>
      </w:r>
    </w:p>
    <w:p w14:paraId="5BDF0860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b/>
          <w:bCs/>
          <w:lang w:val="pl-PL"/>
        </w:rPr>
      </w:pPr>
    </w:p>
    <w:p w14:paraId="4472B5B3" w14:textId="275180BB" w:rsidR="00DA4937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color w:val="000000" w:themeColor="text1"/>
          <w:lang w:val="pl-PL"/>
        </w:rPr>
      </w:pPr>
      <w:r w:rsidRPr="75834F23">
        <w:rPr>
          <w:rFonts w:ascii="Arial" w:eastAsia="Arial" w:hAnsi="Arial" w:cs="Arial"/>
          <w:color w:val="000000" w:themeColor="text1"/>
          <w:lang w:val="pl-PL"/>
        </w:rPr>
        <w:t xml:space="preserve">– </w:t>
      </w:r>
      <w:r w:rsidRPr="75834F23">
        <w:rPr>
          <w:rFonts w:ascii="Arial" w:eastAsia="Arial" w:hAnsi="Arial" w:cs="Arial"/>
          <w:i/>
          <w:iCs/>
          <w:color w:val="000000" w:themeColor="text1"/>
          <w:lang w:val="pl-PL"/>
        </w:rPr>
        <w:t>Świat się zmienia, a odważne decyzje, wymagają śmiałych rozwiązań. Od początku istnienia idei 3W stawiamy na ekosystem, który oparty jest na współpracy. To klucz do sukcesu, bez</w:t>
      </w:r>
      <w:r>
        <w:rPr>
          <w:rFonts w:ascii="Arial" w:eastAsia="Arial" w:hAnsi="Arial" w:cs="Arial"/>
          <w:i/>
          <w:iCs/>
          <w:color w:val="000000" w:themeColor="text1"/>
          <w:lang w:val="pl-PL"/>
        </w:rPr>
        <w:t> </w:t>
      </w:r>
      <w:r w:rsidRPr="75834F23">
        <w:rPr>
          <w:rFonts w:ascii="Arial" w:eastAsia="Arial" w:hAnsi="Arial" w:cs="Arial"/>
          <w:i/>
          <w:iCs/>
          <w:color w:val="000000" w:themeColor="text1"/>
          <w:lang w:val="pl-PL"/>
        </w:rPr>
        <w:t>którego trudno dziś sobie wyobrazić wprowadzanie przełomowych zmian. Do inicjatywy 3W dołączyło już ponad 100 organizacji, które aktywnie działają w obszarach wody, wodoru i</w:t>
      </w:r>
      <w:r>
        <w:rPr>
          <w:rFonts w:ascii="Arial" w:eastAsia="Arial" w:hAnsi="Arial" w:cs="Arial"/>
          <w:i/>
          <w:iCs/>
          <w:color w:val="000000" w:themeColor="text1"/>
          <w:lang w:val="pl-PL"/>
        </w:rPr>
        <w:t> </w:t>
      </w:r>
      <w:r w:rsidRPr="75834F23">
        <w:rPr>
          <w:rFonts w:ascii="Arial" w:eastAsia="Arial" w:hAnsi="Arial" w:cs="Arial"/>
          <w:i/>
          <w:iCs/>
          <w:color w:val="000000" w:themeColor="text1"/>
          <w:lang w:val="pl-PL"/>
        </w:rPr>
        <w:t>węgla. Cieszy mnie, że</w:t>
      </w:r>
      <w:r>
        <w:rPr>
          <w:rFonts w:ascii="Arial" w:eastAsia="Arial" w:hAnsi="Arial" w:cs="Arial"/>
          <w:i/>
          <w:iCs/>
          <w:color w:val="000000" w:themeColor="text1"/>
          <w:lang w:val="pl-PL"/>
        </w:rPr>
        <w:t> </w:t>
      </w:r>
      <w:r w:rsidRPr="75834F23">
        <w:rPr>
          <w:rFonts w:ascii="Arial" w:eastAsia="Arial" w:hAnsi="Arial" w:cs="Arial"/>
          <w:i/>
          <w:iCs/>
          <w:color w:val="000000" w:themeColor="text1"/>
          <w:lang w:val="pl-PL"/>
        </w:rPr>
        <w:t>kolejni Partnerzy dostrzegają potencjał we</w:t>
      </w:r>
      <w:r>
        <w:rPr>
          <w:rFonts w:ascii="Arial" w:eastAsia="Arial" w:hAnsi="Arial" w:cs="Arial"/>
          <w:i/>
          <w:iCs/>
          <w:color w:val="000000" w:themeColor="text1"/>
          <w:lang w:val="pl-PL"/>
        </w:rPr>
        <w:t xml:space="preserve"> </w:t>
      </w:r>
      <w:r w:rsidRPr="75834F23">
        <w:rPr>
          <w:rFonts w:ascii="Arial" w:eastAsia="Arial" w:hAnsi="Arial" w:cs="Arial"/>
          <w:i/>
          <w:iCs/>
          <w:color w:val="000000" w:themeColor="text1"/>
          <w:lang w:val="pl-PL"/>
        </w:rPr>
        <w:t>współpracy i chcą, razem z innymi firmami z obszaru 3W, wprowadzać innowacje w przestrzeni gospodarczej, zmieniać nawyki konsumenckie i budować partnerstwa biznesowe</w:t>
      </w:r>
      <w:r w:rsidRPr="75834F23">
        <w:rPr>
          <w:rFonts w:ascii="Arial" w:eastAsia="Arial" w:hAnsi="Arial" w:cs="Arial"/>
          <w:color w:val="000000" w:themeColor="text1"/>
          <w:lang w:val="pl-PL"/>
        </w:rPr>
        <w:t xml:space="preserve"> – powiedziała Magdalena Sopiela, menedżerka zespołu promocji i rozwoju społeczności 3W w Departamencie 3W Banku Gospodarstwa Krajowego.</w:t>
      </w:r>
    </w:p>
    <w:p w14:paraId="397849DC" w14:textId="77777777" w:rsidR="00DA4937" w:rsidRPr="00DA4937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7FB17B80" w14:textId="2D563B10" w:rsidR="00DA4937" w:rsidRPr="00D6619A" w:rsidRDefault="00DA4937" w:rsidP="00DA4937">
      <w:pPr>
        <w:spacing w:line="276" w:lineRule="auto"/>
        <w:jc w:val="both"/>
        <w:rPr>
          <w:rFonts w:ascii="Arial" w:eastAsia="Arial" w:hAnsi="Arial" w:cs="Arial"/>
        </w:rPr>
      </w:pPr>
      <w:r w:rsidRPr="00D6619A">
        <w:rPr>
          <w:rFonts w:ascii="Arial" w:eastAsia="Arial" w:hAnsi="Arial" w:cs="Arial"/>
          <w:b/>
          <w:bCs/>
        </w:rPr>
        <w:t>Główny Instytut G</w:t>
      </w:r>
      <w:proofErr w:type="spellStart"/>
      <w:r w:rsidRPr="00D6619A">
        <w:rPr>
          <w:rFonts w:ascii="Arial" w:eastAsia="Arial" w:hAnsi="Arial" w:cs="Arial"/>
          <w:b/>
          <w:bCs/>
          <w:lang w:val="es-ES"/>
        </w:rPr>
        <w:t>ó</w:t>
      </w:r>
      <w:r w:rsidRPr="00D6619A">
        <w:rPr>
          <w:rFonts w:ascii="Arial" w:eastAsia="Arial" w:hAnsi="Arial" w:cs="Arial"/>
          <w:b/>
          <w:bCs/>
        </w:rPr>
        <w:t>rnictwa</w:t>
      </w:r>
      <w:proofErr w:type="spellEnd"/>
      <w:r w:rsidRPr="00D6619A">
        <w:rPr>
          <w:rFonts w:ascii="Arial" w:eastAsia="Arial" w:hAnsi="Arial" w:cs="Arial"/>
        </w:rPr>
        <w:t>, kt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r w:rsidRPr="00D6619A">
        <w:rPr>
          <w:rFonts w:ascii="Arial" w:eastAsia="Arial" w:hAnsi="Arial" w:cs="Arial"/>
        </w:rPr>
        <w:t>ry</w:t>
      </w:r>
      <w:proofErr w:type="spellEnd"/>
      <w:r w:rsidRPr="00D6619A">
        <w:rPr>
          <w:rFonts w:ascii="Arial" w:eastAsia="Arial" w:hAnsi="Arial" w:cs="Arial"/>
        </w:rPr>
        <w:t xml:space="preserve"> wnosi swoją unikalną ekspertyzę w dziedzinie technologii g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r w:rsidRPr="00D6619A">
        <w:rPr>
          <w:rFonts w:ascii="Arial" w:eastAsia="Arial" w:hAnsi="Arial" w:cs="Arial"/>
        </w:rPr>
        <w:t>rniczych</w:t>
      </w:r>
      <w:proofErr w:type="spellEnd"/>
      <w:r w:rsidRPr="00D6619A">
        <w:rPr>
          <w:rFonts w:ascii="Arial" w:eastAsia="Arial" w:hAnsi="Arial" w:cs="Arial"/>
        </w:rPr>
        <w:t xml:space="preserve">, </w:t>
      </w:r>
      <w:r w:rsidRPr="00D6619A">
        <w:rPr>
          <w:rFonts w:ascii="Arial" w:hAnsi="Arial"/>
        </w:rPr>
        <w:t>jest jednym z czołowych instytut</w:t>
      </w:r>
      <w:proofErr w:type="spellStart"/>
      <w:r w:rsidRPr="00D6619A">
        <w:rPr>
          <w:rFonts w:ascii="Arial" w:hAnsi="Arial"/>
          <w:lang w:val="es-ES_tradnl"/>
        </w:rPr>
        <w:t>ó</w:t>
      </w:r>
      <w:proofErr w:type="spellEnd"/>
      <w:r w:rsidRPr="00D6619A">
        <w:rPr>
          <w:rFonts w:ascii="Arial" w:hAnsi="Arial"/>
        </w:rPr>
        <w:t>w badawczych w Europie, oferującym szeroki zakres usług dla różnych branż przemysłu, instytucji rządowych i samorządowych, a także dla partner</w:t>
      </w:r>
      <w:proofErr w:type="spellStart"/>
      <w:r w:rsidRPr="00D6619A">
        <w:rPr>
          <w:rFonts w:ascii="Arial" w:hAnsi="Arial"/>
          <w:lang w:val="es-ES_tradnl"/>
        </w:rPr>
        <w:t>ó</w:t>
      </w:r>
      <w:proofErr w:type="spellEnd"/>
      <w:r w:rsidRPr="00D6619A">
        <w:rPr>
          <w:rFonts w:ascii="Arial" w:hAnsi="Arial"/>
        </w:rPr>
        <w:t>w zagranicznych. Ich udział w inicjatywie 3W przyczyni się do rozwoju innowacyjnego rozwiązania, które pozwala na niskoenergetyczne pozyskiwanie wodoru z wody z</w:t>
      </w:r>
      <w:r>
        <w:rPr>
          <w:rFonts w:ascii="Arial" w:hAnsi="Arial"/>
        </w:rPr>
        <w:t> </w:t>
      </w:r>
      <w:r w:rsidRPr="00D6619A">
        <w:rPr>
          <w:rFonts w:ascii="Arial" w:hAnsi="Arial"/>
        </w:rPr>
        <w:t>wykorzystaniem odpad</w:t>
      </w:r>
      <w:proofErr w:type="spellStart"/>
      <w:r w:rsidRPr="00D6619A">
        <w:rPr>
          <w:rFonts w:ascii="Arial" w:hAnsi="Arial"/>
          <w:lang w:val="es-ES_tradnl"/>
        </w:rPr>
        <w:t>ó</w:t>
      </w:r>
      <w:proofErr w:type="spellEnd"/>
      <w:r w:rsidRPr="00D6619A">
        <w:rPr>
          <w:rFonts w:ascii="Arial" w:hAnsi="Arial"/>
        </w:rPr>
        <w:t>w przemysłowych. </w:t>
      </w:r>
    </w:p>
    <w:p w14:paraId="56DBD7C8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4AF1FE47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  <w:r w:rsidRPr="00D6619A">
        <w:rPr>
          <w:rFonts w:ascii="Arial" w:eastAsia="Arial" w:hAnsi="Arial" w:cs="Arial"/>
          <w:b/>
          <w:lang w:val="pl-PL"/>
        </w:rPr>
        <w:lastRenderedPageBreak/>
        <w:t xml:space="preserve">PROTIUM </w:t>
      </w:r>
      <w:r w:rsidRPr="00D6619A">
        <w:rPr>
          <w:rFonts w:ascii="Arial" w:eastAsia="Arial" w:hAnsi="Arial" w:cs="Arial"/>
          <w:lang w:val="pl-PL"/>
        </w:rPr>
        <w:t>specjalizuj</w:t>
      </w:r>
      <w:r w:rsidRPr="00D6619A">
        <w:rPr>
          <w:rFonts w:ascii="Arial" w:eastAsia="Arial" w:hAnsi="Arial" w:cs="Arial"/>
          <w:lang w:val="it-IT"/>
        </w:rPr>
        <w:t>e si</w:t>
      </w:r>
      <w:r w:rsidRPr="00D6619A">
        <w:rPr>
          <w:rFonts w:ascii="Arial" w:eastAsia="Arial" w:hAnsi="Arial" w:cs="Arial"/>
          <w:lang w:val="pl-PL"/>
        </w:rPr>
        <w:t xml:space="preserve">ę w rozwoju technologii wodorowych. Głównym celem </w:t>
      </w:r>
      <w:proofErr w:type="spellStart"/>
      <w:r w:rsidRPr="00D6619A">
        <w:rPr>
          <w:rFonts w:ascii="Arial" w:eastAsia="Arial" w:hAnsi="Arial" w:cs="Arial"/>
          <w:lang w:val="pl-PL"/>
        </w:rPr>
        <w:t>działalnoś</w:t>
      </w:r>
      <w:proofErr w:type="spellEnd"/>
      <w:r w:rsidRPr="00D6619A">
        <w:rPr>
          <w:rFonts w:ascii="Arial" w:eastAsia="Arial" w:hAnsi="Arial" w:cs="Arial"/>
          <w:lang w:val="it-IT"/>
        </w:rPr>
        <w:t xml:space="preserve">ci </w:t>
      </w:r>
      <w:r w:rsidRPr="00D6619A">
        <w:rPr>
          <w:rFonts w:ascii="Arial" w:eastAsia="Arial" w:hAnsi="Arial" w:cs="Arial"/>
          <w:lang w:val="pl-PL"/>
        </w:rPr>
        <w:t>firmy jest produkcja i wdrożenie pozyskiwania wodoru z żużla, który powstaje ze spalania odpad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>w komunalnych w spalarniach. Spółka planuje konsekwentnie rozwijać technologie wodorowe.</w:t>
      </w:r>
    </w:p>
    <w:p w14:paraId="40B4D5D7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747C7018" w14:textId="793EDA7E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  <w:proofErr w:type="spellStart"/>
      <w:r w:rsidRPr="00D6619A">
        <w:rPr>
          <w:rFonts w:ascii="Arial" w:eastAsia="Arial" w:hAnsi="Arial" w:cs="Arial"/>
          <w:bCs/>
          <w:lang w:val="it-IT"/>
        </w:rPr>
        <w:t>Spółka</w:t>
      </w:r>
      <w:proofErr w:type="spellEnd"/>
      <w:r w:rsidRPr="00D6619A">
        <w:rPr>
          <w:rFonts w:ascii="Arial" w:eastAsia="Arial" w:hAnsi="Arial" w:cs="Arial"/>
          <w:bCs/>
          <w:lang w:val="it-IT"/>
        </w:rPr>
        <w:t xml:space="preserve"> </w:t>
      </w:r>
      <w:r w:rsidRPr="00D6619A">
        <w:rPr>
          <w:rFonts w:ascii="Arial" w:eastAsia="Arial" w:hAnsi="Arial" w:cs="Arial"/>
          <w:b/>
          <w:lang w:val="it-IT"/>
        </w:rPr>
        <w:t xml:space="preserve">J.T.C. </w:t>
      </w:r>
      <w:r w:rsidRPr="00D6619A">
        <w:rPr>
          <w:rFonts w:ascii="Arial" w:eastAsia="Arial" w:hAnsi="Arial" w:cs="Arial"/>
          <w:lang w:val="pl-PL"/>
        </w:rPr>
        <w:t>jest profesjonalnym doradcą w zakresie optymalnego doboru technologii i opracowania koncepcji zagospodarowania nadwyżki energii pochodzącej z OZE, do</w:t>
      </w:r>
      <w:r>
        <w:rPr>
          <w:rFonts w:ascii="Arial" w:eastAsia="Arial" w:hAnsi="Arial" w:cs="Arial"/>
          <w:lang w:val="pl-PL"/>
        </w:rPr>
        <w:t> </w:t>
      </w:r>
      <w:r w:rsidRPr="00D6619A">
        <w:rPr>
          <w:rFonts w:ascii="Arial" w:eastAsia="Arial" w:hAnsi="Arial" w:cs="Arial"/>
          <w:lang w:val="pl-PL"/>
        </w:rPr>
        <w:t>produkcji wodoru. Stale rozszerza swoją działalność oraz rozwija kompetencje w zakresie projektowania i wykonawstwa projekt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 xml:space="preserve">w „czystych ekologicznie”, które wykorzystują </w:t>
      </w:r>
      <w:proofErr w:type="spellStart"/>
      <w:r w:rsidRPr="00D6619A">
        <w:rPr>
          <w:rFonts w:ascii="Arial" w:eastAsia="Arial" w:hAnsi="Arial" w:cs="Arial"/>
          <w:lang w:val="pl-PL"/>
        </w:rPr>
        <w:t>wod</w:t>
      </w:r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>r.</w:t>
      </w:r>
    </w:p>
    <w:p w14:paraId="64E54480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4A81BF09" w14:textId="70F6A9E0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  <w:r w:rsidRPr="00D6619A">
        <w:rPr>
          <w:rFonts w:ascii="Arial" w:eastAsia="Arial" w:hAnsi="Arial" w:cs="Arial"/>
          <w:b/>
          <w:lang w:val="pl-PL"/>
        </w:rPr>
        <w:t>Świętokrzyska Dolina Wodorowa</w:t>
      </w:r>
      <w:r w:rsidRPr="00D6619A">
        <w:rPr>
          <w:rFonts w:ascii="Arial" w:eastAsia="Arial" w:hAnsi="Arial" w:cs="Arial"/>
          <w:lang w:val="pl-PL"/>
        </w:rPr>
        <w:t xml:space="preserve"> zrzesza przedsiębiorstwa i instytuty związane z sektorem wodorowym, działa na rzecz zwiększenia znaczenia innowacyjnych technologii wodorowych, aby m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>c dekarbonizować lokalny przemysł, polepszać efektywność energetyczną, realizować założenia polskiej i europejskiej strategii wodorowej, aby razem dążyć do gospodarki nisko i</w:t>
      </w:r>
      <w:r>
        <w:rPr>
          <w:rFonts w:ascii="Arial" w:eastAsia="Arial" w:hAnsi="Arial" w:cs="Arial"/>
          <w:lang w:val="pl-PL"/>
        </w:rPr>
        <w:t> </w:t>
      </w:r>
      <w:r w:rsidRPr="00D6619A">
        <w:rPr>
          <w:rFonts w:ascii="Arial" w:eastAsia="Arial" w:hAnsi="Arial" w:cs="Arial"/>
          <w:lang w:val="pl-PL"/>
        </w:rPr>
        <w:t>zeroemisyjnej.</w:t>
      </w:r>
    </w:p>
    <w:p w14:paraId="6E8AA29E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578D8C3F" w14:textId="77777777" w:rsidR="00DA4937" w:rsidRPr="00D6619A" w:rsidRDefault="00DA4937" w:rsidP="00DA4937">
      <w:pPr>
        <w:spacing w:line="276" w:lineRule="auto"/>
        <w:jc w:val="both"/>
        <w:rPr>
          <w:rFonts w:ascii="Arial" w:eastAsia="Arial" w:hAnsi="Arial" w:cs="Arial"/>
        </w:rPr>
      </w:pPr>
      <w:r w:rsidRPr="00D6619A">
        <w:rPr>
          <w:rFonts w:ascii="Arial" w:eastAsia="Arial" w:hAnsi="Arial" w:cs="Arial"/>
        </w:rPr>
        <w:t xml:space="preserve">Następną organizacją jest </w:t>
      </w:r>
      <w:r w:rsidRPr="00D6619A">
        <w:rPr>
          <w:rFonts w:ascii="Arial" w:eastAsia="Arial" w:hAnsi="Arial" w:cs="Arial"/>
          <w:b/>
          <w:bCs/>
        </w:rPr>
        <w:t>Green Box Energy</w:t>
      </w:r>
      <w:r w:rsidRPr="00D6619A">
        <w:rPr>
          <w:rFonts w:ascii="Arial" w:eastAsia="Arial" w:hAnsi="Arial" w:cs="Arial"/>
        </w:rPr>
        <w:t>, która zajmuje się rozwijaniem technologii energetycznych, zwłaszcza w obszarze energii odnawialnej. Koncentruje się na stabilizacji systemów energetycznych, optymalizacji zużycia energii i dostosowywaniu się do zaleceń Komisji Europejskiej dotyczących rozwoju odnawialnych źródeł energii.</w:t>
      </w:r>
    </w:p>
    <w:p w14:paraId="74073BE0" w14:textId="44D3023E" w:rsidR="00DA4937" w:rsidRPr="00D6619A" w:rsidRDefault="00DA4937" w:rsidP="00DA4937">
      <w:pPr>
        <w:spacing w:line="276" w:lineRule="auto"/>
        <w:jc w:val="both"/>
        <w:rPr>
          <w:rFonts w:ascii="Arial" w:eastAsia="Arial" w:hAnsi="Arial" w:cs="Arial"/>
        </w:rPr>
      </w:pPr>
      <w:r w:rsidRPr="00D6619A">
        <w:rPr>
          <w:rFonts w:ascii="Arial" w:eastAsia="Arial" w:hAnsi="Arial" w:cs="Arial"/>
          <w:b/>
        </w:rPr>
        <w:t xml:space="preserve">H2PV </w:t>
      </w:r>
      <w:r w:rsidRPr="00D6619A">
        <w:rPr>
          <w:rFonts w:ascii="Arial" w:eastAsia="Arial" w:hAnsi="Arial" w:cs="Arial"/>
          <w:bCs/>
        </w:rPr>
        <w:t xml:space="preserve">to </w:t>
      </w:r>
      <w:r w:rsidRPr="00D6619A">
        <w:rPr>
          <w:rFonts w:ascii="Arial" w:eastAsia="Arial" w:hAnsi="Arial" w:cs="Arial"/>
        </w:rPr>
        <w:t>kolejny nowy uczestnik inicjatywy 3W, który skupia się na badaniach i wdrożeniach technologii związanych z odnawialnymi źródłami energii oraz na rozwoju technologii fotowoltaicznych z wykorzystaniem wodoru. Firma tworzy systemy produkcji wodoru w</w:t>
      </w:r>
      <w:r>
        <w:rPr>
          <w:rFonts w:ascii="Arial" w:eastAsia="Arial" w:hAnsi="Arial" w:cs="Arial"/>
        </w:rPr>
        <w:t> </w:t>
      </w:r>
      <w:r w:rsidRPr="00D6619A">
        <w:rPr>
          <w:rFonts w:ascii="Arial" w:eastAsia="Arial" w:hAnsi="Arial" w:cs="Arial"/>
        </w:rPr>
        <w:t>procesie elektrolizy przy wykorzystaniu nadwyżek energetycznych powstałych w wyniku produkcji energii z ogniw fotowoltaicznych.</w:t>
      </w:r>
    </w:p>
    <w:p w14:paraId="5AEF7294" w14:textId="09CA1CCD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  <w:proofErr w:type="spellStart"/>
      <w:r w:rsidRPr="00D6619A">
        <w:rPr>
          <w:rFonts w:ascii="Arial" w:eastAsia="Arial" w:hAnsi="Arial" w:cs="Arial"/>
          <w:b/>
          <w:lang w:val="it-IT"/>
        </w:rPr>
        <w:t>Hartimex</w:t>
      </w:r>
      <w:proofErr w:type="spellEnd"/>
      <w:r w:rsidRPr="00D6619A">
        <w:rPr>
          <w:rFonts w:ascii="Arial" w:eastAsia="Arial" w:hAnsi="Arial" w:cs="Arial"/>
          <w:lang w:val="pl-PL"/>
        </w:rPr>
        <w:t xml:space="preserve"> to spółka, kt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r w:rsidRPr="00D6619A">
        <w:rPr>
          <w:rFonts w:ascii="Arial" w:eastAsia="Arial" w:hAnsi="Arial" w:cs="Arial"/>
          <w:lang w:val="pl-PL"/>
        </w:rPr>
        <w:t>ra</w:t>
      </w:r>
      <w:proofErr w:type="spellEnd"/>
      <w:r w:rsidRPr="00D6619A">
        <w:rPr>
          <w:rFonts w:ascii="Arial" w:eastAsia="Arial" w:hAnsi="Arial" w:cs="Arial"/>
          <w:lang w:val="pl-PL"/>
        </w:rPr>
        <w:t xml:space="preserve"> zajmuje się automatyzacją proces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>w technologicznych, w tym w</w:t>
      </w:r>
      <w:r>
        <w:rPr>
          <w:rFonts w:ascii="Arial" w:eastAsia="Arial" w:hAnsi="Arial" w:cs="Arial"/>
          <w:lang w:val="pl-PL"/>
        </w:rPr>
        <w:t> </w:t>
      </w:r>
      <w:r w:rsidRPr="00D6619A">
        <w:rPr>
          <w:rFonts w:ascii="Arial" w:eastAsia="Arial" w:hAnsi="Arial" w:cs="Arial"/>
          <w:lang w:val="pl-PL"/>
        </w:rPr>
        <w:t>branży wodno-kanalizacyjnej. Spółka tworzy kompleksowe projekty układ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>w technologicznych dla stacji uzdatniania wody, oczyszczalni ściek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 xml:space="preserve">w. Spółka posiada własną biologiczną przyzakładową oczyszczalnię. </w:t>
      </w:r>
    </w:p>
    <w:p w14:paraId="2F0B8204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67879CA8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  <w:r w:rsidRPr="00D6619A">
        <w:rPr>
          <w:rFonts w:ascii="Arial" w:eastAsia="Arial" w:hAnsi="Arial" w:cs="Arial"/>
          <w:b/>
          <w:lang w:val="de-DE"/>
        </w:rPr>
        <w:t>Schwander</w:t>
      </w:r>
      <w:r w:rsidRPr="00D6619A">
        <w:rPr>
          <w:rFonts w:ascii="Arial" w:eastAsia="Arial" w:hAnsi="Arial" w:cs="Arial"/>
          <w:b/>
          <w:lang w:val="pl-PL"/>
        </w:rPr>
        <w:t xml:space="preserve"> Polska</w:t>
      </w:r>
      <w:r w:rsidRPr="00D6619A">
        <w:rPr>
          <w:rFonts w:ascii="Arial" w:eastAsia="Arial" w:hAnsi="Arial" w:cs="Arial"/>
          <w:lang w:val="pl-PL"/>
        </w:rPr>
        <w:t xml:space="preserve"> jest liderem nowoczesnej technologii oczyszczania ściek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 xml:space="preserve">w </w:t>
      </w:r>
      <w:proofErr w:type="spellStart"/>
      <w:r w:rsidRPr="00D6619A">
        <w:rPr>
          <w:rFonts w:ascii="Arial" w:eastAsia="Arial" w:hAnsi="Arial" w:cs="Arial"/>
          <w:lang w:val="pl-PL"/>
        </w:rPr>
        <w:t>w</w:t>
      </w:r>
      <w:proofErr w:type="spellEnd"/>
      <w:r w:rsidRPr="00D6619A">
        <w:rPr>
          <w:rFonts w:ascii="Arial" w:eastAsia="Arial" w:hAnsi="Arial" w:cs="Arial"/>
          <w:lang w:val="pl-PL"/>
        </w:rPr>
        <w:t xml:space="preserve"> Polsce z wieloletnim doświadczeniem. Firma projektuje i buduje oczyszczalnie ściek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 xml:space="preserve">w </w:t>
      </w:r>
      <w:proofErr w:type="spellStart"/>
      <w:r w:rsidRPr="00D6619A">
        <w:rPr>
          <w:rFonts w:ascii="Arial" w:eastAsia="Arial" w:hAnsi="Arial" w:cs="Arial"/>
          <w:lang w:val="pl-PL"/>
        </w:rPr>
        <w:t>w</w:t>
      </w:r>
      <w:proofErr w:type="spellEnd"/>
      <w:r w:rsidRPr="00D6619A">
        <w:rPr>
          <w:rFonts w:ascii="Arial" w:eastAsia="Arial" w:hAnsi="Arial" w:cs="Arial"/>
          <w:lang w:val="pl-PL"/>
        </w:rPr>
        <w:t xml:space="preserve"> technologii MBR (</w:t>
      </w:r>
      <w:proofErr w:type="spellStart"/>
      <w:r w:rsidRPr="00D6619A">
        <w:rPr>
          <w:rFonts w:ascii="Arial" w:eastAsia="Arial" w:hAnsi="Arial" w:cs="Arial"/>
          <w:lang w:val="pl-PL"/>
        </w:rPr>
        <w:t>Membrane</w:t>
      </w:r>
      <w:proofErr w:type="spellEnd"/>
      <w:r w:rsidRPr="00D6619A">
        <w:rPr>
          <w:rFonts w:ascii="Arial" w:eastAsia="Arial" w:hAnsi="Arial" w:cs="Arial"/>
          <w:lang w:val="pl-PL"/>
        </w:rPr>
        <w:t xml:space="preserve"> </w:t>
      </w:r>
      <w:proofErr w:type="spellStart"/>
      <w:r w:rsidRPr="00D6619A">
        <w:rPr>
          <w:rFonts w:ascii="Arial" w:eastAsia="Arial" w:hAnsi="Arial" w:cs="Arial"/>
          <w:lang w:val="pl-PL"/>
        </w:rPr>
        <w:t>Biological</w:t>
      </w:r>
      <w:proofErr w:type="spellEnd"/>
      <w:r w:rsidRPr="00D6619A">
        <w:rPr>
          <w:rFonts w:ascii="Arial" w:eastAsia="Arial" w:hAnsi="Arial" w:cs="Arial"/>
          <w:lang w:val="pl-PL"/>
        </w:rPr>
        <w:t xml:space="preserve"> </w:t>
      </w:r>
      <w:proofErr w:type="spellStart"/>
      <w:r w:rsidRPr="00D6619A">
        <w:rPr>
          <w:rFonts w:ascii="Arial" w:eastAsia="Arial" w:hAnsi="Arial" w:cs="Arial"/>
          <w:lang w:val="pl-PL"/>
        </w:rPr>
        <w:t>Reactor</w:t>
      </w:r>
      <w:proofErr w:type="spellEnd"/>
      <w:r w:rsidRPr="00D6619A">
        <w:rPr>
          <w:rFonts w:ascii="Arial" w:eastAsia="Arial" w:hAnsi="Arial" w:cs="Arial"/>
          <w:lang w:val="pl-PL"/>
        </w:rPr>
        <w:t>) oraz wykonuje instalacje karbonizacji hydrotermalnej (HTC).</w:t>
      </w:r>
    </w:p>
    <w:p w14:paraId="5891C4A1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6B312808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  <w:r w:rsidRPr="00D6619A">
        <w:rPr>
          <w:rFonts w:ascii="Arial" w:eastAsia="Arial" w:hAnsi="Arial" w:cs="Arial"/>
          <w:b/>
          <w:lang w:val="pl-PL"/>
        </w:rPr>
        <w:t xml:space="preserve">AMII </w:t>
      </w:r>
      <w:r w:rsidRPr="00D6619A">
        <w:rPr>
          <w:rFonts w:ascii="Arial" w:eastAsia="Arial" w:hAnsi="Arial" w:cs="Arial"/>
          <w:bCs/>
          <w:lang w:val="pl-PL"/>
        </w:rPr>
        <w:t>to producent filtrów do wody. Dzięki</w:t>
      </w:r>
      <w:r w:rsidRPr="00D6619A">
        <w:rPr>
          <w:rFonts w:ascii="Arial" w:eastAsia="Arial" w:hAnsi="Arial" w:cs="Arial"/>
          <w:lang w:val="pl-PL"/>
        </w:rPr>
        <w:t xml:space="preserve"> własnemu działowi B+R projektuje i wdraża nowe</w:t>
      </w:r>
      <w:r w:rsidRPr="00D6619A" w:rsidDel="00356E29">
        <w:rPr>
          <w:rFonts w:ascii="Arial" w:eastAsia="Arial" w:hAnsi="Arial" w:cs="Arial"/>
          <w:lang w:val="pl-PL"/>
        </w:rPr>
        <w:t xml:space="preserve"> </w:t>
      </w:r>
      <w:r w:rsidRPr="00D6619A">
        <w:rPr>
          <w:rFonts w:ascii="Arial" w:eastAsia="Arial" w:hAnsi="Arial" w:cs="Arial"/>
          <w:lang w:val="pl-PL"/>
        </w:rPr>
        <w:t>produkty oraz rozwiązania w zakresie filtracji wody. Firma wdrożyła technologię systemu, który z większą dokładnością filtruje wodę oraz pracuje nad wytworzeniem i skutecznością działania nowych materiałów kompozytowych do oczyszczania wody, zbudowanych na bazie grafenu.</w:t>
      </w:r>
    </w:p>
    <w:p w14:paraId="57D9A90D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54373203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  <w:r w:rsidRPr="00D6619A">
        <w:rPr>
          <w:rFonts w:ascii="Arial" w:eastAsia="Arial" w:hAnsi="Arial" w:cs="Arial"/>
          <w:b/>
          <w:lang w:val="pl-PL"/>
        </w:rPr>
        <w:t xml:space="preserve">Łódzki Klaster Fala Energii </w:t>
      </w:r>
      <w:r w:rsidRPr="00D6619A">
        <w:rPr>
          <w:rFonts w:ascii="Arial" w:eastAsia="Arial" w:hAnsi="Arial" w:cs="Arial"/>
          <w:lang w:val="pl-PL"/>
        </w:rPr>
        <w:t xml:space="preserve">zrzesza przedsiębiorstwa i instytucje, które pracują nad rozwojem efektywnej dystrybucji wytworzonej energii i zwiększeniem wykorzystania odnawialnych </w:t>
      </w:r>
      <w:proofErr w:type="spellStart"/>
      <w:r w:rsidRPr="00D6619A">
        <w:rPr>
          <w:rFonts w:ascii="Arial" w:eastAsia="Arial" w:hAnsi="Arial" w:cs="Arial"/>
          <w:lang w:val="pl-PL"/>
        </w:rPr>
        <w:t>źr</w:t>
      </w:r>
      <w:r w:rsidRPr="00D6619A">
        <w:rPr>
          <w:rFonts w:ascii="Arial" w:eastAsia="Arial" w:hAnsi="Arial" w:cs="Arial"/>
          <w:lang w:val="es-ES"/>
        </w:rPr>
        <w:t>ó</w:t>
      </w:r>
      <w:r w:rsidRPr="00D6619A">
        <w:rPr>
          <w:rFonts w:ascii="Arial" w:eastAsia="Arial" w:hAnsi="Arial" w:cs="Arial"/>
          <w:lang w:val="pl-PL"/>
        </w:rPr>
        <w:t>deł</w:t>
      </w:r>
      <w:proofErr w:type="spellEnd"/>
      <w:r w:rsidRPr="00D6619A">
        <w:rPr>
          <w:rFonts w:ascii="Arial" w:eastAsia="Arial" w:hAnsi="Arial" w:cs="Arial"/>
          <w:lang w:val="pl-PL"/>
        </w:rPr>
        <w:t xml:space="preserve"> energii. Organizacja sprzyja pobudzaniu innowacyjności w zakresie m.in. </w:t>
      </w:r>
      <w:r w:rsidRPr="00D6619A">
        <w:rPr>
          <w:rFonts w:ascii="Arial" w:eastAsia="Arial" w:hAnsi="Arial" w:cs="Arial"/>
          <w:lang w:val="pl-PL"/>
        </w:rPr>
        <w:lastRenderedPageBreak/>
        <w:t xml:space="preserve">wytwarzania, dystrybucji, bilansowania i magazynowania energii oraz zarządzania popytem na energię elektryczną, </w:t>
      </w:r>
      <w:proofErr w:type="spellStart"/>
      <w:r w:rsidRPr="00D6619A">
        <w:rPr>
          <w:rFonts w:ascii="Arial" w:eastAsia="Arial" w:hAnsi="Arial" w:cs="Arial"/>
          <w:lang w:val="pl-PL"/>
        </w:rPr>
        <w:t>ciepł</w:t>
      </w:r>
      <w:proofErr w:type="spellEnd"/>
      <w:r w:rsidRPr="00D6619A">
        <w:rPr>
          <w:rFonts w:ascii="Arial" w:eastAsia="Arial" w:hAnsi="Arial" w:cs="Arial"/>
          <w:lang w:val="it-IT"/>
        </w:rPr>
        <w:t>o i </w:t>
      </w:r>
      <w:proofErr w:type="spellStart"/>
      <w:r w:rsidRPr="00D6619A">
        <w:rPr>
          <w:rFonts w:ascii="Arial" w:eastAsia="Arial" w:hAnsi="Arial" w:cs="Arial"/>
          <w:lang w:val="it-IT"/>
        </w:rPr>
        <w:t>ch</w:t>
      </w:r>
      <w:r w:rsidRPr="00D6619A">
        <w:rPr>
          <w:rFonts w:ascii="Arial" w:eastAsia="Arial" w:hAnsi="Arial" w:cs="Arial"/>
          <w:lang w:val="pl-PL"/>
        </w:rPr>
        <w:t>łód</w:t>
      </w:r>
      <w:proofErr w:type="spellEnd"/>
      <w:r w:rsidRPr="00D6619A">
        <w:rPr>
          <w:rFonts w:ascii="Arial" w:eastAsia="Arial" w:hAnsi="Arial" w:cs="Arial"/>
          <w:lang w:val="pl-PL"/>
        </w:rPr>
        <w:t>. Współpraca przekłada się na ograniczenie koszt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 xml:space="preserve">w energii, </w:t>
      </w:r>
      <w:proofErr w:type="spellStart"/>
      <w:r w:rsidRPr="00D6619A">
        <w:rPr>
          <w:rFonts w:ascii="Arial" w:eastAsia="Arial" w:hAnsi="Arial" w:cs="Arial"/>
          <w:lang w:val="pl-PL"/>
        </w:rPr>
        <w:t>rozw</w:t>
      </w:r>
      <w:r w:rsidRPr="00D6619A">
        <w:rPr>
          <w:rFonts w:ascii="Arial" w:eastAsia="Arial" w:hAnsi="Arial" w:cs="Arial"/>
          <w:lang w:val="es-ES"/>
        </w:rPr>
        <w:t>ój</w:t>
      </w:r>
      <w:proofErr w:type="spellEnd"/>
      <w:r w:rsidRPr="00D6619A">
        <w:rPr>
          <w:rFonts w:ascii="Arial" w:eastAsia="Arial" w:hAnsi="Arial" w:cs="Arial"/>
          <w:lang w:val="pl-PL"/>
        </w:rPr>
        <w:t xml:space="preserve"> nowych </w:t>
      </w:r>
      <w:proofErr w:type="spellStart"/>
      <w:r w:rsidRPr="00D6619A">
        <w:rPr>
          <w:rFonts w:ascii="Arial" w:eastAsia="Arial" w:hAnsi="Arial" w:cs="Arial"/>
          <w:lang w:val="pl-PL"/>
        </w:rPr>
        <w:t>źr</w:t>
      </w:r>
      <w:r w:rsidRPr="00D6619A">
        <w:rPr>
          <w:rFonts w:ascii="Arial" w:eastAsia="Arial" w:hAnsi="Arial" w:cs="Arial"/>
          <w:lang w:val="es-ES"/>
        </w:rPr>
        <w:t>ó</w:t>
      </w:r>
      <w:r w:rsidRPr="00D6619A">
        <w:rPr>
          <w:rFonts w:ascii="Arial" w:eastAsia="Arial" w:hAnsi="Arial" w:cs="Arial"/>
          <w:lang w:val="pl-PL"/>
        </w:rPr>
        <w:t>deł</w:t>
      </w:r>
      <w:proofErr w:type="spellEnd"/>
      <w:r w:rsidRPr="00D6619A">
        <w:rPr>
          <w:rFonts w:ascii="Arial" w:eastAsia="Arial" w:hAnsi="Arial" w:cs="Arial"/>
          <w:lang w:val="pl-PL"/>
        </w:rPr>
        <w:t xml:space="preserve"> energii i wzrost </w:t>
      </w:r>
      <w:proofErr w:type="spellStart"/>
      <w:r w:rsidRPr="00D6619A">
        <w:rPr>
          <w:rFonts w:ascii="Arial" w:eastAsia="Arial" w:hAnsi="Arial" w:cs="Arial"/>
          <w:lang w:val="pl-PL"/>
        </w:rPr>
        <w:t>świadomoś</w:t>
      </w:r>
      <w:proofErr w:type="spellEnd"/>
      <w:r w:rsidRPr="00D6619A">
        <w:rPr>
          <w:rFonts w:ascii="Arial" w:eastAsia="Arial" w:hAnsi="Arial" w:cs="Arial"/>
          <w:lang w:val="it-IT"/>
        </w:rPr>
        <w:t xml:space="preserve">ci </w:t>
      </w:r>
      <w:proofErr w:type="spellStart"/>
      <w:r w:rsidRPr="00D6619A">
        <w:rPr>
          <w:rFonts w:ascii="Arial" w:eastAsia="Arial" w:hAnsi="Arial" w:cs="Arial"/>
          <w:lang w:val="it-IT"/>
        </w:rPr>
        <w:t>spo</w:t>
      </w:r>
      <w:r w:rsidRPr="00D6619A">
        <w:rPr>
          <w:rFonts w:ascii="Arial" w:eastAsia="Arial" w:hAnsi="Arial" w:cs="Arial"/>
          <w:lang w:val="pl-PL"/>
        </w:rPr>
        <w:t>łeczeństwa</w:t>
      </w:r>
      <w:proofErr w:type="spellEnd"/>
      <w:r w:rsidRPr="00D6619A">
        <w:rPr>
          <w:rFonts w:ascii="Arial" w:eastAsia="Arial" w:hAnsi="Arial" w:cs="Arial"/>
          <w:lang w:val="pl-PL"/>
        </w:rPr>
        <w:t xml:space="preserve"> w zakresie postaw proekologicznych.</w:t>
      </w:r>
    </w:p>
    <w:p w14:paraId="64867235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477394A1" w14:textId="4995DDA1" w:rsidR="00DA4937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  <w:r w:rsidRPr="00D6619A">
        <w:rPr>
          <w:rFonts w:ascii="Arial" w:eastAsia="Arial" w:hAnsi="Arial" w:cs="Arial"/>
          <w:b/>
          <w:lang w:val="pl-PL"/>
        </w:rPr>
        <w:t>Bytomskie Przedsiębiorstwo Komunalne</w:t>
      </w:r>
      <w:r w:rsidRPr="00D6619A">
        <w:rPr>
          <w:rFonts w:ascii="Arial" w:eastAsia="Arial" w:hAnsi="Arial" w:cs="Arial"/>
          <w:lang w:val="pl-PL"/>
        </w:rPr>
        <w:t xml:space="preserve"> przystąpiło r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r w:rsidRPr="00D6619A">
        <w:rPr>
          <w:rFonts w:ascii="Arial" w:eastAsia="Arial" w:hAnsi="Arial" w:cs="Arial"/>
          <w:lang w:val="pl-PL"/>
        </w:rPr>
        <w:t>wnież</w:t>
      </w:r>
      <w:proofErr w:type="spellEnd"/>
      <w:r w:rsidRPr="00D6619A">
        <w:rPr>
          <w:rFonts w:ascii="Arial" w:eastAsia="Arial" w:hAnsi="Arial" w:cs="Arial"/>
          <w:lang w:val="pl-PL"/>
        </w:rPr>
        <w:t xml:space="preserve"> do inicjatywy 3W, wnosząc swoje doświadczenie w zakresie gospodarki wodno-ściekowej. Prowadzi działalność w zakresie zbiorowego zaopatrzenia w wodę i zbiorowego odprowadzania ściek</w:t>
      </w:r>
      <w:proofErr w:type="spellStart"/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 xml:space="preserve">w. Działalność Spółki ma strategiczne znaczenie dla funkcjonowania gminy Bytom i jej </w:t>
      </w:r>
      <w:proofErr w:type="spellStart"/>
      <w:r w:rsidRPr="00D6619A">
        <w:rPr>
          <w:rFonts w:ascii="Arial" w:eastAsia="Arial" w:hAnsi="Arial" w:cs="Arial"/>
          <w:lang w:val="pl-PL"/>
        </w:rPr>
        <w:t>mieszkańc</w:t>
      </w:r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 xml:space="preserve">w. Spółka stosuje ekologiczne rozwiązania wykorzystuje energię odnawialną, dba o stosowanie energooszczędnych urządzeń oraz o racjonalne wykorzystanie </w:t>
      </w:r>
      <w:proofErr w:type="spellStart"/>
      <w:r w:rsidRPr="00D6619A">
        <w:rPr>
          <w:rFonts w:ascii="Arial" w:eastAsia="Arial" w:hAnsi="Arial" w:cs="Arial"/>
          <w:lang w:val="pl-PL"/>
        </w:rPr>
        <w:t>zasob</w:t>
      </w:r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>w wodnych.</w:t>
      </w:r>
    </w:p>
    <w:p w14:paraId="2F251E64" w14:textId="77777777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3819C17A" w14:textId="349169D5" w:rsidR="00DA4937" w:rsidRPr="00D6619A" w:rsidRDefault="00DA4937" w:rsidP="00DA4937">
      <w:pPr>
        <w:pStyle w:val="Tre"/>
        <w:spacing w:line="276" w:lineRule="auto"/>
        <w:jc w:val="both"/>
        <w:rPr>
          <w:rFonts w:ascii="Arial" w:eastAsia="Arial" w:hAnsi="Arial" w:cs="Arial"/>
          <w:lang w:val="pl-PL"/>
        </w:rPr>
      </w:pPr>
      <w:r w:rsidRPr="00D6619A">
        <w:rPr>
          <w:rFonts w:ascii="Arial" w:eastAsia="Arial" w:hAnsi="Arial" w:cs="Arial"/>
          <w:lang w:val="pl-PL"/>
        </w:rPr>
        <w:t xml:space="preserve">Wszystkie nowe organizacje partnerskie inicjatywy 3W, </w:t>
      </w:r>
      <w:proofErr w:type="spellStart"/>
      <w:r w:rsidRPr="00D6619A">
        <w:rPr>
          <w:rFonts w:ascii="Arial" w:eastAsia="Arial" w:hAnsi="Arial" w:cs="Arial"/>
          <w:lang w:val="pl-PL"/>
        </w:rPr>
        <w:t>wsp</w:t>
      </w:r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 xml:space="preserve">lnie z BGK, będą rozwijać ideę 3W i inicjować projekty eksperckie. Ich zaangażowanie przyczyni się do dalszego wzrostu ekosystemu biznesowego 3W, promując nowoczesne technologie, </w:t>
      </w:r>
      <w:proofErr w:type="spellStart"/>
      <w:r w:rsidRPr="00D6619A">
        <w:rPr>
          <w:rFonts w:ascii="Arial" w:eastAsia="Arial" w:hAnsi="Arial" w:cs="Arial"/>
          <w:lang w:val="pl-PL"/>
        </w:rPr>
        <w:t>zr</w:t>
      </w:r>
      <w:r w:rsidRPr="00D6619A">
        <w:rPr>
          <w:rFonts w:ascii="Arial" w:eastAsia="Arial" w:hAnsi="Arial" w:cs="Arial"/>
          <w:lang w:val="es-ES"/>
        </w:rPr>
        <w:t>ó</w:t>
      </w:r>
      <w:r w:rsidRPr="00D6619A">
        <w:rPr>
          <w:rFonts w:ascii="Arial" w:eastAsia="Arial" w:hAnsi="Arial" w:cs="Arial"/>
          <w:lang w:val="pl-PL"/>
        </w:rPr>
        <w:t>wnoważony</w:t>
      </w:r>
      <w:proofErr w:type="spellEnd"/>
      <w:r w:rsidRPr="00D6619A">
        <w:rPr>
          <w:rFonts w:ascii="Arial" w:eastAsia="Arial" w:hAnsi="Arial" w:cs="Arial"/>
          <w:lang w:val="pl-PL"/>
        </w:rPr>
        <w:t xml:space="preserve"> </w:t>
      </w:r>
      <w:proofErr w:type="spellStart"/>
      <w:r w:rsidRPr="00D6619A">
        <w:rPr>
          <w:rFonts w:ascii="Arial" w:eastAsia="Arial" w:hAnsi="Arial" w:cs="Arial"/>
          <w:lang w:val="pl-PL"/>
        </w:rPr>
        <w:t>rozw</w:t>
      </w:r>
      <w:r w:rsidRPr="00D6619A">
        <w:rPr>
          <w:rFonts w:ascii="Arial" w:eastAsia="Arial" w:hAnsi="Arial" w:cs="Arial"/>
          <w:lang w:val="es-ES"/>
        </w:rPr>
        <w:t>ó</w:t>
      </w:r>
      <w:proofErr w:type="spellEnd"/>
      <w:r w:rsidRPr="00D6619A">
        <w:rPr>
          <w:rFonts w:ascii="Arial" w:eastAsia="Arial" w:hAnsi="Arial" w:cs="Arial"/>
          <w:lang w:val="pl-PL"/>
        </w:rPr>
        <w:t>j i</w:t>
      </w:r>
      <w:r>
        <w:rPr>
          <w:rFonts w:ascii="Arial" w:eastAsia="Arial" w:hAnsi="Arial" w:cs="Arial"/>
          <w:lang w:val="pl-PL"/>
        </w:rPr>
        <w:t> </w:t>
      </w:r>
      <w:r w:rsidRPr="00D6619A">
        <w:rPr>
          <w:rFonts w:ascii="Arial" w:eastAsia="Arial" w:hAnsi="Arial" w:cs="Arial"/>
          <w:lang w:val="pl-PL"/>
        </w:rPr>
        <w:t>efektywne zarządzanie zasobami.</w:t>
      </w:r>
    </w:p>
    <w:p w14:paraId="32B10A27" w14:textId="77777777" w:rsidR="00D35530" w:rsidRPr="00DA4937" w:rsidRDefault="00D35530" w:rsidP="00DA4937">
      <w:pPr>
        <w:spacing w:line="276" w:lineRule="auto"/>
      </w:pPr>
    </w:p>
    <w:sectPr w:rsidR="00D35530" w:rsidRPr="00DA4937" w:rsidSect="002E6C6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E077" w14:textId="77777777" w:rsidR="00BA0FF6" w:rsidRDefault="00BA0FF6" w:rsidP="00F5458B">
      <w:pPr>
        <w:spacing w:after="0" w:line="240" w:lineRule="auto"/>
      </w:pPr>
      <w:r>
        <w:separator/>
      </w:r>
    </w:p>
  </w:endnote>
  <w:endnote w:type="continuationSeparator" w:id="0">
    <w:p w14:paraId="5EC190BA" w14:textId="77777777" w:rsidR="00BA0FF6" w:rsidRDefault="00BA0FF6" w:rsidP="00F5458B">
      <w:pPr>
        <w:spacing w:after="0" w:line="240" w:lineRule="auto"/>
      </w:pPr>
      <w:r>
        <w:continuationSeparator/>
      </w:r>
    </w:p>
  </w:endnote>
  <w:endnote w:type="continuationNotice" w:id="1">
    <w:p w14:paraId="44345576" w14:textId="77777777" w:rsidR="00BA0FF6" w:rsidRDefault="00BA0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ADF0" w14:textId="77777777" w:rsidR="00BA0FF6" w:rsidRDefault="00BA0FF6" w:rsidP="00F5458B">
      <w:pPr>
        <w:spacing w:after="0" w:line="240" w:lineRule="auto"/>
      </w:pPr>
      <w:r>
        <w:separator/>
      </w:r>
    </w:p>
  </w:footnote>
  <w:footnote w:type="continuationSeparator" w:id="0">
    <w:p w14:paraId="70E8A546" w14:textId="77777777" w:rsidR="00BA0FF6" w:rsidRDefault="00BA0FF6" w:rsidP="00F5458B">
      <w:pPr>
        <w:spacing w:after="0" w:line="240" w:lineRule="auto"/>
      </w:pPr>
      <w:r>
        <w:continuationSeparator/>
      </w:r>
    </w:p>
  </w:footnote>
  <w:footnote w:type="continuationNotice" w:id="1">
    <w:p w14:paraId="70B385AC" w14:textId="77777777" w:rsidR="00BA0FF6" w:rsidRDefault="00BA0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C16C" w14:textId="2C52FF22" w:rsidR="006A511E" w:rsidRDefault="006A511E" w:rsidP="00F5458B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7E608BA" wp14:editId="071279FF">
          <wp:simplePos x="0" y="0"/>
          <wp:positionH relativeFrom="page">
            <wp:align>left</wp:align>
          </wp:positionH>
          <wp:positionV relativeFrom="paragraph">
            <wp:posOffset>-448534</wp:posOffset>
          </wp:positionV>
          <wp:extent cx="7562215" cy="1068832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w tło2_Obszar roboczy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B909D" w14:textId="4AA162AA" w:rsidR="006A511E" w:rsidRDefault="006A511E" w:rsidP="00F5458B">
    <w:pPr>
      <w:pStyle w:val="Nagwek"/>
      <w:jc w:val="center"/>
    </w:pPr>
  </w:p>
  <w:p w14:paraId="25110635" w14:textId="5F264A0E" w:rsidR="006A511E" w:rsidRDefault="006A511E" w:rsidP="00F5458B">
    <w:pPr>
      <w:pStyle w:val="Nagwek"/>
      <w:jc w:val="center"/>
    </w:pPr>
  </w:p>
  <w:p w14:paraId="28253D99" w14:textId="77777777" w:rsidR="006A511E" w:rsidRDefault="006A511E" w:rsidP="00F5458B">
    <w:pPr>
      <w:pStyle w:val="Nagwek"/>
      <w:jc w:val="center"/>
    </w:pPr>
  </w:p>
  <w:p w14:paraId="4AF5278A" w14:textId="77777777" w:rsidR="006A511E" w:rsidRDefault="006A511E" w:rsidP="00F5458B">
    <w:pPr>
      <w:pStyle w:val="Nagwek"/>
      <w:jc w:val="center"/>
    </w:pPr>
  </w:p>
  <w:p w14:paraId="60777A39" w14:textId="77777777" w:rsidR="006A511E" w:rsidRDefault="006A511E" w:rsidP="00F5458B">
    <w:pPr>
      <w:pStyle w:val="Nagwek"/>
      <w:jc w:val="center"/>
    </w:pPr>
  </w:p>
  <w:p w14:paraId="44D50163" w14:textId="73C7C204" w:rsidR="00F5458B" w:rsidRDefault="00F5458B" w:rsidP="00F545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0238"/>
    <w:multiLevelType w:val="hybridMultilevel"/>
    <w:tmpl w:val="E2462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95F54"/>
    <w:multiLevelType w:val="hybridMultilevel"/>
    <w:tmpl w:val="CED2E74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54114FD5"/>
    <w:multiLevelType w:val="hybridMultilevel"/>
    <w:tmpl w:val="63A4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17069"/>
    <w:multiLevelType w:val="hybridMultilevel"/>
    <w:tmpl w:val="58CAC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959568">
    <w:abstractNumId w:val="2"/>
  </w:num>
  <w:num w:numId="2" w16cid:durableId="1936933674">
    <w:abstractNumId w:val="3"/>
  </w:num>
  <w:num w:numId="3" w16cid:durableId="1240793115">
    <w:abstractNumId w:val="1"/>
  </w:num>
  <w:num w:numId="4" w16cid:durableId="123523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6B"/>
    <w:rsid w:val="000640DB"/>
    <w:rsid w:val="000A3058"/>
    <w:rsid w:val="000E6A3F"/>
    <w:rsid w:val="00121A93"/>
    <w:rsid w:val="00140DEB"/>
    <w:rsid w:val="00180563"/>
    <w:rsid w:val="00236857"/>
    <w:rsid w:val="002429E2"/>
    <w:rsid w:val="002701B5"/>
    <w:rsid w:val="00287FA3"/>
    <w:rsid w:val="002E6C6B"/>
    <w:rsid w:val="00325C47"/>
    <w:rsid w:val="003313BF"/>
    <w:rsid w:val="003336E4"/>
    <w:rsid w:val="00337995"/>
    <w:rsid w:val="003519FC"/>
    <w:rsid w:val="00365446"/>
    <w:rsid w:val="003B666B"/>
    <w:rsid w:val="003D74E6"/>
    <w:rsid w:val="003F6023"/>
    <w:rsid w:val="00411858"/>
    <w:rsid w:val="004A2530"/>
    <w:rsid w:val="004B02D2"/>
    <w:rsid w:val="004B04E1"/>
    <w:rsid w:val="004C2162"/>
    <w:rsid w:val="004C7535"/>
    <w:rsid w:val="00515255"/>
    <w:rsid w:val="005627B7"/>
    <w:rsid w:val="00567779"/>
    <w:rsid w:val="00580711"/>
    <w:rsid w:val="00590153"/>
    <w:rsid w:val="0062091C"/>
    <w:rsid w:val="00662577"/>
    <w:rsid w:val="006906F8"/>
    <w:rsid w:val="00693FF2"/>
    <w:rsid w:val="00696143"/>
    <w:rsid w:val="006975A6"/>
    <w:rsid w:val="006A511E"/>
    <w:rsid w:val="006E32F0"/>
    <w:rsid w:val="00700720"/>
    <w:rsid w:val="007263D1"/>
    <w:rsid w:val="00733A4E"/>
    <w:rsid w:val="00756198"/>
    <w:rsid w:val="00790A44"/>
    <w:rsid w:val="007B72DF"/>
    <w:rsid w:val="007C0981"/>
    <w:rsid w:val="007C12FB"/>
    <w:rsid w:val="007D658E"/>
    <w:rsid w:val="0081192A"/>
    <w:rsid w:val="00864B7F"/>
    <w:rsid w:val="00872918"/>
    <w:rsid w:val="008C5C54"/>
    <w:rsid w:val="008E4084"/>
    <w:rsid w:val="00913E53"/>
    <w:rsid w:val="009375E4"/>
    <w:rsid w:val="009928A4"/>
    <w:rsid w:val="00A11C5D"/>
    <w:rsid w:val="00A4099F"/>
    <w:rsid w:val="00A719D8"/>
    <w:rsid w:val="00A9130A"/>
    <w:rsid w:val="00B02155"/>
    <w:rsid w:val="00B13E8C"/>
    <w:rsid w:val="00B251DD"/>
    <w:rsid w:val="00B550E7"/>
    <w:rsid w:val="00BA0FF6"/>
    <w:rsid w:val="00BD42D3"/>
    <w:rsid w:val="00BD77C0"/>
    <w:rsid w:val="00C04673"/>
    <w:rsid w:val="00C75C5D"/>
    <w:rsid w:val="00CB2FFF"/>
    <w:rsid w:val="00D03529"/>
    <w:rsid w:val="00D3390E"/>
    <w:rsid w:val="00D35530"/>
    <w:rsid w:val="00D634EA"/>
    <w:rsid w:val="00DA4937"/>
    <w:rsid w:val="00E460FA"/>
    <w:rsid w:val="00E64EC4"/>
    <w:rsid w:val="00E677D9"/>
    <w:rsid w:val="00EE20B9"/>
    <w:rsid w:val="00F104EE"/>
    <w:rsid w:val="00F316D0"/>
    <w:rsid w:val="00F4315E"/>
    <w:rsid w:val="00F5458B"/>
    <w:rsid w:val="00F560BF"/>
    <w:rsid w:val="00F907EE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C42EC"/>
  <w15:chartTrackingRefBased/>
  <w15:docId w15:val="{F40457ED-D695-4ECC-B877-BD550A4D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6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58B"/>
  </w:style>
  <w:style w:type="paragraph" w:styleId="Stopka">
    <w:name w:val="footer"/>
    <w:basedOn w:val="Normalny"/>
    <w:link w:val="StopkaZnak"/>
    <w:uiPriority w:val="99"/>
    <w:unhideWhenUsed/>
    <w:rsid w:val="00F5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58B"/>
  </w:style>
  <w:style w:type="character" w:customStyle="1" w:styleId="normaltextrun">
    <w:name w:val="normaltextrun"/>
    <w:basedOn w:val="Domylnaczcionkaakapitu"/>
    <w:rsid w:val="006A511E"/>
  </w:style>
  <w:style w:type="paragraph" w:styleId="Akapitzlist">
    <w:name w:val="List Paragraph"/>
    <w:basedOn w:val="Normalny"/>
    <w:uiPriority w:val="34"/>
    <w:qFormat/>
    <w:rsid w:val="00365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530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35530"/>
  </w:style>
  <w:style w:type="character" w:customStyle="1" w:styleId="s6">
    <w:name w:val="s6"/>
    <w:basedOn w:val="Domylnaczcionkaakapitu"/>
    <w:rsid w:val="00D35530"/>
  </w:style>
  <w:style w:type="paragraph" w:customStyle="1" w:styleId="s31">
    <w:name w:val="s31"/>
    <w:basedOn w:val="Normalny"/>
    <w:rsid w:val="00D3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553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omylne">
    <w:name w:val="Domyślne"/>
    <w:rsid w:val="00DA493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DA49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49595D674A44FB18818270649F86E" ma:contentTypeVersion="14" ma:contentTypeDescription="Utwórz nowy dokument." ma:contentTypeScope="" ma:versionID="8e6f96a46071d8edb8d19a0ba88d0bdc">
  <xsd:schema xmlns:xsd="http://www.w3.org/2001/XMLSchema" xmlns:xs="http://www.w3.org/2001/XMLSchema" xmlns:p="http://schemas.microsoft.com/office/2006/metadata/properties" xmlns:ns2="b8286f09-69a5-403c-8b00-516b50c29b80" xmlns:ns3="2f861136-3050-4726-a48d-fa6654e43b16" targetNamespace="http://schemas.microsoft.com/office/2006/metadata/properties" ma:root="true" ma:fieldsID="2579d2c5ed78b9f8ea2d071f6edc721e" ns2:_="" ns3:_="">
    <xsd:import namespace="b8286f09-69a5-403c-8b00-516b50c29b80"/>
    <xsd:import namespace="2f861136-3050-4726-a48d-fa6654e43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6f09-69a5-403c-8b00-516b50c2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1136-3050-4726-a48d-fa6654e4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063CB-B960-4303-A0FC-8D1BB17AD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18BE9-E2D5-4F8F-9AC9-D1286F4BE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86f09-69a5-403c-8b00-516b50c29b80"/>
    <ds:schemaRef ds:uri="2f861136-3050-4726-a48d-fa6654e43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02378-2101-4B23-826E-05E70B797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Bogdańska</dc:creator>
  <cp:keywords/>
  <dc:description/>
  <cp:lastModifiedBy>Marta Adamska</cp:lastModifiedBy>
  <cp:revision>2</cp:revision>
  <dcterms:created xsi:type="dcterms:W3CDTF">2023-07-12T14:57:00Z</dcterms:created>
  <dcterms:modified xsi:type="dcterms:W3CDTF">2023-07-12T14:57:00Z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0x01010053349595D674A44FB18818270649F86E</vt:lpwstr>
  </property>
  <property fmtid="{D5CDD505-2E9C-101B-9397-08002B2CF9AE}" pid="3" name="MSIP_Label_c668bcff-e2d1-47e2-adc1-b3354af02961_Enabled">
    <vt:lpwstr>true</vt:lpwstr>
  </property>
  <property fmtid="{D5CDD505-2E9C-101B-9397-08002B2CF9AE}" pid="4" name="MSIP_Label_c668bcff-e2d1-47e2-adc1-b3354af02961_SetDate">
    <vt:lpwstr>2022-07-15T10:50:10Z</vt:lpwstr>
  </property>
  <property fmtid="{D5CDD505-2E9C-101B-9397-08002B2CF9AE}" pid="5" name="MSIP_Label_c668bcff-e2d1-47e2-adc1-b3354af02961_Method">
    <vt:lpwstr>Privileged</vt:lpwstr>
  </property>
  <property fmtid="{D5CDD505-2E9C-101B-9397-08002B2CF9AE}" pid="6" name="MSIP_Label_c668bcff-e2d1-47e2-adc1-b3354af02961_Name">
    <vt:lpwstr>c668bcff-e2d1-47e2-adc1-b3354af02961</vt:lpwstr>
  </property>
  <property fmtid="{D5CDD505-2E9C-101B-9397-08002B2CF9AE}" pid="7" name="MSIP_Label_c668bcff-e2d1-47e2-adc1-b3354af02961_SiteId">
    <vt:lpwstr>29bb5b9c-200a-4906-89ef-c651c86ab301</vt:lpwstr>
  </property>
  <property fmtid="{D5CDD505-2E9C-101B-9397-08002B2CF9AE}" pid="8" name="MSIP_Label_c668bcff-e2d1-47e2-adc1-b3354af02961_ActionId">
    <vt:lpwstr>58d6a898-0ced-48e5-b022-6b350ebf2f0c</vt:lpwstr>
  </property>
  <property fmtid="{D5CDD505-2E9C-101B-9397-08002B2CF9AE}" pid="9" name="MSIP_Label_c668bcff-e2d1-47e2-adc1-b3354af02961_ContentBits">
    <vt:lpwstr>0</vt:lpwstr>
  </property>
</Properties>
</file>