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0047AFBE" w:rsidR="00D824D3" w:rsidRPr="00224D91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DA12A6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224D91" w:rsidRPr="00224D91">
        <w:rPr>
          <w:rFonts w:ascii="Tahoma" w:eastAsia="Tahoma" w:hAnsi="Tahoma" w:cs="Tahoma"/>
          <w:color w:val="808080"/>
          <w:sz w:val="20"/>
          <w:szCs w:val="20"/>
        </w:rPr>
        <w:t>26 lipca</w:t>
      </w:r>
      <w:r w:rsidR="00D46F70" w:rsidRPr="00224D91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 w:rsidRPr="00224D91">
        <w:rPr>
          <w:rFonts w:ascii="Tahoma" w:eastAsia="Tahoma" w:hAnsi="Tahoma" w:cs="Tahoma"/>
          <w:color w:val="808080"/>
          <w:sz w:val="20"/>
          <w:szCs w:val="20"/>
        </w:rPr>
        <w:t>202</w:t>
      </w:r>
      <w:r w:rsidR="00FC43CA" w:rsidRPr="00224D91">
        <w:rPr>
          <w:rFonts w:ascii="Tahoma" w:eastAsia="Tahoma" w:hAnsi="Tahoma" w:cs="Tahoma"/>
          <w:color w:val="808080"/>
          <w:sz w:val="20"/>
          <w:szCs w:val="20"/>
        </w:rPr>
        <w:t>3</w:t>
      </w:r>
      <w:r w:rsidR="00B63B5B" w:rsidRPr="00224D91">
        <w:rPr>
          <w:rFonts w:ascii="Tahoma" w:eastAsia="Tahoma" w:hAnsi="Tahoma" w:cs="Tahoma"/>
          <w:color w:val="808080"/>
          <w:sz w:val="20"/>
          <w:szCs w:val="20"/>
        </w:rPr>
        <w:t xml:space="preserve"> r.</w:t>
      </w:r>
    </w:p>
    <w:p w14:paraId="09B71CDC" w14:textId="77D19649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2D5C56E0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253"/>
        <w:gridCol w:w="3024"/>
      </w:tblGrid>
      <w:tr w:rsidR="00D824D3" w:rsidRPr="00775CAB" w14:paraId="18FE4A91" w14:textId="77777777" w:rsidTr="00EA1E5B">
        <w:tc>
          <w:tcPr>
            <w:tcW w:w="7253" w:type="dxa"/>
          </w:tcPr>
          <w:p w14:paraId="50DAD41A" w14:textId="5A044020" w:rsidR="00D824D3" w:rsidRPr="00C02D68" w:rsidRDefault="00F65CEF">
            <w:pPr>
              <w:spacing w:line="360" w:lineRule="auto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  <w:r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#</w:t>
            </w:r>
            <w:r w:rsidR="00775CAB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wynikifinansowe</w:t>
            </w:r>
            <w:r w:rsidR="004E7219" w:rsidRPr="00C02D68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 xml:space="preserve"> </w:t>
            </w:r>
          </w:p>
          <w:p w14:paraId="7607BB6A" w14:textId="77777777" w:rsidR="00D824D3" w:rsidRPr="00C02D68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</w:p>
          <w:p w14:paraId="4A1154D9" w14:textId="77777777" w:rsidR="00224D91" w:rsidRPr="00C02D68" w:rsidRDefault="00224D91" w:rsidP="0022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Komentarz prezesa Zarządu Budimeksu SA</w:t>
            </w:r>
          </w:p>
          <w:p w14:paraId="15F0EE83" w14:textId="77777777" w:rsidR="00224D91" w:rsidRPr="00C02D68" w:rsidRDefault="00224D91" w:rsidP="0022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C02D68">
              <w:rPr>
                <w:rFonts w:ascii="Tahoma" w:eastAsia="Tahoma" w:hAnsi="Tahoma" w:cs="Tahoma"/>
                <w:b/>
                <w:color w:val="7F7F7F" w:themeColor="text1" w:themeTint="80"/>
              </w:rPr>
              <w:t>Artura Popko</w:t>
            </w:r>
          </w:p>
          <w:p w14:paraId="1F08E350" w14:textId="527EFF1C" w:rsidR="009A2A41" w:rsidRPr="00D51FBF" w:rsidRDefault="00224D91" w:rsidP="00224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  <w:r w:rsidRPr="00D51FBF">
              <w:rPr>
                <w:rFonts w:ascii="Tahoma" w:eastAsia="Tahoma" w:hAnsi="Tahoma" w:cs="Tahoma"/>
                <w:b/>
                <w:color w:val="FFC000"/>
              </w:rPr>
              <w:t>do danych finansowych</w:t>
            </w:r>
            <w:r>
              <w:rPr>
                <w:rFonts w:ascii="Tahoma" w:eastAsia="Tahoma" w:hAnsi="Tahoma" w:cs="Tahoma"/>
                <w:b/>
                <w:color w:val="FFC000"/>
              </w:rPr>
              <w:t xml:space="preserve"> </w:t>
            </w:r>
            <w:r w:rsidRPr="00D51FBF">
              <w:rPr>
                <w:rFonts w:ascii="Tahoma" w:eastAsia="Tahoma" w:hAnsi="Tahoma" w:cs="Tahoma"/>
                <w:b/>
                <w:color w:val="FFC000"/>
              </w:rPr>
              <w:t xml:space="preserve">Grupy Budimex </w:t>
            </w:r>
            <w:r>
              <w:rPr>
                <w:rFonts w:ascii="Tahoma" w:eastAsia="Tahoma" w:hAnsi="Tahoma" w:cs="Tahoma"/>
                <w:b/>
                <w:color w:val="FFC000"/>
              </w:rPr>
              <w:br/>
            </w:r>
            <w:r w:rsidRPr="00D51FBF">
              <w:rPr>
                <w:rFonts w:ascii="Tahoma" w:eastAsia="Tahoma" w:hAnsi="Tahoma" w:cs="Tahoma"/>
                <w:b/>
                <w:color w:val="FFC000"/>
              </w:rPr>
              <w:t xml:space="preserve">za </w:t>
            </w:r>
            <w:r w:rsidR="000B2C44">
              <w:rPr>
                <w:rFonts w:ascii="Tahoma" w:eastAsia="Tahoma" w:hAnsi="Tahoma" w:cs="Tahoma"/>
                <w:b/>
                <w:color w:val="FFC000"/>
              </w:rPr>
              <w:t>pierwsze</w:t>
            </w:r>
            <w:r>
              <w:rPr>
                <w:rFonts w:ascii="Tahoma" w:eastAsia="Tahoma" w:hAnsi="Tahoma" w:cs="Tahoma"/>
                <w:b/>
                <w:color w:val="FFC000"/>
              </w:rPr>
              <w:t xml:space="preserve"> półrocze</w:t>
            </w:r>
            <w:r w:rsidR="009A2A41">
              <w:rPr>
                <w:rFonts w:ascii="Tahoma" w:eastAsia="Tahoma" w:hAnsi="Tahoma" w:cs="Tahoma"/>
                <w:b/>
                <w:color w:val="FFC000"/>
              </w:rPr>
              <w:t xml:space="preserve"> 202</w:t>
            </w:r>
            <w:r w:rsidR="00FC43CA">
              <w:rPr>
                <w:rFonts w:ascii="Tahoma" w:eastAsia="Tahoma" w:hAnsi="Tahoma" w:cs="Tahoma"/>
                <w:b/>
                <w:color w:val="FFC000"/>
              </w:rPr>
              <w:t>3</w:t>
            </w:r>
            <w:r w:rsidR="009A2A41">
              <w:rPr>
                <w:rFonts w:ascii="Tahoma" w:eastAsia="Tahoma" w:hAnsi="Tahoma" w:cs="Tahoma"/>
                <w:b/>
                <w:color w:val="FFC000"/>
              </w:rPr>
              <w:t xml:space="preserve"> roku</w:t>
            </w:r>
          </w:p>
          <w:p w14:paraId="2D0A5BC2" w14:textId="77777777" w:rsidR="00A9414D" w:rsidRPr="00B84905" w:rsidRDefault="00A9414D" w:rsidP="00B8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6075F24" w14:textId="59C10399" w:rsidR="009A2A41" w:rsidRPr="00842EA5" w:rsidRDefault="009A2A41" w:rsidP="009A2A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 1 </w:t>
            </w:r>
            <w:r w:rsidR="00842EA5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</w:t>
            </w:r>
            <w:r w:rsidR="00842EA5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ółroczu</w:t>
            </w:r>
            <w:r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202</w:t>
            </w:r>
            <w:r w:rsidR="00FC43CA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3</w:t>
            </w:r>
            <w:r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 przychody ze sprzedaży Grupy Budimex wyniosły </w:t>
            </w:r>
            <w:r w:rsidR="00842EA5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4 </w:t>
            </w:r>
            <w:r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 </w:t>
            </w:r>
            <w:r w:rsidR="00842EA5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318</w:t>
            </w:r>
            <w:r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milionów złotych (</w:t>
            </w:r>
            <w:r w:rsidR="000C0857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+</w:t>
            </w:r>
            <w:r w:rsidR="00842EA5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8</w:t>
            </w:r>
            <w:r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 r/r)</w:t>
            </w:r>
            <w:r w:rsidR="00BD0F23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a zysk netto</w:t>
            </w:r>
            <w:r w:rsidR="0069685B">
              <w:rPr>
                <w:rStyle w:val="Odwoanieprzypisudolnego"/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footnoteReference w:id="1"/>
            </w:r>
            <w:r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osiągnął poziom </w:t>
            </w:r>
            <w:r w:rsidR="00842EA5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275</w:t>
            </w:r>
            <w:r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milionów złotych</w:t>
            </w:r>
            <w:r w:rsidR="00664FA5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co stanowi wzrost o </w:t>
            </w:r>
            <w:r w:rsidR="00842EA5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73</w:t>
            </w:r>
            <w:r w:rsidR="00664FA5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</w:t>
            </w:r>
            <w:r w:rsidR="00842EA5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y</w:t>
            </w:r>
            <w:r w:rsidR="00664FA5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złotych (+</w:t>
            </w:r>
            <w:r w:rsidR="00842EA5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36,5</w:t>
            </w:r>
            <w:r w:rsidR="00664FA5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%)</w:t>
            </w:r>
            <w:r w:rsidR="00F243DA" w:rsidRPr="00842EA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</w:p>
          <w:p w14:paraId="0FA5051D" w14:textId="09CD9A83" w:rsidR="000C0857" w:rsidRPr="00F33731" w:rsidRDefault="009A2A41" w:rsidP="000C08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</w:t>
            </w:r>
            <w:r w:rsidR="000C0857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operacyjna</w:t>
            </w:r>
            <w:r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Grupy </w:t>
            </w:r>
            <w:r w:rsidR="006670FF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poprawiła się </w:t>
            </w:r>
            <w:r w:rsidR="000C0857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 </w:t>
            </w:r>
            <w:r w:rsidR="006670FF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porównaniu do </w:t>
            </w:r>
            <w:r w:rsidR="000C0857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analogiczn</w:t>
            </w:r>
            <w:r w:rsidR="006670FF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ego</w:t>
            </w:r>
            <w:r w:rsidR="000C0857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okres</w:t>
            </w:r>
            <w:r w:rsidR="006670FF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u</w:t>
            </w:r>
            <w:r w:rsidR="000C0857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 poprzedniego i</w:t>
            </w:r>
            <w:r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osiągnęła poziom </w:t>
            </w:r>
            <w:r w:rsidR="00F33731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6</w:t>
            </w:r>
            <w:r w:rsidR="006670FF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,3% </w:t>
            </w:r>
            <w:r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(w</w:t>
            </w:r>
            <w:r w:rsidR="00F243DA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 </w:t>
            </w:r>
            <w:r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porównaniu do</w:t>
            </w:r>
            <w:r w:rsidR="006670FF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F33731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5,9</w:t>
            </w:r>
            <w:r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w 1 </w:t>
            </w:r>
            <w:r w:rsidR="00951D6E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półroczu</w:t>
            </w:r>
            <w:r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202</w:t>
            </w:r>
            <w:r w:rsidR="006670FF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</w:t>
            </w:r>
            <w:r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roku), przy rentowności segmentu budowlanego wynoszącej </w:t>
            </w:r>
            <w:r w:rsidR="00F33731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5,9</w:t>
            </w:r>
            <w:r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</w:t>
            </w:r>
            <w:r w:rsidR="00F243DA" w:rsidRPr="00F3373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</w:p>
          <w:p w14:paraId="1D88B709" w14:textId="5032A551" w:rsidR="004151F3" w:rsidRPr="0006084D" w:rsidRDefault="00B60995" w:rsidP="009A2A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brutto Grupy wyniosła </w:t>
            </w:r>
            <w:r w:rsidR="0006084D"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8,3</w:t>
            </w:r>
            <w:r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w porównaniu do </w:t>
            </w:r>
            <w:r w:rsidR="0006084D"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6,6</w:t>
            </w:r>
            <w:r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</w:t>
            </w:r>
            <w:r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  <w:t xml:space="preserve">w 1 </w:t>
            </w:r>
            <w:r w:rsidR="00FF6C45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półroczu </w:t>
            </w:r>
            <w:r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202</w:t>
            </w:r>
            <w:r w:rsidR="005525D3"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</w:t>
            </w:r>
            <w:r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</w:t>
            </w:r>
            <w:r w:rsidR="00F243DA" w:rsidRPr="0006084D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</w:p>
          <w:p w14:paraId="1C8C463E" w14:textId="7B53B941" w:rsidR="00577B5C" w:rsidRPr="00577B5C" w:rsidRDefault="008166BC" w:rsidP="00577B5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06084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Portfel </w:t>
            </w:r>
            <w:r w:rsidRPr="00951D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zamówień Grupy Budimex na koniec </w:t>
            </w:r>
            <w:r w:rsidR="0063575A" w:rsidRPr="00951D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czerwca</w:t>
            </w:r>
            <w:r w:rsidRPr="00951D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2023 roku wyniósł 12,</w:t>
            </w:r>
            <w:r w:rsidR="0006084D" w:rsidRPr="00951D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Pr="00951D6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miliarda złotych i zabezpiecza front prac </w:t>
            </w:r>
            <w:r w:rsidR="00577B5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 2025 roku</w:t>
            </w:r>
          </w:p>
          <w:p w14:paraId="51C3085C" w14:textId="290BA86F" w:rsidR="00CE37C5" w:rsidRPr="00CE37C5" w:rsidRDefault="00CE37C5" w:rsidP="00CE37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 czerwca br.</w:t>
            </w:r>
            <w:r w:rsidRPr="00CE37C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została zrealizowana wypłata dywidendy z zysku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Budimeksu S.A. </w:t>
            </w:r>
            <w:r w:rsidRPr="00CE37C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osiągniętego za rok 2022 w wysokości 459 milionów złotych, co stanowi 17,99 zł w przeliczeniu na jedną akcję. </w:t>
            </w:r>
          </w:p>
          <w:p w14:paraId="22B5F062" w14:textId="184E693C" w:rsidR="00775CAB" w:rsidRPr="001D4924" w:rsidRDefault="00775CAB" w:rsidP="007D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  <w:highlight w:val="yellow"/>
              </w:rPr>
            </w:pPr>
          </w:p>
          <w:p w14:paraId="3C9D00EF" w14:textId="77777777" w:rsidR="00C32C83" w:rsidRPr="001D4924" w:rsidRDefault="00C32C8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  <w:highlight w:val="yellow"/>
              </w:rPr>
            </w:pPr>
          </w:p>
          <w:p w14:paraId="428679F8" w14:textId="6AC7A90A" w:rsidR="004C1457" w:rsidRPr="008B5B79" w:rsidRDefault="00031C8A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Bardzo dobra kondycja Grupy umożliwia odpowiedzialną realizację celów</w:t>
            </w:r>
            <w:r w:rsidR="00D90E8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</w:t>
            </w:r>
            <w:r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jakie przed sobą stawiamy. </w:t>
            </w:r>
            <w:r w:rsidR="008B4670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Rentowność operacyjna jak i wynik netto za drugi kwartał </w:t>
            </w:r>
            <w:r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są </w:t>
            </w:r>
            <w:r w:rsidR="008B4670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jeszcze lepsz</w:t>
            </w:r>
            <w:r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e</w:t>
            </w:r>
            <w:r w:rsidR="008B4670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niż w pierwszym kwartale 2023</w:t>
            </w:r>
            <w:r w:rsidR="00D90E88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,</w:t>
            </w:r>
            <w:r w:rsidR="008B4670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stąd </w:t>
            </w:r>
            <w:r w:rsidR="00634ACE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całe p</w:t>
            </w:r>
            <w:r w:rsidR="00FE712E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ierwsz</w:t>
            </w:r>
            <w:r w:rsidR="00634ACE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e</w:t>
            </w:r>
            <w:r w:rsidR="00FE712E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951D6E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półrocze </w:t>
            </w:r>
            <w:r w:rsidR="00FE712E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202</w:t>
            </w:r>
            <w:r w:rsidR="00FC43CA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3</w:t>
            </w:r>
            <w:r w:rsidR="00032F3D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roku</w:t>
            </w:r>
            <w:r w:rsidR="00FC43CA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C12F0F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oceniamy jako bardzo dobr</w:t>
            </w:r>
            <w:r w:rsidR="00951D6E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e</w:t>
            </w:r>
            <w:r w:rsidR="008B4670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. </w:t>
            </w:r>
            <w:r w:rsidR="008B5B79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Kontynuujemy  rozwój na rynkach zagranicznych oraz w</w:t>
            </w:r>
            <w:r w:rsidR="008B4670"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dalszym ciągu wzmacniamy zaangażowanie w OZE </w:t>
            </w:r>
            <w:r w:rsidR="006449A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tak, aby osiągnąć ambitny cel </w:t>
            </w:r>
            <w:r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neutralności klimatycznej</w:t>
            </w:r>
            <w:r w:rsidR="006449AE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 roku 2050</w:t>
            </w:r>
            <w:r w:rsidRPr="008B5B79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.</w:t>
            </w:r>
          </w:p>
          <w:p w14:paraId="61886233" w14:textId="77777777" w:rsidR="00C47A3A" w:rsidRPr="001D4924" w:rsidRDefault="00C47A3A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4F2359A2" w14:textId="09A6F670" w:rsidR="005030B7" w:rsidRPr="001D4924" w:rsidRDefault="00184033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4E381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Grupa Budimex wypracowała zysk operacyjny na poziomie </w:t>
            </w:r>
            <w:r w:rsidR="004E381F" w:rsidRPr="004E381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273</w:t>
            </w:r>
            <w:r w:rsidRPr="004E381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(w</w:t>
            </w:r>
            <w:r w:rsidR="00DF4A77" w:rsidRPr="004E381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4E381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porównaniu do </w:t>
            </w:r>
            <w:r w:rsidR="004E381F" w:rsidRPr="004E381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235</w:t>
            </w:r>
            <w:r w:rsidRPr="004E381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</w:t>
            </w:r>
            <w:r w:rsidR="00A10619" w:rsidRPr="004E381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4E381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pierwszym </w:t>
            </w:r>
            <w:r w:rsidR="00FF77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 w:rsidRPr="004E381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</w:t>
            </w:r>
            <w:r w:rsidR="00084DAA" w:rsidRPr="004E381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Pr="004E381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roku)</w:t>
            </w:r>
            <w:r w:rsidR="004E381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przy czym w pierwszym kwartale bieżącego roku rentowność operacyjna osiągnęła poziom </w:t>
            </w:r>
            <w:r w:rsidR="00FF77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5,3%, a w drugim kwartale 7,2%. </w:t>
            </w:r>
          </w:p>
          <w:p w14:paraId="5A7B81AE" w14:textId="77777777" w:rsidR="00F61211" w:rsidRPr="001D4924" w:rsidRDefault="00F61211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79798558" w14:textId="230FD4FD" w:rsidR="001F6968" w:rsidRDefault="00DF6A22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r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Zysk brutto Grupy Budimex wyniósł </w:t>
            </w:r>
            <w:r w:rsidR="00FF7703"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357</w:t>
            </w:r>
            <w:r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</w:t>
            </w:r>
            <w:r w:rsidR="00FF7703"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ów</w:t>
            </w:r>
            <w:r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 przy rentowności </w:t>
            </w:r>
            <w:r w:rsidR="00FF7703"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8</w:t>
            </w:r>
            <w:r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FF7703"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</w:t>
            </w:r>
            <w:r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</w:t>
            </w:r>
            <w:r w:rsidR="00B31685"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porównaniu do </w:t>
            </w:r>
            <w:r w:rsidR="00FF7703"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6,6</w:t>
            </w:r>
            <w:r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w pierwszym </w:t>
            </w:r>
            <w:r w:rsidR="00E05EDA"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 w:rsidRPr="001F69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 ubiegłego. 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na poziomie zysku brutto wspierana </w:t>
            </w:r>
            <w:r w:rsidR="00B31685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była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przez znaczną poprawę wyniku na działalności finansowej, co jest</w:t>
            </w:r>
            <w:r w:rsidR="0042119F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efektem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wzrostu średniego poziomu oprocentowania środków pieniężnych lokowanych przez Grupę Budimex. </w:t>
            </w:r>
            <w:r w:rsidR="00FD14F3" w:rsidRPr="001D4924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  <w:t xml:space="preserve"> </w:t>
            </w:r>
          </w:p>
          <w:p w14:paraId="5865BFD3" w14:textId="77777777" w:rsidR="0042119F" w:rsidRPr="001D4924" w:rsidRDefault="0042119F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tbl>
            <w:tblPr>
              <w:tblW w:w="70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17"/>
              <w:gridCol w:w="1418"/>
              <w:gridCol w:w="1559"/>
              <w:gridCol w:w="1098"/>
            </w:tblGrid>
            <w:tr w:rsidR="001F6968" w:rsidRPr="001F6968" w14:paraId="6787734D" w14:textId="77777777" w:rsidTr="00F44AEC">
              <w:trPr>
                <w:trHeight w:val="349"/>
              </w:trPr>
              <w:tc>
                <w:tcPr>
                  <w:tcW w:w="3017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45FD72DC" w14:textId="64C74E62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t>Grupa Budimex</w:t>
                  </w: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br/>
                    <w:t>(mln zł)</w:t>
                  </w:r>
                </w:p>
              </w:tc>
              <w:tc>
                <w:tcPr>
                  <w:tcW w:w="407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272C3F5C" w14:textId="77777777" w:rsidR="001F6968" w:rsidRPr="001F6968" w:rsidRDefault="001F6968" w:rsidP="001F69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1F6968" w:rsidRPr="001F6968" w14:paraId="73E655B3" w14:textId="77777777" w:rsidTr="00F44AEC">
              <w:trPr>
                <w:trHeight w:val="540"/>
              </w:trPr>
              <w:tc>
                <w:tcPr>
                  <w:tcW w:w="3017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525F4ABB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2CC2C825" w14:textId="77777777" w:rsidR="001F6968" w:rsidRPr="001F6968" w:rsidRDefault="001F6968" w:rsidP="001F69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000000"/>
                    </w:rPr>
                    <w:t>1 poł. 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4784EF9C" w14:textId="77777777" w:rsidR="001F6968" w:rsidRPr="001F6968" w:rsidRDefault="001F6968" w:rsidP="001F69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000000"/>
                    </w:rPr>
                    <w:t>1 poł. 2022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51E9080A" w14:textId="77777777" w:rsidR="001F6968" w:rsidRPr="001F6968" w:rsidRDefault="001F6968" w:rsidP="001F69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1F6968" w:rsidRPr="001F6968" w14:paraId="56B3FEC3" w14:textId="77777777" w:rsidTr="00F44AEC">
              <w:trPr>
                <w:trHeight w:val="420"/>
              </w:trPr>
              <w:tc>
                <w:tcPr>
                  <w:tcW w:w="3017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672ADB5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587EF85B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4 318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A0AA1B7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3 998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FFC000"/>
                  </w:tcBorders>
                  <w:shd w:val="clear" w:color="000000" w:fill="FFC000"/>
                  <w:noWrap/>
                  <w:vAlign w:val="center"/>
                  <w:hideMark/>
                </w:tcPr>
                <w:p w14:paraId="24EA971D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8,0%</w:t>
                  </w:r>
                </w:p>
              </w:tc>
            </w:tr>
            <w:tr w:rsidR="001F6968" w:rsidRPr="001F6968" w14:paraId="2D39E020" w14:textId="77777777" w:rsidTr="00F44AEC">
              <w:trPr>
                <w:trHeight w:val="420"/>
              </w:trPr>
              <w:tc>
                <w:tcPr>
                  <w:tcW w:w="301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24166C4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2104492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52366F0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235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A30CD1F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16,2%</w:t>
                  </w:r>
                </w:p>
              </w:tc>
            </w:tr>
            <w:tr w:rsidR="001F6968" w:rsidRPr="001F6968" w14:paraId="0A121B04" w14:textId="77777777" w:rsidTr="00F44AEC">
              <w:trPr>
                <w:trHeight w:val="252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057F881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9E52E46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6,3%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82D233A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5,9%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6AD1BD9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0,4% pp.</w:t>
                  </w:r>
                </w:p>
              </w:tc>
            </w:tr>
            <w:tr w:rsidR="001F6968" w:rsidRPr="001F6968" w14:paraId="552B7989" w14:textId="77777777" w:rsidTr="00F44AEC">
              <w:trPr>
                <w:trHeight w:val="420"/>
              </w:trPr>
              <w:tc>
                <w:tcPr>
                  <w:tcW w:w="301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3A3315B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6A96625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357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BC07D79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262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29A513D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36,1%</w:t>
                  </w:r>
                </w:p>
              </w:tc>
            </w:tr>
            <w:tr w:rsidR="001F6968" w:rsidRPr="001F6968" w14:paraId="1EE721BF" w14:textId="77777777" w:rsidTr="00F44AEC">
              <w:trPr>
                <w:trHeight w:val="252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FE25794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946CEAA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8,3%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C731A04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6,6%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6B9BF28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1,7% pp.</w:t>
                  </w:r>
                </w:p>
              </w:tc>
            </w:tr>
            <w:tr w:rsidR="001F6968" w:rsidRPr="001F6968" w14:paraId="09FC4DF4" w14:textId="77777777" w:rsidTr="00F44AEC">
              <w:trPr>
                <w:trHeight w:val="525"/>
              </w:trPr>
              <w:tc>
                <w:tcPr>
                  <w:tcW w:w="301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2406696A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netto*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506D6DC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26D771D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201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C7F4810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36,5%</w:t>
                  </w:r>
                </w:p>
              </w:tc>
            </w:tr>
            <w:tr w:rsidR="001F6968" w:rsidRPr="001F6968" w14:paraId="51A4E9B3" w14:textId="77777777" w:rsidTr="00F44AEC">
              <w:trPr>
                <w:trHeight w:val="252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F474FB3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DC9597F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6,4%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07B4451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5,0%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3F88F78" w14:textId="3A0D6F0E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1,</w:t>
                  </w:r>
                  <w:r w:rsidR="001E7216">
                    <w:rPr>
                      <w:rFonts w:ascii="Tahoma" w:eastAsia="Times New Roman" w:hAnsi="Tahoma" w:cs="Tahoma"/>
                      <w:color w:val="404040"/>
                    </w:rPr>
                    <w:t>4</w:t>
                  </w: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% pp.</w:t>
                  </w:r>
                </w:p>
              </w:tc>
            </w:tr>
            <w:tr w:rsidR="001F6968" w:rsidRPr="001F6968" w14:paraId="71E91239" w14:textId="77777777" w:rsidTr="00F44AEC">
              <w:trPr>
                <w:trHeight w:val="255"/>
              </w:trPr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hideMark/>
                </w:tcPr>
                <w:p w14:paraId="3EA66293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</w:pPr>
                  <w:r w:rsidRPr="001F6968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  <w:t>*przypadający akcjonariuszom Jednostki Dominującej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1020867C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4AD3F7CC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40D62227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</w:tbl>
          <w:p w14:paraId="3AB1B746" w14:textId="4DE230DE" w:rsidR="000B4EAD" w:rsidRPr="001D4924" w:rsidRDefault="000B4EAD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123EC875" w14:textId="17C227D0" w:rsidR="0023777F" w:rsidRPr="001D4924" w:rsidRDefault="0023777F" w:rsidP="001F6968">
            <w:pPr>
              <w:spacing w:line="360" w:lineRule="auto"/>
              <w:rPr>
                <w:rFonts w:ascii="Tahoma" w:eastAsia="Tahoma" w:hAnsi="Tahoma" w:cs="Tahoma"/>
                <w:color w:val="808080"/>
                <w:sz w:val="18"/>
                <w:szCs w:val="18"/>
                <w:highlight w:val="yellow"/>
              </w:rPr>
            </w:pPr>
          </w:p>
          <w:p w14:paraId="56892A2B" w14:textId="748DBF20" w:rsidR="00BF116E" w:rsidRPr="00FE00A1" w:rsidRDefault="00FD14F3" w:rsidP="00BF116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Odnotowaliśmy</w:t>
            </w:r>
            <w:r w:rsidR="00B220A6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również </w:t>
            </w:r>
            <w:r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E617F8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wzrost</w:t>
            </w:r>
            <w:r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przychodów </w:t>
            </w:r>
            <w:r w:rsidR="00102CF5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(rok do roku) </w:t>
            </w:r>
            <w:r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ze sprzedaży Grupy</w:t>
            </w:r>
            <w:r w:rsidR="00CE063A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, 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zaró</w:t>
            </w:r>
            <w:r w:rsidR="00CE063A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w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no w </w:t>
            </w:r>
            <w:r w:rsidR="00CE063A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części budowlanej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(+</w:t>
            </w:r>
            <w:r w:rsidR="00102CF5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6,9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%) jak i w części usługowej (+</w:t>
            </w:r>
            <w:r w:rsidR="00102CF5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18,4</w:t>
            </w:r>
            <w:r w:rsidR="00FE00A1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%)</w:t>
            </w:r>
            <w:r w:rsidR="00CE063A" w:rsidRPr="00102CF5">
              <w:rPr>
                <w:rFonts w:ascii="Tahoma" w:eastAsia="Tahoma" w:hAnsi="Tahoma" w:cs="Tahoma"/>
                <w:color w:val="808080"/>
                <w:sz w:val="18"/>
                <w:szCs w:val="18"/>
              </w:rPr>
              <w:t>.</w:t>
            </w:r>
            <w:r w:rsidR="00CE063A" w:rsidRPr="00FE00A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</w:p>
          <w:p w14:paraId="29DC2CAE" w14:textId="77777777" w:rsidR="00622393" w:rsidRDefault="007143D6" w:rsidP="0062239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FC43CA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green"/>
              </w:rPr>
              <w:br/>
            </w:r>
            <w:r w:rsidR="0062239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Produkcja budowlano-montażowa w pierwszym półroczu 2023 roku </w:t>
            </w:r>
            <w:r w:rsidR="0062239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</w:r>
            <w:r w:rsidR="00622393">
              <w:rPr>
                <w:rFonts w:ascii="Tahoma" w:eastAsia="Tahoma" w:hAnsi="Tahoma" w:cs="Tahoma"/>
                <w:color w:val="808080"/>
                <w:sz w:val="18"/>
                <w:szCs w:val="18"/>
              </w:rPr>
              <w:t>(w cenach bieżących)</w:t>
            </w:r>
            <w:r w:rsidR="0062239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wzrosła rok do roku o 15,5% z poziomu 56,5 miliarda złotych do 65,3 miliarda złotych. W segmencie budynków produkcja</w:t>
            </w:r>
            <w:r w:rsidR="0062239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sprzedana wzrosła o 6,2%, natomiast w obszarze infrastrukturalnym wzrost wyniósł aż 27%.</w:t>
            </w:r>
          </w:p>
          <w:p w14:paraId="7EAAE60D" w14:textId="77777777" w:rsidR="00622393" w:rsidRDefault="00622393" w:rsidP="00622393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green"/>
              </w:rPr>
            </w:pPr>
          </w:p>
          <w:tbl>
            <w:tblPr>
              <w:tblW w:w="6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1558"/>
              <w:gridCol w:w="1417"/>
              <w:gridCol w:w="1274"/>
            </w:tblGrid>
            <w:tr w:rsidR="00622393" w14:paraId="03662890" w14:textId="77777777" w:rsidTr="00622393">
              <w:trPr>
                <w:trHeight w:val="349"/>
              </w:trPr>
              <w:tc>
                <w:tcPr>
                  <w:tcW w:w="2592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auto" w:fill="595959"/>
                  <w:vAlign w:val="center"/>
                  <w:hideMark/>
                </w:tcPr>
                <w:p w14:paraId="7D486E90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t>Sektor budownictwa</w:t>
                  </w:r>
                </w:p>
              </w:tc>
              <w:tc>
                <w:tcPr>
                  <w:tcW w:w="4252" w:type="dxa"/>
                  <w:gridSpan w:val="3"/>
                  <w:shd w:val="clear" w:color="auto" w:fill="BFBFBF"/>
                  <w:noWrap/>
                  <w:vAlign w:val="center"/>
                  <w:hideMark/>
                </w:tcPr>
                <w:p w14:paraId="5EC6959A" w14:textId="77777777" w:rsidR="00622393" w:rsidRDefault="00622393" w:rsidP="00622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Dane statystyczne</w:t>
                  </w:r>
                  <w:r>
                    <w:rPr>
                      <w:rFonts w:ascii="Tahoma" w:eastAsia="Times New Roman" w:hAnsi="Tahoma" w:cs="Tahoma"/>
                      <w:color w:val="000000"/>
                    </w:rPr>
                    <w:t xml:space="preserve"> (mld zł)</w:t>
                  </w:r>
                </w:p>
              </w:tc>
            </w:tr>
            <w:tr w:rsidR="00622393" w14:paraId="5675D4FC" w14:textId="77777777" w:rsidTr="00622393">
              <w:trPr>
                <w:trHeight w:val="246"/>
              </w:trPr>
              <w:tc>
                <w:tcPr>
                  <w:tcW w:w="2592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12EDA35" w14:textId="77777777" w:rsidR="00622393" w:rsidRDefault="00622393" w:rsidP="00622393">
                  <w:pPr>
                    <w:spacing w:after="0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BFBFBF"/>
                  <w:vAlign w:val="center"/>
                  <w:hideMark/>
                </w:tcPr>
                <w:p w14:paraId="7D75D813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</w:rPr>
                    <w:t>1 poł. 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  <w:hideMark/>
                </w:tcPr>
                <w:p w14:paraId="2CEF5348" w14:textId="77777777" w:rsidR="00622393" w:rsidRDefault="00622393" w:rsidP="00622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</w:rPr>
                    <w:t>1 poł. 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BFBFBF"/>
                  <w:noWrap/>
                  <w:vAlign w:val="center"/>
                  <w:hideMark/>
                </w:tcPr>
                <w:p w14:paraId="745AB244" w14:textId="77777777" w:rsidR="00622393" w:rsidRDefault="00622393" w:rsidP="006223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622393" w14:paraId="5114944A" w14:textId="77777777" w:rsidTr="00622393">
              <w:trPr>
                <w:trHeight w:val="378"/>
              </w:trPr>
              <w:tc>
                <w:tcPr>
                  <w:tcW w:w="2592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auto" w:fill="FFC000"/>
                  <w:vAlign w:val="center"/>
                  <w:hideMark/>
                </w:tcPr>
                <w:p w14:paraId="0178B22D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Produkcja sprzedana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C000"/>
                  <w:noWrap/>
                  <w:vAlign w:val="center"/>
                  <w:hideMark/>
                </w:tcPr>
                <w:p w14:paraId="0E5807AC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C000"/>
                  <w:noWrap/>
                  <w:vAlign w:val="center"/>
                  <w:hideMark/>
                </w:tcPr>
                <w:p w14:paraId="622B021D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C000"/>
                  <w:noWrap/>
                  <w:vAlign w:val="center"/>
                  <w:hideMark/>
                </w:tcPr>
                <w:p w14:paraId="26FCF375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15,5%</w:t>
                  </w:r>
                </w:p>
              </w:tc>
            </w:tr>
            <w:tr w:rsidR="00622393" w14:paraId="1369EAC4" w14:textId="77777777" w:rsidTr="00622393">
              <w:trPr>
                <w:trHeight w:val="405"/>
              </w:trPr>
              <w:tc>
                <w:tcPr>
                  <w:tcW w:w="2592" w:type="dxa"/>
                  <w:shd w:val="clear" w:color="auto" w:fill="F2F2F2"/>
                  <w:noWrap/>
                  <w:vAlign w:val="center"/>
                  <w:hideMark/>
                </w:tcPr>
                <w:p w14:paraId="1D89AAFC" w14:textId="77777777" w:rsidR="00622393" w:rsidRDefault="00622393" w:rsidP="00622393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Budynki</w:t>
                  </w:r>
                </w:p>
              </w:tc>
              <w:tc>
                <w:tcPr>
                  <w:tcW w:w="1559" w:type="dxa"/>
                  <w:shd w:val="clear" w:color="auto" w:fill="F2F2F2"/>
                  <w:noWrap/>
                  <w:vAlign w:val="center"/>
                  <w:hideMark/>
                </w:tcPr>
                <w:p w14:paraId="45713FB1" w14:textId="77777777" w:rsidR="00622393" w:rsidRDefault="00622393" w:rsidP="00622393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32,9</w:t>
                  </w:r>
                </w:p>
              </w:tc>
              <w:tc>
                <w:tcPr>
                  <w:tcW w:w="1418" w:type="dxa"/>
                  <w:shd w:val="clear" w:color="auto" w:fill="F2F2F2"/>
                  <w:noWrap/>
                  <w:vAlign w:val="center"/>
                  <w:hideMark/>
                </w:tcPr>
                <w:p w14:paraId="24A54158" w14:textId="77777777" w:rsidR="00622393" w:rsidRDefault="00622393" w:rsidP="00622393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31,0</w:t>
                  </w:r>
                </w:p>
              </w:tc>
              <w:tc>
                <w:tcPr>
                  <w:tcW w:w="1275" w:type="dxa"/>
                  <w:shd w:val="clear" w:color="auto" w:fill="F2F2F2"/>
                  <w:noWrap/>
                  <w:vAlign w:val="center"/>
                  <w:hideMark/>
                </w:tcPr>
                <w:p w14:paraId="72C890DA" w14:textId="77777777" w:rsidR="00622393" w:rsidRDefault="00622393" w:rsidP="00622393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6,2%</w:t>
                  </w:r>
                </w:p>
              </w:tc>
            </w:tr>
            <w:tr w:rsidR="00622393" w14:paraId="2E5F6C93" w14:textId="77777777" w:rsidTr="00622393">
              <w:trPr>
                <w:trHeight w:val="285"/>
              </w:trPr>
              <w:tc>
                <w:tcPr>
                  <w:tcW w:w="2592" w:type="dxa"/>
                  <w:shd w:val="clear" w:color="auto" w:fill="F2F2F2"/>
                  <w:noWrap/>
                  <w:vAlign w:val="center"/>
                  <w:hideMark/>
                </w:tcPr>
                <w:p w14:paraId="61602683" w14:textId="77777777" w:rsidR="00622393" w:rsidRDefault="00622393" w:rsidP="00622393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color w:val="404040"/>
                    </w:rPr>
                    <w:t>udział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2F2F2"/>
                  <w:noWrap/>
                  <w:vAlign w:val="center"/>
                  <w:hideMark/>
                </w:tcPr>
                <w:p w14:paraId="40B24A1A" w14:textId="77777777" w:rsidR="00622393" w:rsidRDefault="00622393" w:rsidP="00622393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color w:val="404040"/>
                    </w:rPr>
                    <w:t>50,4%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2F2F2"/>
                  <w:noWrap/>
                  <w:vAlign w:val="center"/>
                  <w:hideMark/>
                </w:tcPr>
                <w:p w14:paraId="12D1B179" w14:textId="77777777" w:rsidR="00622393" w:rsidRDefault="00622393" w:rsidP="00622393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color w:val="404040"/>
                    </w:rPr>
                    <w:t>54,8%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2F2F2"/>
                  <w:noWrap/>
                  <w:vAlign w:val="center"/>
                  <w:hideMark/>
                </w:tcPr>
                <w:p w14:paraId="11922343" w14:textId="77777777" w:rsidR="00622393" w:rsidRDefault="00622393" w:rsidP="00622393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color w:val="404040"/>
                    </w:rPr>
                    <w:t>-4,4%</w:t>
                  </w:r>
                </w:p>
              </w:tc>
            </w:tr>
            <w:tr w:rsidR="00622393" w14:paraId="40A1D6DC" w14:textId="77777777" w:rsidTr="00622393">
              <w:trPr>
                <w:trHeight w:val="405"/>
              </w:trPr>
              <w:tc>
                <w:tcPr>
                  <w:tcW w:w="2592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  <w:shd w:val="clear" w:color="auto" w:fill="F2F2F2"/>
                  <w:noWrap/>
                  <w:vAlign w:val="center"/>
                  <w:hideMark/>
                </w:tcPr>
                <w:p w14:paraId="1DD515D3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Inżynieria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auto" w:fill="F2F2F2"/>
                  <w:noWrap/>
                  <w:vAlign w:val="center"/>
                  <w:hideMark/>
                </w:tcPr>
                <w:p w14:paraId="12B31200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auto" w:fill="F2F2F2"/>
                  <w:noWrap/>
                  <w:vAlign w:val="center"/>
                  <w:hideMark/>
                </w:tcPr>
                <w:p w14:paraId="7AC65560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auto" w:fill="F2F2F2"/>
                  <w:noWrap/>
                  <w:vAlign w:val="center"/>
                  <w:hideMark/>
                </w:tcPr>
                <w:p w14:paraId="25C639BD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26,8%</w:t>
                  </w:r>
                </w:p>
              </w:tc>
            </w:tr>
            <w:tr w:rsidR="00622393" w14:paraId="311A9BCB" w14:textId="77777777" w:rsidTr="00622393">
              <w:trPr>
                <w:trHeight w:val="330"/>
              </w:trPr>
              <w:tc>
                <w:tcPr>
                  <w:tcW w:w="2592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auto" w:fill="F9F9F9"/>
                  <w:noWrap/>
                  <w:vAlign w:val="center"/>
                  <w:hideMark/>
                </w:tcPr>
                <w:p w14:paraId="1BBC8F8A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drogi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auto" w:fill="F9F9F9"/>
                  <w:noWrap/>
                  <w:vAlign w:val="center"/>
                  <w:hideMark/>
                </w:tcPr>
                <w:p w14:paraId="2BDB5DE7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11,2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auto" w:fill="F9F9F9"/>
                  <w:noWrap/>
                  <w:vAlign w:val="center"/>
                  <w:hideMark/>
                </w:tcPr>
                <w:p w14:paraId="19AE264F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auto" w:fill="F9F9F9"/>
                  <w:noWrap/>
                  <w:vAlign w:val="center"/>
                  <w:hideMark/>
                </w:tcPr>
                <w:p w14:paraId="490071CD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31,1%</w:t>
                  </w:r>
                </w:p>
              </w:tc>
            </w:tr>
            <w:tr w:rsidR="00622393" w14:paraId="2D99E977" w14:textId="77777777" w:rsidTr="00622393">
              <w:trPr>
                <w:trHeight w:val="330"/>
              </w:trPr>
              <w:tc>
                <w:tcPr>
                  <w:tcW w:w="2592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auto" w:fill="F9F9F9"/>
                  <w:noWrap/>
                  <w:vAlign w:val="center"/>
                  <w:hideMark/>
                </w:tcPr>
                <w:p w14:paraId="64D777D0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koleje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auto" w:fill="F9F9F9"/>
                  <w:noWrap/>
                  <w:vAlign w:val="center"/>
                  <w:hideMark/>
                </w:tcPr>
                <w:p w14:paraId="391C41D3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auto" w:fill="F9F9F9"/>
                  <w:noWrap/>
                  <w:vAlign w:val="center"/>
                  <w:hideMark/>
                </w:tcPr>
                <w:p w14:paraId="0C161EA3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auto" w:fill="F9F9F9"/>
                  <w:noWrap/>
                  <w:vAlign w:val="center"/>
                  <w:hideMark/>
                </w:tcPr>
                <w:p w14:paraId="47A204AB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10,6%</w:t>
                  </w:r>
                </w:p>
              </w:tc>
            </w:tr>
            <w:tr w:rsidR="00622393" w14:paraId="5ADA3B5C" w14:textId="77777777" w:rsidTr="00622393">
              <w:trPr>
                <w:trHeight w:val="285"/>
              </w:trPr>
              <w:tc>
                <w:tcPr>
                  <w:tcW w:w="2592" w:type="dxa"/>
                  <w:shd w:val="clear" w:color="auto" w:fill="F2F2F2"/>
                  <w:noWrap/>
                  <w:vAlign w:val="center"/>
                  <w:hideMark/>
                </w:tcPr>
                <w:p w14:paraId="049E4FCD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color w:val="404040"/>
                    </w:rPr>
                    <w:t>udział</w:t>
                  </w:r>
                </w:p>
              </w:tc>
              <w:tc>
                <w:tcPr>
                  <w:tcW w:w="1559" w:type="dxa"/>
                  <w:shd w:val="clear" w:color="auto" w:fill="F2F2F2"/>
                  <w:noWrap/>
                  <w:vAlign w:val="center"/>
                  <w:hideMark/>
                </w:tcPr>
                <w:p w14:paraId="48682F95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color w:val="404040"/>
                    </w:rPr>
                    <w:t>49,6%</w:t>
                  </w:r>
                </w:p>
              </w:tc>
              <w:tc>
                <w:tcPr>
                  <w:tcW w:w="1418" w:type="dxa"/>
                  <w:shd w:val="clear" w:color="auto" w:fill="F2F2F2"/>
                  <w:noWrap/>
                  <w:vAlign w:val="center"/>
                  <w:hideMark/>
                </w:tcPr>
                <w:p w14:paraId="5FF6453D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color w:val="404040"/>
                    </w:rPr>
                    <w:t>45,2%</w:t>
                  </w:r>
                </w:p>
              </w:tc>
              <w:tc>
                <w:tcPr>
                  <w:tcW w:w="1275" w:type="dxa"/>
                  <w:shd w:val="clear" w:color="auto" w:fill="F2F2F2"/>
                  <w:noWrap/>
                  <w:vAlign w:val="center"/>
                  <w:hideMark/>
                </w:tcPr>
                <w:p w14:paraId="05CB1466" w14:textId="77777777" w:rsidR="00622393" w:rsidRDefault="00622393" w:rsidP="0062239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color w:val="404040"/>
                    </w:rPr>
                    <w:t>4,4%</w:t>
                  </w:r>
                </w:p>
              </w:tc>
            </w:tr>
          </w:tbl>
          <w:p w14:paraId="3E85F3A8" w14:textId="01241C01" w:rsidR="0080729F" w:rsidRPr="007C69AF" w:rsidRDefault="0080729F" w:rsidP="005B039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1FFE2121" w14:textId="6BBE5204" w:rsidR="00807471" w:rsidRPr="008C6503" w:rsidRDefault="00807471" w:rsidP="00807471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lastRenderedPageBreak/>
              <w:t xml:space="preserve">Sprzedaż segmentu budowlanego Grupy Budimex wyniosła w pierwszym </w:t>
            </w:r>
            <w:r w:rsidR="00BB574B"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półroczu</w:t>
            </w:r>
            <w:r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2023 roku </w:t>
            </w:r>
            <w:r w:rsidR="00BB574B"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3 885</w:t>
            </w:r>
            <w:r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milionów złotych (+</w:t>
            </w:r>
            <w:r w:rsidR="00BB574B"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6,9</w:t>
            </w:r>
            <w:r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% r/r), notując przy tym wzrost zarówno rentowności operacyjnej (z </w:t>
            </w:r>
            <w:r w:rsidR="00BB574B"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5,4</w:t>
            </w:r>
            <w:r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% do </w:t>
            </w:r>
            <w:r w:rsidR="00BB574B"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5,9</w:t>
            </w:r>
            <w:r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%), jak </w:t>
            </w:r>
            <w:r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br/>
              <w:t xml:space="preserve">i rentowności brutto (z </w:t>
            </w:r>
            <w:r w:rsidR="00BB574B"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6,1</w:t>
            </w:r>
            <w:r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% do </w:t>
            </w:r>
            <w:r w:rsidR="00BB574B"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8</w:t>
            </w:r>
            <w:r w:rsidRPr="008C6503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,0%). </w:t>
            </w:r>
          </w:p>
          <w:p w14:paraId="0D456B7E" w14:textId="77777777" w:rsidR="00F243DA" w:rsidRPr="001D4924" w:rsidRDefault="00F243DA" w:rsidP="00807471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7349A156" w14:textId="77777777" w:rsidR="00807471" w:rsidRPr="001D4924" w:rsidRDefault="00807471" w:rsidP="00807471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tbl>
            <w:tblPr>
              <w:tblW w:w="6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1420"/>
              <w:gridCol w:w="1440"/>
              <w:gridCol w:w="1240"/>
            </w:tblGrid>
            <w:tr w:rsidR="001F6968" w:rsidRPr="001F6968" w14:paraId="764D1339" w14:textId="77777777" w:rsidTr="001F6968">
              <w:trPr>
                <w:trHeight w:val="349"/>
              </w:trPr>
              <w:tc>
                <w:tcPr>
                  <w:tcW w:w="2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2FBD1849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Segment budowlany</w:t>
                  </w: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br/>
                    <w:t>(mln zł.)</w:t>
                  </w:r>
                </w:p>
              </w:tc>
              <w:tc>
                <w:tcPr>
                  <w:tcW w:w="4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045970E7" w14:textId="77777777" w:rsidR="001F6968" w:rsidRPr="001F6968" w:rsidRDefault="001F6968" w:rsidP="001F69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1F6968" w:rsidRPr="001F6968" w14:paraId="56649F3E" w14:textId="77777777" w:rsidTr="001F6968">
              <w:trPr>
                <w:trHeight w:val="540"/>
              </w:trPr>
              <w:tc>
                <w:tcPr>
                  <w:tcW w:w="2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E77296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1B23A828" w14:textId="77777777" w:rsidR="001F6968" w:rsidRPr="001F6968" w:rsidRDefault="001F6968" w:rsidP="001F69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000000"/>
                    </w:rPr>
                    <w:t>1 poł. 2023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41F6BAD5" w14:textId="77777777" w:rsidR="001F6968" w:rsidRPr="001F6968" w:rsidRDefault="001F6968" w:rsidP="001F69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000000"/>
                    </w:rPr>
                    <w:t>1 poł. 2022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316A4EFA" w14:textId="77777777" w:rsidR="001F6968" w:rsidRPr="001F6968" w:rsidRDefault="001F6968" w:rsidP="001F69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1F6968" w:rsidRPr="001F6968" w14:paraId="4FD02F60" w14:textId="77777777" w:rsidTr="001F6968">
              <w:trPr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D3DDFDE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79C23963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3 885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2B2080FA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3 634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900D3F5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6,9%</w:t>
                  </w:r>
                </w:p>
              </w:tc>
            </w:tr>
            <w:tr w:rsidR="001F6968" w:rsidRPr="001F6968" w14:paraId="038C4B81" w14:textId="77777777" w:rsidTr="001F6968">
              <w:trPr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0B659C2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E9E1FD2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229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337ABE8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197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9CAC8F5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16,1%</w:t>
                  </w:r>
                </w:p>
              </w:tc>
            </w:tr>
            <w:tr w:rsidR="001F6968" w:rsidRPr="001F6968" w14:paraId="063248AE" w14:textId="77777777" w:rsidTr="001F6968">
              <w:trPr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83947F0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889A53F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5,9%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3951A4F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5,4%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A1F19EC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0,5% pp.</w:t>
                  </w:r>
                </w:p>
              </w:tc>
            </w:tr>
            <w:tr w:rsidR="001F6968" w:rsidRPr="001F6968" w14:paraId="344D35F6" w14:textId="77777777" w:rsidTr="001F6968">
              <w:trPr>
                <w:trHeight w:val="420"/>
              </w:trPr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21AFBCC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03AB0FA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6A447EE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221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7683886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41,6%</w:t>
                  </w:r>
                </w:p>
              </w:tc>
            </w:tr>
            <w:tr w:rsidR="001F6968" w:rsidRPr="001F6968" w14:paraId="3BD107AE" w14:textId="77777777" w:rsidTr="001F6968">
              <w:trPr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11BEA93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702B276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8,0%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D854763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6,1%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D1077CF" w14:textId="66664E64" w:rsidR="001F6968" w:rsidRPr="001F6968" w:rsidRDefault="001E7216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>
                    <w:rPr>
                      <w:rFonts w:ascii="Tahoma" w:eastAsia="Times New Roman" w:hAnsi="Tahoma" w:cs="Tahoma"/>
                      <w:color w:val="404040"/>
                    </w:rPr>
                    <w:t>1,9</w:t>
                  </w:r>
                  <w:r w:rsidR="001F6968" w:rsidRPr="001F6968">
                    <w:rPr>
                      <w:rFonts w:ascii="Tahoma" w:eastAsia="Times New Roman" w:hAnsi="Tahoma" w:cs="Tahoma"/>
                      <w:color w:val="404040"/>
                    </w:rPr>
                    <w:t>% pp.</w:t>
                  </w:r>
                </w:p>
              </w:tc>
            </w:tr>
            <w:tr w:rsidR="001F6968" w:rsidRPr="001F6968" w14:paraId="3FFE602F" w14:textId="77777777" w:rsidTr="001F6968">
              <w:trPr>
                <w:trHeight w:val="503"/>
              </w:trPr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5D2082FD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Portfel zamówień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34E0983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12 216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3CFCC1F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11 781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5D67974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3,7%</w:t>
                  </w:r>
                </w:p>
              </w:tc>
            </w:tr>
            <w:tr w:rsidR="001F6968" w:rsidRPr="001F6968" w14:paraId="7F8B1FCD" w14:textId="77777777" w:rsidTr="001F6968">
              <w:trPr>
                <w:trHeight w:val="503"/>
              </w:trPr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CBCCD75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Kontraktacja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222C7F1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2 541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B5D1222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2 059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C8D9B4A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23,4%</w:t>
                  </w:r>
                </w:p>
              </w:tc>
            </w:tr>
          </w:tbl>
          <w:p w14:paraId="50DBE7C7" w14:textId="77777777" w:rsidR="00807471" w:rsidRPr="001D4924" w:rsidRDefault="00807471" w:rsidP="00807471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1A01B83D" w14:textId="33288923" w:rsidR="00745755" w:rsidRPr="00DF138C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DF138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Skala zrealizowanych przychodów ze sprzedaży w pierwszym </w:t>
            </w:r>
            <w:r w:rsidR="008C6503" w:rsidRPr="00DF138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 w:rsidRPr="00DF138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2023 roku </w:t>
            </w:r>
            <w:r w:rsidRPr="00DF138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 xml:space="preserve">w segmencie budowlanym była wyższa niż w analogicznym okresie roku poprzedniego. </w:t>
            </w:r>
            <w:r w:rsidRPr="00DF138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Wysoki i dobrze zdywersyfikowany portfel zamówień, a także sprzyjające warunki pogodowe pozwoliły na zwiększenie przychodów o </w:t>
            </w:r>
            <w:r w:rsidR="006C26EC">
              <w:rPr>
                <w:rFonts w:ascii="Tahoma" w:eastAsia="Tahoma" w:hAnsi="Tahoma" w:cs="Tahoma"/>
                <w:color w:val="808080"/>
                <w:sz w:val="18"/>
                <w:szCs w:val="18"/>
              </w:rPr>
              <w:t>blisko</w:t>
            </w:r>
            <w:r w:rsidRPr="00DF138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="008C6503" w:rsidRPr="00DF138C">
              <w:rPr>
                <w:rFonts w:ascii="Tahoma" w:eastAsia="Tahoma" w:hAnsi="Tahoma" w:cs="Tahoma"/>
                <w:color w:val="808080"/>
                <w:sz w:val="18"/>
                <w:szCs w:val="18"/>
              </w:rPr>
              <w:t>7</w:t>
            </w:r>
            <w:r w:rsidRPr="00DF138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%. </w:t>
            </w:r>
            <w:r w:rsidR="006C26E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Istotny </w:t>
            </w:r>
            <w:r w:rsidRPr="00DF138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wpływ na </w:t>
            </w:r>
            <w:r w:rsidR="006C26E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wzrost przychodów ze sprzedaży </w:t>
            </w:r>
            <w:r w:rsidRPr="00DF138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miał przede wszystkim </w:t>
            </w:r>
            <w:r w:rsidR="006C26E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segment </w:t>
            </w:r>
            <w:r w:rsidRPr="00DF138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kontraktów </w:t>
            </w:r>
            <w:r w:rsidR="00DF138C" w:rsidRPr="00DF138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kubaturowych </w:t>
            </w:r>
            <w:r w:rsidR="006C26EC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oraz </w:t>
            </w:r>
            <w:r w:rsidRPr="00DF138C">
              <w:rPr>
                <w:rFonts w:ascii="Tahoma" w:eastAsia="Tahoma" w:hAnsi="Tahoma" w:cs="Tahoma"/>
                <w:color w:val="808080"/>
                <w:sz w:val="18"/>
                <w:szCs w:val="18"/>
              </w:rPr>
              <w:t>drogowych.</w:t>
            </w:r>
          </w:p>
          <w:p w14:paraId="4F05ACF0" w14:textId="77777777" w:rsidR="00745755" w:rsidRPr="00DF138C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7C8568B" w14:textId="08281179" w:rsidR="00745755" w:rsidRPr="00DF138C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DF138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operacyjna segmentu budowlanego wyniosła </w:t>
            </w:r>
            <w:r w:rsidR="00DF138C" w:rsidRPr="00DF138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5,9</w:t>
            </w:r>
            <w:r w:rsidRPr="00DF138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 i była wyższa</w:t>
            </w:r>
            <w:r w:rsidR="001C05E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 w:rsidR="00533CB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 0,5 p</w:t>
            </w:r>
            <w:r w:rsidR="001C05E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unktu procentowego </w:t>
            </w:r>
            <w:r w:rsidRPr="00DF138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</w:t>
            </w:r>
            <w:r w:rsidR="0003473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DF138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porównaniu do analogicznego okresu roku ubiegłego.</w:t>
            </w:r>
            <w:r w:rsidR="00533CB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DF138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</w:t>
            </w:r>
            <w:r w:rsidR="003355E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Pr="00DF138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omawianym okresie, branża budowlana w mniejszym stopniu niż rok wcześniej, odczuwała skutki zaburzonych łańcuchów dostaw, wywołanych wybuchem konfliktu zbrojnego w Ukrainie. Skutkowało to większą przewidywalnością cen oraz dostępnością głównych asortymentów materiałów budowlanych, którą widać na przykładzie stali czy betonu.</w:t>
            </w:r>
          </w:p>
          <w:p w14:paraId="4BACE6CA" w14:textId="77777777" w:rsidR="00745755" w:rsidRPr="001D4924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431EBA7C" w14:textId="76D2E612" w:rsidR="00745755" w:rsidRPr="002D52EE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2D52E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Dodatkowo, </w:t>
            </w:r>
            <w:r w:rsidR="002D52EE" w:rsidRPr="002D52E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dzięki spowolnieniu obserwowanemu w budownictwie mieszkaniowym, zwiększyła się dostępność podwykonawców w obszarze budownictwa kubaturowego, co również miało wpływ na oferowane przez nich ceny</w:t>
            </w:r>
            <w:r w:rsidRPr="002D52E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Jednocześnie efekty wzrostów cen materiałów budowlanych oraz robocizny, obserwowanych od momentu złożenia oferty do chwili rozpoczęcia prac budowlanych (w przypadku kontraktów realizowanych w formule „Projektuj i buduj” jest to zazwyczaj ponad rok) zostały częściowo zaabsorbowane dzięki zwiększeniu poziomu waloryzacji na kontraktach budowlanych realizowanych dla publicznych zamawiających. </w:t>
            </w:r>
          </w:p>
          <w:p w14:paraId="0CE4FE7E" w14:textId="77777777" w:rsidR="00745755" w:rsidRPr="001D4924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4803DA46" w14:textId="0BD47525" w:rsidR="00745755" w:rsidRPr="00E7344B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brutto segmentu budowlanego w omawianym okresie wyniosła </w:t>
            </w:r>
            <w:r w:rsidR="00E7344B"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8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,0% 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 xml:space="preserve">i była zdecydowanie wyższa niż w pierwszym </w:t>
            </w:r>
            <w:r w:rsidR="00E7344B"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AD1C65"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202</w:t>
            </w:r>
            <w:r w:rsidR="00AD1C6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="00AD1C65"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roku, kiedy wyniosła </w:t>
            </w:r>
            <w:r w:rsidR="00E7344B"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6,1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%. W pierwszym </w:t>
            </w:r>
            <w:r w:rsidR="00E7344B"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2023 roku, poza wzrostem rentowności na poziomie operacyjnym, rentowność na poziomie zysku brutto była wspierana przez pozytywny wynik wypracowany na działalności finansowej z tytułu uzyskanych odsetek od depozytów.</w:t>
            </w:r>
          </w:p>
          <w:p w14:paraId="56D9999A" w14:textId="77777777" w:rsidR="00745755" w:rsidRPr="001D4924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74E6918B" w14:textId="16FE777C" w:rsidR="00745755" w:rsidRPr="00E7344B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pierwszym </w:t>
            </w:r>
            <w:r w:rsidR="00E7344B"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2023 roku pozyskaliśmy kontrakty o wartości ponad </w:t>
            </w:r>
            <w:r w:rsidR="00E7344B"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2,5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E7344B"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miliarda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złotych.</w:t>
            </w:r>
            <w:r w:rsidR="00342FC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Znalazły się wśród nich takie inwestycje, jak nowa linia kolejowa Podłęże-Piekiełko, rozbudowa Szczecińskiego Domu Sportu czy północna obwodnica Gorzowa.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Portfel zamówień Grupy Budimex na koniec </w:t>
            </w:r>
            <w:r w:rsidR="00E7344B"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czerwca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2023 roku wyniósł 12,</w:t>
            </w:r>
            <w:r w:rsidR="00E7344B"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miliarda złotych i zabezpiecza front prac na </w:t>
            </w:r>
            <w:r w:rsidR="00577B5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kolejne dwa lata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Intensywna praca nad akwizycją nowych ‎projektów sprawiła, że ‎wartość projektów oczekujących na podpisanie, oraz takich, gdzie oferta Budimex lub spółek</w:t>
            </w:r>
            <w:r w:rsidR="00342FC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 Grupy została oceniona najwyżej</w:t>
            </w:r>
            <w:r w:rsidR="00C40A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to aktualnie </w:t>
            </w:r>
            <w:r w:rsidR="00E7344B"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4,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 miliard</w:t>
            </w:r>
            <w:r w:rsidR="00E7344B"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Pr="00E7344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złotych. W perspektywie nadchodzących kwartałów powinno się to przełożyć na utrzymanie wysokiej wartości portfela zamówień.</w:t>
            </w:r>
          </w:p>
          <w:p w14:paraId="4C6A7137" w14:textId="77777777" w:rsidR="00745755" w:rsidRPr="001D4924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2A861E3A" w14:textId="66DBA71A" w:rsidR="00745755" w:rsidRPr="00080EA6" w:rsidRDefault="00745755" w:rsidP="0074575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080EA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Grupa Budimex zakończyła pierwsz</w:t>
            </w:r>
            <w:r w:rsidR="00080EA6" w:rsidRPr="00080EA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e</w:t>
            </w:r>
            <w:r w:rsidRPr="00080EA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080EA6" w:rsidRPr="00080EA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półrocze </w:t>
            </w:r>
            <w:r w:rsidRPr="00080EA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2023 rok z pozycją gotówkową netto na poziomie </w:t>
            </w:r>
            <w:r w:rsidR="00080EA6" w:rsidRPr="00080EA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2,7</w:t>
            </w:r>
            <w:r w:rsidRPr="00080EA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miliard</w:t>
            </w:r>
            <w:r w:rsidR="00080EA6" w:rsidRPr="00080EA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a</w:t>
            </w:r>
            <w:r w:rsidRPr="00080EA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złotych. </w:t>
            </w:r>
            <w:r w:rsidR="00080EA6" w:rsidRPr="00080EA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czerwcu została zrealizowana</w:t>
            </w:r>
            <w:r w:rsidRPr="00080EA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wypłat</w:t>
            </w:r>
            <w:r w:rsidR="00080EA6" w:rsidRPr="00080EA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Pr="00080EA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dywidendy z zysku osiągniętego za rok 2022 w wysokości 459 milionów złotych, co </w:t>
            </w:r>
            <w:r w:rsidR="00A91984" w:rsidRPr="00080EA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stanowi </w:t>
            </w:r>
            <w:r w:rsidRPr="00080EA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17,99 zł w przeliczeniu na jedną akcję</w:t>
            </w:r>
            <w:r w:rsidR="00E335F9" w:rsidRPr="00080EA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23AEB0E0" w14:textId="77777777" w:rsidR="009C59A0" w:rsidRPr="0092398F" w:rsidRDefault="0001727E" w:rsidP="00D4399C">
            <w:pPr>
              <w:spacing w:line="360" w:lineRule="auto"/>
              <w:jc w:val="both"/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</w:pPr>
            <w:r w:rsidRPr="001D4924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8B69C2" wp14:editId="12BB66F5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9931207</wp:posOffset>
                      </wp:positionV>
                      <wp:extent cx="6487795" cy="244475"/>
                      <wp:effectExtent l="0" t="0" r="0" b="31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779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54039" w14:textId="77777777" w:rsidR="0001727E" w:rsidRPr="002B1C9B" w:rsidRDefault="0001727E" w:rsidP="0001727E">
                                  <w:pP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2B1C9B"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*dane pro-forma, sporządzone przy założeniu konsolidacji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Grupy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FBSerwis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 od 01.01.2019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B6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0;margin-top:782pt;width:510.85pt;height:19.2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x6FwIAACwEAAAOAAAAZHJzL2Uyb0RvYy54bWysU8tu2zAQvBfoPxC815JdOU4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" filled="f" stroked="f" strokeweight=".5pt">
                      <v:textbox>
                        <w:txbxContent>
                          <w:p w14:paraId="40C54039" w14:textId="77777777" w:rsidR="0001727E" w:rsidRPr="002B1C9B" w:rsidRDefault="0001727E" w:rsidP="0001727E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B1C9B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*dane pro-forma, sporządzone przy założeniu konsolidacji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Grupy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FBSerwis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od 01.01.2019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0E5B09C5" w14:textId="4C6DB789" w:rsidR="0001727E" w:rsidRPr="0092398F" w:rsidRDefault="00C93FA1" w:rsidP="00D4399C">
            <w:pPr>
              <w:spacing w:line="360" w:lineRule="auto"/>
              <w:jc w:val="both"/>
              <w:rPr>
                <w:rStyle w:val="Odwoaniedokomentarza"/>
              </w:rPr>
            </w:pPr>
            <w:r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W pierwszym </w:t>
            </w:r>
            <w:r w:rsidR="003B17EA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półroczu</w:t>
            </w:r>
            <w:r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539C6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202</w:t>
            </w:r>
            <w:r w:rsidR="002C72F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3</w:t>
            </w:r>
            <w:r w:rsidR="003242A3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r.</w:t>
            </w:r>
            <w:r w:rsidR="005539C6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3242A3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Grupa </w:t>
            </w:r>
            <w:r w:rsidR="00770099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FBSerwis</w:t>
            </w:r>
            <w:r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CC47BA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odnotowała wzost </w:t>
            </w:r>
            <w:r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przychodów ze sprzedaży </w:t>
            </w:r>
            <w:r w:rsidR="00CC47BA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o </w:t>
            </w:r>
            <w:r w:rsidR="0092398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68</w:t>
            </w:r>
            <w:r w:rsidR="00CC47BA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milonów złotych </w:t>
            </w:r>
            <w:r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przy zachowaniu dobrej rentowności</w:t>
            </w:r>
            <w:r w:rsidR="009C59A0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.</w:t>
            </w:r>
            <w:r w:rsidR="00CC47BA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3C6FEF" w:rsidRPr="0092398F">
              <w:t xml:space="preserve"> </w:t>
            </w:r>
            <w:r w:rsidR="003C6FE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Zysk brutto wyniósł </w:t>
            </w:r>
            <w:r w:rsidR="0092398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47</w:t>
            </w:r>
            <w:r w:rsidR="003C6FE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milion</w:t>
            </w:r>
            <w:r w:rsidR="0092398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ów</w:t>
            </w:r>
            <w:r w:rsidR="00CC47BA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3C6FE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złotych w porównaniu do </w:t>
            </w:r>
            <w:r w:rsidR="0092398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38</w:t>
            </w:r>
            <w:r w:rsidR="003C6FE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milionów złotych w</w:t>
            </w:r>
            <w:r w:rsidR="00A11950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 </w:t>
            </w:r>
            <w:r w:rsidR="003C6FE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pierwszym </w:t>
            </w:r>
            <w:r w:rsidR="0092398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półroczu</w:t>
            </w:r>
            <w:r w:rsidR="003C6FE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202</w:t>
            </w:r>
            <w:r w:rsidR="00CC47BA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2</w:t>
            </w:r>
            <w:r w:rsidR="003C6FEF" w:rsidRPr="0092398F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roku.</w:t>
            </w:r>
          </w:p>
          <w:p w14:paraId="307553FE" w14:textId="32AFF2D3" w:rsidR="00D4399C" w:rsidRPr="001D4924" w:rsidRDefault="00D4399C" w:rsidP="00D4399C">
            <w:pPr>
              <w:spacing w:line="360" w:lineRule="auto"/>
              <w:jc w:val="both"/>
              <w:rPr>
                <w:rStyle w:val="Odwoaniedokomentarza"/>
                <w:highlight w:val="yellow"/>
              </w:rPr>
            </w:pPr>
          </w:p>
          <w:tbl>
            <w:tblPr>
              <w:tblW w:w="6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1420"/>
              <w:gridCol w:w="1440"/>
              <w:gridCol w:w="1240"/>
            </w:tblGrid>
            <w:tr w:rsidR="001F6968" w:rsidRPr="001F6968" w14:paraId="521ECAD7" w14:textId="77777777" w:rsidTr="001F6968">
              <w:trPr>
                <w:trHeight w:val="349"/>
              </w:trPr>
              <w:tc>
                <w:tcPr>
                  <w:tcW w:w="2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33A22575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  <w:bookmarkStart w:id="0" w:name="_Hlk77692426"/>
                  <w:bookmarkStart w:id="1" w:name="_Hlk100758814"/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Segment usługowy</w:t>
                  </w: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br/>
                    <w:t>(mln zł.)</w:t>
                  </w:r>
                </w:p>
              </w:tc>
              <w:tc>
                <w:tcPr>
                  <w:tcW w:w="4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6E83D211" w14:textId="77777777" w:rsidR="001F6968" w:rsidRPr="001F6968" w:rsidRDefault="001F6968" w:rsidP="001F69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1F6968" w:rsidRPr="001F6968" w14:paraId="5CD4B8E1" w14:textId="77777777" w:rsidTr="001F6968">
              <w:trPr>
                <w:trHeight w:val="525"/>
              </w:trPr>
              <w:tc>
                <w:tcPr>
                  <w:tcW w:w="2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586CE8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1556A8BF" w14:textId="77777777" w:rsidR="001F6968" w:rsidRPr="001F6968" w:rsidRDefault="001F6968" w:rsidP="001F69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000000"/>
                    </w:rPr>
                    <w:t>1 poł. 2023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38945E2A" w14:textId="77777777" w:rsidR="001F6968" w:rsidRPr="001F6968" w:rsidRDefault="001F6968" w:rsidP="001F69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000000"/>
                    </w:rPr>
                    <w:t>1 poł. 2022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2EED3345" w14:textId="77777777" w:rsidR="001F6968" w:rsidRPr="001F6968" w:rsidRDefault="001F6968" w:rsidP="001F696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1F6968" w:rsidRPr="001F6968" w14:paraId="1A39FC92" w14:textId="77777777" w:rsidTr="001F6968">
              <w:trPr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7C56F45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1C4A9A9C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751A25C4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371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0727BAE8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18,4%</w:t>
                  </w:r>
                </w:p>
              </w:tc>
            </w:tr>
            <w:tr w:rsidR="001F6968" w:rsidRPr="001F6968" w14:paraId="61CF7612" w14:textId="77777777" w:rsidTr="001F6968">
              <w:trPr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D9B3FE9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7EFA371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44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F5DD8B5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38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E4F4324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16,5%</w:t>
                  </w:r>
                </w:p>
              </w:tc>
            </w:tr>
            <w:tr w:rsidR="001F6968" w:rsidRPr="001F6968" w14:paraId="3B974054" w14:textId="77777777" w:rsidTr="001F6968">
              <w:trPr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EF18101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1EEF5DB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10,0%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75A9B05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10,1%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9F9B4BB" w14:textId="4B868F5D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-0,</w:t>
                  </w:r>
                  <w:r w:rsidR="001E7216">
                    <w:rPr>
                      <w:rFonts w:ascii="Tahoma" w:eastAsia="Times New Roman" w:hAnsi="Tahoma" w:cs="Tahoma"/>
                      <w:color w:val="404040"/>
                    </w:rPr>
                    <w:t>1</w:t>
                  </w: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% pp.</w:t>
                  </w:r>
                </w:p>
              </w:tc>
            </w:tr>
            <w:tr w:rsidR="001F6968" w:rsidRPr="001F6968" w14:paraId="725F159C" w14:textId="77777777" w:rsidTr="001F6968">
              <w:trPr>
                <w:trHeight w:val="420"/>
              </w:trPr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48B9A8D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AB4EA5D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98FD524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42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DF09A5F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11,1%</w:t>
                  </w:r>
                </w:p>
              </w:tc>
            </w:tr>
            <w:tr w:rsidR="001F6968" w:rsidRPr="001F6968" w14:paraId="22A55AF8" w14:textId="77777777" w:rsidTr="001F6968">
              <w:trPr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4CCFF7A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771C444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10,6%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283091F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11,3%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801A860" w14:textId="77777777" w:rsidR="001F6968" w:rsidRPr="001F6968" w:rsidRDefault="001F6968" w:rsidP="001F696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1F6968">
                    <w:rPr>
                      <w:rFonts w:ascii="Tahoma" w:eastAsia="Times New Roman" w:hAnsi="Tahoma" w:cs="Tahoma"/>
                      <w:color w:val="404040"/>
                    </w:rPr>
                    <w:t>-0,7% pp.</w:t>
                  </w:r>
                </w:p>
              </w:tc>
            </w:tr>
          </w:tbl>
          <w:p w14:paraId="3C880982" w14:textId="63BC3EB2" w:rsidR="00277101" w:rsidRPr="001D4924" w:rsidRDefault="00277101" w:rsidP="00277101">
            <w:pPr>
              <w:rPr>
                <w:highlight w:val="yellow"/>
              </w:rPr>
            </w:pPr>
          </w:p>
          <w:p w14:paraId="1CE8DDAA" w14:textId="31D99C6A" w:rsidR="00D74729" w:rsidRPr="001D4924" w:rsidRDefault="00D74729" w:rsidP="00D7472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  <w:bookmarkStart w:id="2" w:name="_Hlk140234412"/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Przychody Grupy </w:t>
            </w:r>
            <w:proofErr w:type="spellStart"/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będącej kluczowym aktywem w ramach segmentu usługowego (wyniki części usługowej obejmują również działalności </w:t>
            </w:r>
            <w:r w:rsidR="00F35A29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kilku mniejszych spółek, w tym 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Budimex Parking Wrocław) wyniosły </w:t>
            </w:r>
            <w:r w:rsidR="00FA1BB6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437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 i były </w:t>
            </w:r>
            <w:r w:rsidR="00CC47BA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</w:t>
            </w:r>
            <w:r w:rsidR="00FA1BB6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18,4</w:t>
            </w:r>
            <w:r w:rsidR="00CC47BA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% wyższe w porównaniu 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 analogicznego okresu roku poprzedniego.</w:t>
            </w:r>
            <w:r w:rsidR="003615FB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Wzrost wolumenu </w:t>
            </w:r>
            <w:r w:rsidR="003615FB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>sprzedaży został osiągnięty w każdym z segmentów działalności oraz był wyższy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niż nasze wewnętrzne plany</w:t>
            </w:r>
            <w:r w:rsidR="008300BE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Wzrost sprzedaży w pierwszym </w:t>
            </w:r>
            <w:r w:rsidR="0042119F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półroczu</w:t>
            </w:r>
            <w:r w:rsidR="008300BE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2023 roku w</w:t>
            </w:r>
            <w:r w:rsidR="002D3F9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8300BE"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porównaniu do analogicznego okresu roku poprzedniego</w:t>
            </w:r>
            <w:r w:rsidRPr="0042119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wynika przede wszystkim </w:t>
            </w:r>
            <w:r w:rsidRPr="00E22A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ze zwiększon</w:t>
            </w:r>
            <w:r w:rsidR="00A96B52" w:rsidRPr="00E22A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ej skali działalności </w:t>
            </w:r>
            <w:r w:rsidR="009625D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(</w:t>
            </w:r>
            <w:r w:rsidR="00E22AAD" w:rsidRPr="00E22A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nabycie udziałów w nowym przedsięwzięciu, wzrost wolumenu odebranego i przetworzonego w zakresie działalności odpadowej oraz większa liczba realizowanych kontraktów w segmencie drogowym)‎.</w:t>
            </w:r>
            <w:r w:rsidR="006943AF" w:rsidRPr="001D4924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  <w:t xml:space="preserve"> </w:t>
            </w:r>
          </w:p>
          <w:bookmarkEnd w:id="0"/>
          <w:bookmarkEnd w:id="1"/>
          <w:bookmarkEnd w:id="2"/>
          <w:p w14:paraId="78B44991" w14:textId="77777777" w:rsidR="00815619" w:rsidRPr="007C69AF" w:rsidRDefault="00815619" w:rsidP="00775CAB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52131B27" w14:textId="77777777" w:rsidR="00FC43CA" w:rsidRPr="006B3CBD" w:rsidRDefault="00FC43CA" w:rsidP="00FC43CA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Perspektywy rynkowe</w:t>
            </w:r>
          </w:p>
          <w:p w14:paraId="62FDEDDF" w14:textId="77777777" w:rsidR="004572A8" w:rsidRPr="006B3CBD" w:rsidRDefault="004572A8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E21A958" w14:textId="0AB0B886" w:rsidR="00C47CAD" w:rsidRPr="006B3CBD" w:rsidRDefault="00C47CAD" w:rsidP="00C47CA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Aktualny portfel zamówień Grupy Budimex w pełni zabezpiecza front robót do końca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bieżącego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D492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 w połączeniu z projektami w poczekalni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daje </w:t>
            </w:r>
            <w:r w:rsidR="001D492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solidne fundamenty działalności na lata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2024-202</w:t>
            </w:r>
            <w:r w:rsidR="001D492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 </w:t>
            </w:r>
          </w:p>
          <w:p w14:paraId="36D540BF" w14:textId="77777777" w:rsidR="00C47CAD" w:rsidRDefault="00C47CAD" w:rsidP="00C47CA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F426F36" w14:textId="6EF92179" w:rsidR="00224D91" w:rsidRDefault="001D4924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Niezmiennie kluczowym</w:t>
            </w:r>
            <w:r w:rsidR="00224D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wyzwaniem pozostaje </w:t>
            </w:r>
            <w:r w:rsidR="006E072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jednak walka o nowe</w:t>
            </w:r>
            <w:r w:rsidR="00D22E3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zamówie</w:t>
            </w:r>
            <w:r w:rsidR="006E072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nia</w:t>
            </w:r>
            <w:r w:rsidR="00224D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które będą dawać </w:t>
            </w:r>
            <w:r w:rsidR="00475BF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możliwość utrzymania stabilnej rentowności</w:t>
            </w:r>
            <w:r w:rsidR="00224D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575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długiej perspektywie</w:t>
            </w:r>
            <w:r w:rsidR="00D22E3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224D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 rynku</w:t>
            </w:r>
            <w:r w:rsidR="00D22E3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</w:t>
            </w:r>
            <w:r w:rsidR="00224D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bserwujemy postępujące</w:t>
            </w:r>
            <w:r w:rsidR="00D22E3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zaostrzenie konkurencji</w:t>
            </w:r>
            <w:r w:rsidR="00224D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zarówno na</w:t>
            </w:r>
            <w:r w:rsidR="00D22E3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rynku drogowym </w:t>
            </w:r>
            <w:r w:rsidR="00224D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jak i kolejowym</w:t>
            </w:r>
            <w:r w:rsidR="004572A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224D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Spodziewamy się</w:t>
            </w:r>
            <w:r w:rsidR="004572A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że w perspektywie kilku kwartałów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konsekwencją agresywnej polityki cenowej konkurentów będzie presja </w:t>
            </w:r>
            <w:r w:rsidR="004572A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marże w branży. 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Mając na uwadze niepewną sytuację makroekonomiczną i wahania cen materiałów niezmiennie </w:t>
            </w:r>
            <w:r w:rsidR="0012600E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podchodzimy 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ostrożnie </w:t>
            </w:r>
            <w:r w:rsidR="0012600E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 nowych ofert, rzetelnie i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2600E" w:rsidRPr="00DC48A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odpowiedzialnie kalkulując kosztorysy</w:t>
            </w:r>
            <w:r w:rsidR="00D22E3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01C4FA69" w14:textId="77777777" w:rsidR="00224D91" w:rsidRDefault="00224D91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93B9146" w14:textId="5B50D89E" w:rsidR="00342FCE" w:rsidRDefault="00224D91" w:rsidP="00342F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Spodziewamy się, że d</w:t>
            </w:r>
            <w:r w:rsidR="0012600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ywersyfikacja segmentowa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oraz budowanie unikalnych kompetencji a także ekspansja na rynki zagraniczne to kierunki, które w długiej perspektywie pozwolą nam na </w:t>
            </w:r>
            <w:r w:rsidR="008575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zachowanie przewagi konkurencyjnej 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wzmocnienie pozycji lidera branży. </w:t>
            </w:r>
            <w:r w:rsidR="008575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drugim kwartale br. Mostostal Kraków przejął spółkę </w:t>
            </w:r>
            <w:proofErr w:type="spellStart"/>
            <w:r w:rsidR="008575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Konstalex</w:t>
            </w:r>
            <w:proofErr w:type="spellEnd"/>
            <w:r w:rsidR="008575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która specjalizuje się w budowie konstrukcji stalowych dla obszaru energetyki i</w:t>
            </w:r>
            <w:r w:rsidR="001E721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8575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infrastruktury. Ta akwizycja wpisuje się w strategię rozwoju Mostostalu Kraków oraz całej Grupy Budimex</w:t>
            </w:r>
            <w:r w:rsidR="00F9365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8575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uzupełniając potencjał produkcyjny o nowe typy konstrukcji stalowych. </w:t>
            </w:r>
            <w:r w:rsidR="00342FC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ostatnim półroczu portfel zleceń rozbudował również </w:t>
            </w:r>
            <w:proofErr w:type="spellStart"/>
            <w:r w:rsidR="00342FC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 w:rsidR="00342FC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Spółka podpisała umowy m.in. na utrzymanie biurowca </w:t>
            </w:r>
            <w:proofErr w:type="spellStart"/>
            <w:r w:rsidR="00342FC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Tischenra</w:t>
            </w:r>
            <w:proofErr w:type="spellEnd"/>
            <w:r w:rsidR="00342FC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Office w Krakowie, obsługę techniczną Montowni w Gdańsku oraz dwa kontrakty drogowe z olsztyńskim oddziałem GDDKiA. </w:t>
            </w:r>
          </w:p>
          <w:p w14:paraId="1BBF88F5" w14:textId="77777777" w:rsidR="00342FCE" w:rsidRDefault="00342FCE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393836A" w14:textId="4E50434D" w:rsidR="00B335BA" w:rsidRDefault="00857523" w:rsidP="00A9421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 rozpoczęciu działalności na rynku niemieckim, słowackim i czeskim pracujemy nad pozyskaniem zleceń na rynku łotewskim. Jesteśmy w postępowaniu dotyczącym 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Rail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Baltica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gdzie konsorcjum z udziałem Budimex zostało wybrane do dalszych negocjacji. </w:t>
            </w:r>
            <w:r w:rsidR="00F9365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Natomiast jest to kolejny etap przetargu i na tę chwilę nie wiadomo jaki będzie jego finał. </w:t>
            </w:r>
            <w:r w:rsidR="00A942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Mamy odpowiedni sprzęt</w:t>
            </w:r>
            <w:r w:rsidR="003355E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A942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ludzi i doświadczenie</w:t>
            </w:r>
            <w:r w:rsidR="00916A8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A942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aby realizować tak złożone kontrakty i</w:t>
            </w:r>
            <w:r w:rsidR="0003473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A942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traktujemy t</w:t>
            </w:r>
            <w:r w:rsidR="0061486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</w:t>
            </w:r>
            <w:r w:rsidR="00A942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zlecenie jako szansę na wzmocnienie naszej pozycji</w:t>
            </w:r>
            <w:r w:rsidR="0061486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A9421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wiodącej firmy budowlanej w obszarze Europy Środkowo-Wschodniej. </w:t>
            </w:r>
          </w:p>
          <w:p w14:paraId="1574205B" w14:textId="77777777" w:rsidR="00A9421C" w:rsidRDefault="00A9421C" w:rsidP="00A9421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4B1DD62" w14:textId="7832B81C" w:rsidR="004572A8" w:rsidRDefault="00916A8F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Kontynuujemy </w:t>
            </w:r>
            <w:r w:rsidR="00B335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obrany kierunek rozwoju w obszarze inwestycji w energię odnawialną</w:t>
            </w:r>
            <w:r w:rsidR="008575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B335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575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</w:t>
            </w:r>
            <w:r w:rsidR="0003473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8575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nowo powstałej spółce </w:t>
            </w:r>
            <w:r w:rsidR="00B335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BXF Energia</w:t>
            </w:r>
            <w:r w:rsidR="008575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planujemy w</w:t>
            </w:r>
            <w:r w:rsidR="00B335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perspektywie 4-5 lat </w:t>
            </w:r>
            <w:r w:rsidR="008575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zbudować</w:t>
            </w:r>
            <w:r w:rsidR="006C056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B335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portfel projektów OZE o mocy ok. 500 MW z wiatru i słońca w eksploatacji lub budowie</w:t>
            </w:r>
            <w:r w:rsidR="006C056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F12F8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Aktualnie pracujemy nad projektami o mocy ponad 200 MW, dodatkowo analizujemy nowe projekty na bardzo wczesnym etapie rozwoju.</w:t>
            </w:r>
            <w:r w:rsidR="00B335B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5752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Jeszcze w tym roku chcielibyśmy zainwestować około 100 milionów złotych w projekty z zakresu zielonej energii. </w:t>
            </w:r>
          </w:p>
          <w:p w14:paraId="2F28BE11" w14:textId="77777777" w:rsidR="00342FCE" w:rsidRDefault="00342FCE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6610783" w14:textId="6EA9680F" w:rsidR="00342FCE" w:rsidRDefault="00342FCE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Sukcesywnie budujemy nasz potencjał w obszarze 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elektromobilności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Włączamy się </w:t>
            </w:r>
            <w:r w:rsidR="000D29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rozwój krajowej infrastruktury ładowania pojazdów elektrycznych. Kilka miesięcy po transakcji zakupu 112 stacji w czterech polskich miastach od firmy Enea Operator, przekazaliśmy do użytku pierwsze urządzenia z logo Budimex 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Mobility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Z 27 nowych ładowarek korzystać mogą już mieszkańcy Bydgoszczy</w:t>
            </w:r>
            <w:r w:rsidR="00224B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 z 9 kolejnych w Szczecinie.  </w:t>
            </w:r>
          </w:p>
          <w:p w14:paraId="2BBD8320" w14:textId="77777777" w:rsidR="004A57C9" w:rsidRDefault="004A57C9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93A1BCD" w14:textId="7D33F1C8" w:rsidR="004A57C9" w:rsidRDefault="004A57C9" w:rsidP="004A57C9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Nagrody i wyróżnienia</w:t>
            </w:r>
          </w:p>
          <w:p w14:paraId="6306DA44" w14:textId="77777777" w:rsidR="004A57C9" w:rsidRDefault="004A57C9" w:rsidP="004A57C9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57BC3C20" w14:textId="7409FA3D" w:rsidR="004A57C9" w:rsidRDefault="004A57C9" w:rsidP="004A57C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Staranność i jakość z jaką realizujemy powierzane nam przez Inwestorów zadania są doceniane i wyróżniane przez branżę. W minionych miesiącach</w:t>
            </w:r>
            <w:r w:rsidR="000D29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Budimex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 raz kolejny uzyska</w:t>
            </w:r>
            <w:r w:rsidR="000D29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ł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najwyższy wynik w badaniu przeprowadzonym przez ASM Centrum Badań </w:t>
            </w:r>
            <w:r w:rsidR="000D29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 Analiz Rynku</w:t>
            </w:r>
            <w:r w:rsidR="00224B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wśród podwykonawców branży budowlanej</w:t>
            </w:r>
            <w:r w:rsidR="000D29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O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trzymaliśmy tytuł </w:t>
            </w:r>
            <w:r w:rsidRPr="004A57C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„Generalnego wykonawcy ‎przyjaznego firmom budowlanym”</w:t>
            </w:r>
            <w:r w:rsidR="000D29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Zostaliśmy także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liderem podkategorii dotyczących m.in. bezpieczeństwa czy warunków płatności i terminowości </w:t>
            </w:r>
            <w:r w:rsidR="00224B0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rozliczeń z podwykonawcami.</w:t>
            </w:r>
          </w:p>
          <w:p w14:paraId="706408DF" w14:textId="77777777" w:rsidR="004A57C9" w:rsidRDefault="004A57C9" w:rsidP="004A57C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8F4269B" w14:textId="510223AE" w:rsidR="004A57C9" w:rsidRDefault="004A57C9" w:rsidP="004A57C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maju otrzymaliśmy nagrodę Top Builder 2023 za modernizację linii kolejowej E-59 na odcinku Rokietnica-Wronki. To przykład inwestycji wymagającej wysokich umiejętności i nowatorskich rozwiązań. Podobnym kontraktem była</w:t>
            </w:r>
            <w:r w:rsidR="000D29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zakończona przez Budimex na początku roku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budowa fabryki 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PepsiCo</w:t>
            </w:r>
            <w:proofErr w:type="spellEnd"/>
            <w:r w:rsidR="00220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Środzie Śląskiej – najbardziej zrównoważonego zakładu firmy zlokalizowanego w Europie.</w:t>
            </w:r>
          </w:p>
          <w:p w14:paraId="27162BFB" w14:textId="77777777" w:rsidR="00220B1D" w:rsidRDefault="00220B1D" w:rsidP="004A57C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09B5C26" w14:textId="35B9F560" w:rsidR="00220B1D" w:rsidRDefault="00220B1D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Oprócz nagród branżowych</w:t>
            </w:r>
            <w:r w:rsidR="00C650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–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220B1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Tygodnik Polityka, firma doradcza Deloitte oraz Forum Odpowiedzialnego Biznesu</w:t>
            </w:r>
            <w:r w:rsidR="00C650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–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wskazały Budimex jako jedną z firm będących liderem zrównoważonego rozwoju i ESG w Polsce. To kolejny Listek CSR Polityki, który mamy na swoim koncie. </w:t>
            </w:r>
          </w:p>
          <w:p w14:paraId="6257B2A1" w14:textId="77777777" w:rsidR="00CE6FB8" w:rsidRDefault="00CE6FB8" w:rsidP="004572A8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91F7381" w14:textId="3AA5D203" w:rsidR="00220B1D" w:rsidRDefault="00220B1D" w:rsidP="00220B1D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Odpowiedzialność i zrównoważony rozwój</w:t>
            </w:r>
          </w:p>
          <w:p w14:paraId="0E6F1B4D" w14:textId="77777777" w:rsidR="00220B1D" w:rsidRDefault="00220B1D" w:rsidP="00220B1D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4020F544" w14:textId="6D1C3C55" w:rsidR="00220B1D" w:rsidRDefault="00220B1D" w:rsidP="00220B1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Grupie Budimex uważnie obserwujemy otaczającą nas rzeczywistość rozumiemy, że potencjał biznesowy przedsiębiorstwa nie może</w:t>
            </w:r>
            <w:r w:rsidR="00C650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być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dziś budowany w oderwaniu od odpowiedzialności – środowiskowej </w:t>
            </w:r>
            <w:r w:rsidR="0016666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społecznej. Na początku lipca br. ogłosiliśmy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Strategię Budimex na lata 2023-2026 w obszarze zrównoważonego rozwoju. Dokument ten ma uporządkować i przyspieszyć nasze działania w obszarze ESG. </w:t>
            </w:r>
          </w:p>
          <w:p w14:paraId="29EE0766" w14:textId="4CFF59BA" w:rsidR="00166669" w:rsidRDefault="00166669" w:rsidP="00220B1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8DD4C64" w14:textId="77777777" w:rsidR="003B7F94" w:rsidRDefault="003B7F94" w:rsidP="003B7F9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2E28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 2050 roku Budimex chce osiągnąć neutralność klimatyczną. Na drodze ku </w:t>
            </w:r>
            <w:proofErr w:type="spellStart"/>
            <w:r w:rsidRPr="002E28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zeroemisyjności</w:t>
            </w:r>
            <w:proofErr w:type="spellEnd"/>
            <w:r w:rsidRPr="002E28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planuje dalsze inwestycje w rozwój energii odnawialnej, ograniczanie emisji CO</w:t>
            </w:r>
            <w:r w:rsidRPr="002E2815">
              <w:rPr>
                <w:rFonts w:ascii="Tahoma" w:eastAsia="Tahoma" w:hAnsi="Tahoma" w:cs="Tahoma"/>
                <w:bCs/>
                <w:color w:val="808080"/>
                <w:sz w:val="18"/>
                <w:szCs w:val="18"/>
                <w:vertAlign w:val="subscript"/>
              </w:rPr>
              <w:t>2</w:t>
            </w:r>
            <w:r w:rsidRPr="002E28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oraz sukcesywne wdrażanie zasad gospodarki o obiegu zamkniętym w całym procesie budowlanym.</w:t>
            </w:r>
          </w:p>
          <w:p w14:paraId="2CC85146" w14:textId="77777777" w:rsidR="003B7F94" w:rsidRPr="002E2815" w:rsidRDefault="003B7F94" w:rsidP="003B7F9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BE2C612" w14:textId="77777777" w:rsidR="003B7F94" w:rsidRDefault="003B7F94" w:rsidP="003B7F9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2E281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2026 roku 100 proc. energii elektrycznej z OZE produkowanej w Grupie ma być przeznaczane na bieżące potrzeby operacyjne Budimex. Od 2024 roku spółka poddawać będzie recyklingowi ok. 70 proc. gleby i ziemi oraz odpadów innych niż niebezpieczne. Jako jedna z pierwszych firm w Polsce będzie również mierzyć swój ślad wodny.</w:t>
            </w:r>
          </w:p>
          <w:p w14:paraId="65D559A2" w14:textId="77777777" w:rsidR="003B7F94" w:rsidRPr="002E2815" w:rsidRDefault="003B7F94" w:rsidP="003B7F9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4DC856D" w14:textId="77777777" w:rsidR="003B7F94" w:rsidRDefault="003B7F94" w:rsidP="003B7F9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AF77DD0" w14:textId="77777777" w:rsidR="003B7F94" w:rsidRPr="000D29F3" w:rsidRDefault="003B7F94" w:rsidP="003B7F94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Bezpieczeństwo, e</w:t>
            </w:r>
            <w:r w:rsidRPr="008F41B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dukacja i CSR </w:t>
            </w:r>
          </w:p>
          <w:p w14:paraId="63A27EE2" w14:textId="345584BB" w:rsidR="003B7F94" w:rsidRDefault="003B7F94" w:rsidP="003B7F9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maju tego roku, wraz z całym sektorem budowlanym, obchodziliśmy jubileuszowy Tydzień Bezpieczeństwa pod hasłem </w:t>
            </w:r>
            <w:r w:rsidRPr="003C1C0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„Stop ma moc. Uważam, nie narażam”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organizując szereg szkoleń i akcji zwiększających świadomość naszych pracowników. W ramach zaangażowania w ochronę środowiska naturalnego, posadziliśmy z mieszkańcami Mokotowa i Wilanowa pierwsze 140 drzew wokół budowy warszawskiego Tramwaju na Wilanów. Docelowo, oprócz </w:t>
            </w:r>
            <w:proofErr w:type="spellStart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nasadzeń</w:t>
            </w:r>
            <w:proofErr w:type="spellEnd"/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kompensacyjnych, w otoczeniu inwestycji pojawi się ponad 400 nowych drzew.</w:t>
            </w:r>
          </w:p>
          <w:p w14:paraId="6BEA9AA3" w14:textId="77777777" w:rsidR="003B7F94" w:rsidRDefault="003B7F94" w:rsidP="003B7F9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23B46B1" w14:textId="77777777" w:rsidR="003B7F94" w:rsidRDefault="003B7F94" w:rsidP="003B7F9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Pierwsze półrocze obfitowało również w wydarzenia związane z flagowymi projektami społecznymi Grupy Budimex. W czerwcu otworzyliśmy w Ełku 42. Strefę Rodzica. Przestrzeń odpoczynku i zabawy dla rodzin powstała </w:t>
            </w:r>
            <w:r w:rsidRPr="00CE6FB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oddziale pediatrycznym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szpitala</w:t>
            </w:r>
            <w:r w:rsidRPr="00CE6FB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„Pro-</w:t>
            </w:r>
            <w:proofErr w:type="spellStart"/>
            <w:r w:rsidRPr="00CE6FB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Medica</w:t>
            </w:r>
            <w:proofErr w:type="spellEnd"/>
            <w:r w:rsidRPr="00CE6FB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”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Z okazji Dnia Dziecka włączyliśmy się również w organizację kilku imprez specjalnych dla najmłodszych, gdzie w ramach programu </w:t>
            </w:r>
            <w:r w:rsidRPr="00CE6FB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„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Hello ICE. Budimex Dzieciom” edukowaliśmy na temat bezpieczeństwa w ruchu ulicznym. Odwiedziliśmy m.in. Warszawę, Ełk czy gminę Kołbaskowo. </w:t>
            </w:r>
          </w:p>
          <w:p w14:paraId="5713C84B" w14:textId="77777777" w:rsidR="003B7F94" w:rsidRDefault="003B7F94" w:rsidP="003B7F9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CF7D6D7" w14:textId="77777777" w:rsidR="003B7F94" w:rsidRPr="00C6502C" w:rsidRDefault="003B7F94" w:rsidP="003B7F9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Budimex wierzymy w siłę i pomysłowość młodych ludzi. Wspólnie z Fundacją Zwolnieni z Teorii zorganizowaliśmy ogólnopolski konkurs dla uczniów techników budowlanych na najbardziej innowacyjny projekt CSR. Podczas wielkiego finału, zorganizowanego w maju na warszawskim Służewcu, wyróżniliśmy trzy zwycięskie projekty. Pula nagród w konkursie przekroczyła 75 tys. zł.</w:t>
            </w:r>
          </w:p>
          <w:p w14:paraId="34745126" w14:textId="77777777" w:rsidR="002E2815" w:rsidRPr="002E2815" w:rsidRDefault="002E2815" w:rsidP="002E281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4BE80C7" w14:textId="75187DB9" w:rsidR="00DE4D7D" w:rsidRPr="00FC43CA" w:rsidRDefault="00DE4D7D" w:rsidP="00212FA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</w:tc>
        <w:tc>
          <w:tcPr>
            <w:tcW w:w="3024" w:type="dxa"/>
          </w:tcPr>
          <w:p w14:paraId="5B5F2F21" w14:textId="2DED115D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6D9FE0D9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2981D933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75763072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522D8B16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83DA6A1" w14:textId="77777777" w:rsidR="00D824D3" w:rsidRPr="00FC43CA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02E4DF3" w14:textId="77777777" w:rsidR="00D824D3" w:rsidRPr="00FC43CA" w:rsidRDefault="00D824D3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</w:p>
          <w:p w14:paraId="7B71267C" w14:textId="77777777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  <w:r w:rsidRPr="00775CAB"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45C07FB4" w:rsidR="00D824D3" w:rsidRPr="00775CAB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>Michał Wrzosek</w:t>
            </w:r>
            <w:r w:rsidR="0053503C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-</w:t>
            </w: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Rzecznik Prasowy</w:t>
            </w:r>
          </w:p>
          <w:p w14:paraId="742DC472" w14:textId="77777777" w:rsidR="00D824D3" w:rsidRPr="00775CAB" w:rsidRDefault="00B63B5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775CAB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Pr="00775CAB" w:rsidRDefault="005D0189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hyperlink r:id="rId12">
              <w:r w:rsidR="00B63B5B" w:rsidRPr="00775CAB">
                <w:rPr>
                  <w:rFonts w:ascii="Verdana" w:eastAsia="Verdana" w:hAnsi="Verdana" w:cs="Verdana"/>
                  <w:bCs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Pr="00775CAB" w:rsidRDefault="005D0189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18"/>
                <w:szCs w:val="18"/>
              </w:rPr>
            </w:pPr>
            <w:hyperlink r:id="rId13">
              <w:r w:rsidR="00B63B5B" w:rsidRPr="00775CAB">
                <w:rPr>
                  <w:rFonts w:ascii="Tahoma" w:eastAsia="Tahoma" w:hAnsi="Tahoma" w:cs="Tahoma"/>
                  <w:bCs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0E328550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331147F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CEC1C16" w14:textId="77777777" w:rsidR="00D824D3" w:rsidRPr="00775CAB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</w:tc>
      </w:tr>
    </w:tbl>
    <w:p w14:paraId="6E7F5698" w14:textId="7B88D0D5" w:rsidR="00D824D3" w:rsidRDefault="00D824D3" w:rsidP="00AD7834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B842" w14:textId="77777777" w:rsidR="00E67E20" w:rsidRDefault="00E67E20">
      <w:pPr>
        <w:spacing w:after="0" w:line="240" w:lineRule="auto"/>
      </w:pPr>
      <w:r>
        <w:separator/>
      </w:r>
    </w:p>
  </w:endnote>
  <w:endnote w:type="continuationSeparator" w:id="0">
    <w:p w14:paraId="72D78D04" w14:textId="77777777" w:rsidR="00E67E20" w:rsidRDefault="00E6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8567" w14:textId="77777777" w:rsidR="00E67E20" w:rsidRDefault="00E67E20">
      <w:pPr>
        <w:spacing w:after="0" w:line="240" w:lineRule="auto"/>
      </w:pPr>
      <w:r>
        <w:separator/>
      </w:r>
    </w:p>
  </w:footnote>
  <w:footnote w:type="continuationSeparator" w:id="0">
    <w:p w14:paraId="24D00D45" w14:textId="77777777" w:rsidR="00E67E20" w:rsidRDefault="00E67E20">
      <w:pPr>
        <w:spacing w:after="0" w:line="240" w:lineRule="auto"/>
      </w:pPr>
      <w:r>
        <w:continuationSeparator/>
      </w:r>
    </w:p>
  </w:footnote>
  <w:footnote w:id="1">
    <w:p w14:paraId="5CB3F0DA" w14:textId="2BB99B7D" w:rsidR="0069685B" w:rsidRPr="0069685B" w:rsidRDefault="0069685B">
      <w:pPr>
        <w:pStyle w:val="Tekstprzypisudolnego"/>
        <w:rPr>
          <w:rFonts w:ascii="Tahoma" w:hAnsi="Tahoma" w:cs="Tahoma"/>
        </w:rPr>
      </w:pPr>
      <w:r w:rsidRPr="0069685B">
        <w:rPr>
          <w:rStyle w:val="Odwoanieprzypisudolnego"/>
          <w:rFonts w:ascii="Tahoma" w:hAnsi="Tahoma" w:cs="Tahoma"/>
          <w:color w:val="A6A6A6" w:themeColor="background1" w:themeShade="A6"/>
          <w:sz w:val="18"/>
          <w:szCs w:val="18"/>
        </w:rPr>
        <w:footnoteRef/>
      </w:r>
      <w:r w:rsidRPr="0069685B">
        <w:rPr>
          <w:rFonts w:ascii="Tahoma" w:hAnsi="Tahoma" w:cs="Tahoma"/>
          <w:color w:val="A6A6A6" w:themeColor="background1" w:themeShade="A6"/>
          <w:sz w:val="18"/>
          <w:szCs w:val="18"/>
        </w:rPr>
        <w:t xml:space="preserve"> przypadający akcjonariuszom Jednostki Dominującej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BB07B9"/>
    <w:multiLevelType w:val="hybridMultilevel"/>
    <w:tmpl w:val="FFAAB1F4"/>
    <w:lvl w:ilvl="0" w:tplc="4C107D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2B8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145467660">
    <w:abstractNumId w:val="0"/>
  </w:num>
  <w:num w:numId="2" w16cid:durableId="1547525273">
    <w:abstractNumId w:val="5"/>
  </w:num>
  <w:num w:numId="3" w16cid:durableId="1196965386">
    <w:abstractNumId w:val="2"/>
  </w:num>
  <w:num w:numId="4" w16cid:durableId="1619530281">
    <w:abstractNumId w:val="3"/>
  </w:num>
  <w:num w:numId="5" w16cid:durableId="110520937">
    <w:abstractNumId w:val="4"/>
  </w:num>
  <w:num w:numId="6" w16cid:durableId="104984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2NDQ1MDOysLA0MzRT0lEKTi0uzszPAykwrAUAP32WMywAAAA="/>
  </w:docVars>
  <w:rsids>
    <w:rsidRoot w:val="00D824D3"/>
    <w:rsid w:val="0000116D"/>
    <w:rsid w:val="00002FA2"/>
    <w:rsid w:val="00005901"/>
    <w:rsid w:val="0001222E"/>
    <w:rsid w:val="000150C1"/>
    <w:rsid w:val="0001727E"/>
    <w:rsid w:val="00027A52"/>
    <w:rsid w:val="00031C8A"/>
    <w:rsid w:val="00032F3D"/>
    <w:rsid w:val="00033E4A"/>
    <w:rsid w:val="00033EEE"/>
    <w:rsid w:val="0003473D"/>
    <w:rsid w:val="0003691C"/>
    <w:rsid w:val="00044B01"/>
    <w:rsid w:val="000471E4"/>
    <w:rsid w:val="00053E58"/>
    <w:rsid w:val="000602EE"/>
    <w:rsid w:val="0006084D"/>
    <w:rsid w:val="00061B68"/>
    <w:rsid w:val="00061F85"/>
    <w:rsid w:val="0006314F"/>
    <w:rsid w:val="000644F6"/>
    <w:rsid w:val="00080EA6"/>
    <w:rsid w:val="00081F90"/>
    <w:rsid w:val="00083EB2"/>
    <w:rsid w:val="0008411D"/>
    <w:rsid w:val="00084D2C"/>
    <w:rsid w:val="00084DAA"/>
    <w:rsid w:val="000908AD"/>
    <w:rsid w:val="0009261F"/>
    <w:rsid w:val="000935B7"/>
    <w:rsid w:val="00093C5B"/>
    <w:rsid w:val="00094318"/>
    <w:rsid w:val="00096E60"/>
    <w:rsid w:val="000A0D19"/>
    <w:rsid w:val="000A29DB"/>
    <w:rsid w:val="000A4C94"/>
    <w:rsid w:val="000B0FF0"/>
    <w:rsid w:val="000B2C44"/>
    <w:rsid w:val="000B38FA"/>
    <w:rsid w:val="000B4EAD"/>
    <w:rsid w:val="000B570C"/>
    <w:rsid w:val="000B7985"/>
    <w:rsid w:val="000C0857"/>
    <w:rsid w:val="000C60FB"/>
    <w:rsid w:val="000D29F3"/>
    <w:rsid w:val="000D4CA2"/>
    <w:rsid w:val="000D51F1"/>
    <w:rsid w:val="000D6166"/>
    <w:rsid w:val="000E4D10"/>
    <w:rsid w:val="000E5514"/>
    <w:rsid w:val="000F478F"/>
    <w:rsid w:val="000F734A"/>
    <w:rsid w:val="000F7CDD"/>
    <w:rsid w:val="00102CF5"/>
    <w:rsid w:val="00103FBA"/>
    <w:rsid w:val="00106347"/>
    <w:rsid w:val="00120F42"/>
    <w:rsid w:val="00121797"/>
    <w:rsid w:val="00125739"/>
    <w:rsid w:val="0012600E"/>
    <w:rsid w:val="00131EA2"/>
    <w:rsid w:val="00135A1E"/>
    <w:rsid w:val="001378BE"/>
    <w:rsid w:val="001415FC"/>
    <w:rsid w:val="00146C8B"/>
    <w:rsid w:val="00147473"/>
    <w:rsid w:val="0015239C"/>
    <w:rsid w:val="00154AF9"/>
    <w:rsid w:val="00164288"/>
    <w:rsid w:val="001652FF"/>
    <w:rsid w:val="0016660D"/>
    <w:rsid w:val="00166669"/>
    <w:rsid w:val="00171E71"/>
    <w:rsid w:val="00176796"/>
    <w:rsid w:val="00176B23"/>
    <w:rsid w:val="00177F03"/>
    <w:rsid w:val="00180DCA"/>
    <w:rsid w:val="00183716"/>
    <w:rsid w:val="00184033"/>
    <w:rsid w:val="00184B5B"/>
    <w:rsid w:val="00185CBD"/>
    <w:rsid w:val="0019013E"/>
    <w:rsid w:val="001906A3"/>
    <w:rsid w:val="00191813"/>
    <w:rsid w:val="00192F14"/>
    <w:rsid w:val="00193800"/>
    <w:rsid w:val="00196E4D"/>
    <w:rsid w:val="001A13BD"/>
    <w:rsid w:val="001A4444"/>
    <w:rsid w:val="001A4687"/>
    <w:rsid w:val="001A5E03"/>
    <w:rsid w:val="001B18F8"/>
    <w:rsid w:val="001B3A88"/>
    <w:rsid w:val="001B53AC"/>
    <w:rsid w:val="001C05E8"/>
    <w:rsid w:val="001C6BED"/>
    <w:rsid w:val="001C78CD"/>
    <w:rsid w:val="001D1508"/>
    <w:rsid w:val="001D3BBF"/>
    <w:rsid w:val="001D4924"/>
    <w:rsid w:val="001D6D47"/>
    <w:rsid w:val="001E2FCE"/>
    <w:rsid w:val="001E3718"/>
    <w:rsid w:val="001E5D2F"/>
    <w:rsid w:val="001E5F16"/>
    <w:rsid w:val="001E6465"/>
    <w:rsid w:val="001E655D"/>
    <w:rsid w:val="001E7216"/>
    <w:rsid w:val="001F3AC1"/>
    <w:rsid w:val="001F3B78"/>
    <w:rsid w:val="001F540C"/>
    <w:rsid w:val="001F6968"/>
    <w:rsid w:val="00200282"/>
    <w:rsid w:val="00205C0B"/>
    <w:rsid w:val="00207D56"/>
    <w:rsid w:val="00210B3A"/>
    <w:rsid w:val="00210B70"/>
    <w:rsid w:val="0021267C"/>
    <w:rsid w:val="00212FA6"/>
    <w:rsid w:val="0022070B"/>
    <w:rsid w:val="00220B1D"/>
    <w:rsid w:val="00224B03"/>
    <w:rsid w:val="00224D91"/>
    <w:rsid w:val="002332A6"/>
    <w:rsid w:val="00234145"/>
    <w:rsid w:val="00235BCA"/>
    <w:rsid w:val="0023777F"/>
    <w:rsid w:val="00241059"/>
    <w:rsid w:val="002431E6"/>
    <w:rsid w:val="00244B52"/>
    <w:rsid w:val="002451CA"/>
    <w:rsid w:val="00246369"/>
    <w:rsid w:val="00247108"/>
    <w:rsid w:val="002560E2"/>
    <w:rsid w:val="002572B2"/>
    <w:rsid w:val="0026041E"/>
    <w:rsid w:val="002606E5"/>
    <w:rsid w:val="0026199D"/>
    <w:rsid w:val="002666B2"/>
    <w:rsid w:val="00270259"/>
    <w:rsid w:val="002705D2"/>
    <w:rsid w:val="00271E13"/>
    <w:rsid w:val="00276417"/>
    <w:rsid w:val="00277101"/>
    <w:rsid w:val="002773EE"/>
    <w:rsid w:val="002831E6"/>
    <w:rsid w:val="00286464"/>
    <w:rsid w:val="00287756"/>
    <w:rsid w:val="00291889"/>
    <w:rsid w:val="002925D8"/>
    <w:rsid w:val="0029747F"/>
    <w:rsid w:val="002A381C"/>
    <w:rsid w:val="002A5397"/>
    <w:rsid w:val="002A572C"/>
    <w:rsid w:val="002A6649"/>
    <w:rsid w:val="002A6AC8"/>
    <w:rsid w:val="002A6E36"/>
    <w:rsid w:val="002B24AA"/>
    <w:rsid w:val="002B2FB1"/>
    <w:rsid w:val="002B47CE"/>
    <w:rsid w:val="002B6F72"/>
    <w:rsid w:val="002C0A13"/>
    <w:rsid w:val="002C4D36"/>
    <w:rsid w:val="002C6B44"/>
    <w:rsid w:val="002C71F2"/>
    <w:rsid w:val="002C72FF"/>
    <w:rsid w:val="002D0A73"/>
    <w:rsid w:val="002D3F9A"/>
    <w:rsid w:val="002D52EE"/>
    <w:rsid w:val="002E2815"/>
    <w:rsid w:val="002E348B"/>
    <w:rsid w:val="002E4678"/>
    <w:rsid w:val="002E4732"/>
    <w:rsid w:val="002F2A15"/>
    <w:rsid w:val="002F35F7"/>
    <w:rsid w:val="003023A0"/>
    <w:rsid w:val="0030310D"/>
    <w:rsid w:val="00310980"/>
    <w:rsid w:val="00312C4B"/>
    <w:rsid w:val="00314819"/>
    <w:rsid w:val="0031612E"/>
    <w:rsid w:val="00323D83"/>
    <w:rsid w:val="003242A3"/>
    <w:rsid w:val="00330315"/>
    <w:rsid w:val="00330932"/>
    <w:rsid w:val="003355E9"/>
    <w:rsid w:val="00335E0E"/>
    <w:rsid w:val="003371B4"/>
    <w:rsid w:val="00337C34"/>
    <w:rsid w:val="00337F4C"/>
    <w:rsid w:val="003413EC"/>
    <w:rsid w:val="00342FCE"/>
    <w:rsid w:val="00343F41"/>
    <w:rsid w:val="00352719"/>
    <w:rsid w:val="00356480"/>
    <w:rsid w:val="00360B0E"/>
    <w:rsid w:val="003615FB"/>
    <w:rsid w:val="003711C0"/>
    <w:rsid w:val="003734D3"/>
    <w:rsid w:val="00374264"/>
    <w:rsid w:val="00375A37"/>
    <w:rsid w:val="00377098"/>
    <w:rsid w:val="00380BE2"/>
    <w:rsid w:val="00382683"/>
    <w:rsid w:val="0038295F"/>
    <w:rsid w:val="00383BB6"/>
    <w:rsid w:val="00384766"/>
    <w:rsid w:val="0038504E"/>
    <w:rsid w:val="003858D5"/>
    <w:rsid w:val="00392AC2"/>
    <w:rsid w:val="003A0B81"/>
    <w:rsid w:val="003A74B7"/>
    <w:rsid w:val="003B17EA"/>
    <w:rsid w:val="003B19D7"/>
    <w:rsid w:val="003B2692"/>
    <w:rsid w:val="003B3277"/>
    <w:rsid w:val="003B7F94"/>
    <w:rsid w:val="003C0EF3"/>
    <w:rsid w:val="003C1C0C"/>
    <w:rsid w:val="003C2CDF"/>
    <w:rsid w:val="003C6385"/>
    <w:rsid w:val="003C69DD"/>
    <w:rsid w:val="003C6FEF"/>
    <w:rsid w:val="003D46A5"/>
    <w:rsid w:val="003D4B50"/>
    <w:rsid w:val="003D66BD"/>
    <w:rsid w:val="003E1C5E"/>
    <w:rsid w:val="003E4795"/>
    <w:rsid w:val="003F0366"/>
    <w:rsid w:val="003F479C"/>
    <w:rsid w:val="003F7F86"/>
    <w:rsid w:val="00406D9D"/>
    <w:rsid w:val="004151F3"/>
    <w:rsid w:val="00417A3F"/>
    <w:rsid w:val="0042081D"/>
    <w:rsid w:val="0042119F"/>
    <w:rsid w:val="004226D7"/>
    <w:rsid w:val="00423508"/>
    <w:rsid w:val="00424ADA"/>
    <w:rsid w:val="00426430"/>
    <w:rsid w:val="0044439A"/>
    <w:rsid w:val="00447762"/>
    <w:rsid w:val="00450B7A"/>
    <w:rsid w:val="004510B2"/>
    <w:rsid w:val="00452E75"/>
    <w:rsid w:val="00453309"/>
    <w:rsid w:val="00456535"/>
    <w:rsid w:val="00456A67"/>
    <w:rsid w:val="004572A8"/>
    <w:rsid w:val="004609BE"/>
    <w:rsid w:val="0046106B"/>
    <w:rsid w:val="00463013"/>
    <w:rsid w:val="00463ABF"/>
    <w:rsid w:val="00463DBB"/>
    <w:rsid w:val="00464544"/>
    <w:rsid w:val="00467362"/>
    <w:rsid w:val="00467924"/>
    <w:rsid w:val="00471B82"/>
    <w:rsid w:val="00475BFB"/>
    <w:rsid w:val="004763AA"/>
    <w:rsid w:val="00486407"/>
    <w:rsid w:val="00493212"/>
    <w:rsid w:val="004A002F"/>
    <w:rsid w:val="004A25A7"/>
    <w:rsid w:val="004A417F"/>
    <w:rsid w:val="004A4455"/>
    <w:rsid w:val="004A57C9"/>
    <w:rsid w:val="004B19B6"/>
    <w:rsid w:val="004B4F60"/>
    <w:rsid w:val="004C1457"/>
    <w:rsid w:val="004C2725"/>
    <w:rsid w:val="004D0CC7"/>
    <w:rsid w:val="004D1903"/>
    <w:rsid w:val="004D5354"/>
    <w:rsid w:val="004D578B"/>
    <w:rsid w:val="004D57DB"/>
    <w:rsid w:val="004D5A7C"/>
    <w:rsid w:val="004D6574"/>
    <w:rsid w:val="004D7BB2"/>
    <w:rsid w:val="004E039F"/>
    <w:rsid w:val="004E053D"/>
    <w:rsid w:val="004E25E2"/>
    <w:rsid w:val="004E3670"/>
    <w:rsid w:val="004E381F"/>
    <w:rsid w:val="004E3BF3"/>
    <w:rsid w:val="004E4375"/>
    <w:rsid w:val="004E514D"/>
    <w:rsid w:val="004E664B"/>
    <w:rsid w:val="004E7219"/>
    <w:rsid w:val="004E7872"/>
    <w:rsid w:val="004F5F2B"/>
    <w:rsid w:val="004F656D"/>
    <w:rsid w:val="004F76E3"/>
    <w:rsid w:val="0050050B"/>
    <w:rsid w:val="0050128F"/>
    <w:rsid w:val="005030B7"/>
    <w:rsid w:val="005106E9"/>
    <w:rsid w:val="00513957"/>
    <w:rsid w:val="005170F0"/>
    <w:rsid w:val="00517459"/>
    <w:rsid w:val="00522CB9"/>
    <w:rsid w:val="00523279"/>
    <w:rsid w:val="0052392A"/>
    <w:rsid w:val="00523965"/>
    <w:rsid w:val="005319A4"/>
    <w:rsid w:val="0053398D"/>
    <w:rsid w:val="00533CB6"/>
    <w:rsid w:val="0053503C"/>
    <w:rsid w:val="005403F2"/>
    <w:rsid w:val="00543269"/>
    <w:rsid w:val="00544A7C"/>
    <w:rsid w:val="0055003D"/>
    <w:rsid w:val="00551364"/>
    <w:rsid w:val="005525D3"/>
    <w:rsid w:val="00552AF7"/>
    <w:rsid w:val="00553801"/>
    <w:rsid w:val="005539C6"/>
    <w:rsid w:val="00553A39"/>
    <w:rsid w:val="00553D50"/>
    <w:rsid w:val="00556C60"/>
    <w:rsid w:val="0056066B"/>
    <w:rsid w:val="005623F5"/>
    <w:rsid w:val="00562455"/>
    <w:rsid w:val="0056314F"/>
    <w:rsid w:val="00563A0B"/>
    <w:rsid w:val="005717E9"/>
    <w:rsid w:val="00574EC5"/>
    <w:rsid w:val="00577B5C"/>
    <w:rsid w:val="0058424C"/>
    <w:rsid w:val="00584EAB"/>
    <w:rsid w:val="005863A7"/>
    <w:rsid w:val="0059770F"/>
    <w:rsid w:val="00597B7F"/>
    <w:rsid w:val="005A5043"/>
    <w:rsid w:val="005B039B"/>
    <w:rsid w:val="005B155B"/>
    <w:rsid w:val="005B248C"/>
    <w:rsid w:val="005B3CF6"/>
    <w:rsid w:val="005B5026"/>
    <w:rsid w:val="005C07AB"/>
    <w:rsid w:val="005C58F7"/>
    <w:rsid w:val="005C7276"/>
    <w:rsid w:val="005D0189"/>
    <w:rsid w:val="005D25D3"/>
    <w:rsid w:val="005D7C59"/>
    <w:rsid w:val="005E0107"/>
    <w:rsid w:val="005E090C"/>
    <w:rsid w:val="005E2831"/>
    <w:rsid w:val="005E4881"/>
    <w:rsid w:val="005E6ABC"/>
    <w:rsid w:val="005F1CF1"/>
    <w:rsid w:val="005F3B41"/>
    <w:rsid w:val="005F4BD2"/>
    <w:rsid w:val="005F65B4"/>
    <w:rsid w:val="005F6802"/>
    <w:rsid w:val="005F6D3C"/>
    <w:rsid w:val="005F75ED"/>
    <w:rsid w:val="005F7CFF"/>
    <w:rsid w:val="00607CC8"/>
    <w:rsid w:val="00610F49"/>
    <w:rsid w:val="00611BD0"/>
    <w:rsid w:val="006137A4"/>
    <w:rsid w:val="0061486F"/>
    <w:rsid w:val="00615980"/>
    <w:rsid w:val="006217C8"/>
    <w:rsid w:val="006221EC"/>
    <w:rsid w:val="00622393"/>
    <w:rsid w:val="00624E80"/>
    <w:rsid w:val="006273F5"/>
    <w:rsid w:val="006335D0"/>
    <w:rsid w:val="00634818"/>
    <w:rsid w:val="00634ACE"/>
    <w:rsid w:val="0063575A"/>
    <w:rsid w:val="00636727"/>
    <w:rsid w:val="00636F6F"/>
    <w:rsid w:val="0064310D"/>
    <w:rsid w:val="006449AE"/>
    <w:rsid w:val="00650F76"/>
    <w:rsid w:val="006511B1"/>
    <w:rsid w:val="006514B7"/>
    <w:rsid w:val="00651C6F"/>
    <w:rsid w:val="00652414"/>
    <w:rsid w:val="00653204"/>
    <w:rsid w:val="00654549"/>
    <w:rsid w:val="00660924"/>
    <w:rsid w:val="00660A27"/>
    <w:rsid w:val="00661489"/>
    <w:rsid w:val="00661E49"/>
    <w:rsid w:val="00662B0E"/>
    <w:rsid w:val="00663C56"/>
    <w:rsid w:val="00664FA5"/>
    <w:rsid w:val="00665EE0"/>
    <w:rsid w:val="006670FF"/>
    <w:rsid w:val="0067655C"/>
    <w:rsid w:val="00684AEF"/>
    <w:rsid w:val="00685FB2"/>
    <w:rsid w:val="006908D3"/>
    <w:rsid w:val="00691304"/>
    <w:rsid w:val="006913B6"/>
    <w:rsid w:val="00693AAB"/>
    <w:rsid w:val="006943AF"/>
    <w:rsid w:val="0069685B"/>
    <w:rsid w:val="006A1C56"/>
    <w:rsid w:val="006B12A4"/>
    <w:rsid w:val="006B342C"/>
    <w:rsid w:val="006B4024"/>
    <w:rsid w:val="006B4545"/>
    <w:rsid w:val="006B4A0C"/>
    <w:rsid w:val="006B4EE8"/>
    <w:rsid w:val="006B683D"/>
    <w:rsid w:val="006B7429"/>
    <w:rsid w:val="006C0560"/>
    <w:rsid w:val="006C26EC"/>
    <w:rsid w:val="006C7212"/>
    <w:rsid w:val="006D060D"/>
    <w:rsid w:val="006D1428"/>
    <w:rsid w:val="006D5288"/>
    <w:rsid w:val="006D546B"/>
    <w:rsid w:val="006D640A"/>
    <w:rsid w:val="006D721C"/>
    <w:rsid w:val="006E072B"/>
    <w:rsid w:val="006E130B"/>
    <w:rsid w:val="006E238E"/>
    <w:rsid w:val="006E566D"/>
    <w:rsid w:val="006E5944"/>
    <w:rsid w:val="006E61C6"/>
    <w:rsid w:val="006E716B"/>
    <w:rsid w:val="006F30C5"/>
    <w:rsid w:val="006F3FA9"/>
    <w:rsid w:val="007012C0"/>
    <w:rsid w:val="00702E01"/>
    <w:rsid w:val="00703F19"/>
    <w:rsid w:val="00704F7D"/>
    <w:rsid w:val="00705048"/>
    <w:rsid w:val="007065F1"/>
    <w:rsid w:val="00707906"/>
    <w:rsid w:val="0071028C"/>
    <w:rsid w:val="00710618"/>
    <w:rsid w:val="00710E33"/>
    <w:rsid w:val="00712B2C"/>
    <w:rsid w:val="007143D6"/>
    <w:rsid w:val="007157E1"/>
    <w:rsid w:val="007172F7"/>
    <w:rsid w:val="00717A8C"/>
    <w:rsid w:val="00725A96"/>
    <w:rsid w:val="00726BDF"/>
    <w:rsid w:val="00734DF8"/>
    <w:rsid w:val="007426FD"/>
    <w:rsid w:val="007429FA"/>
    <w:rsid w:val="00745755"/>
    <w:rsid w:val="00747599"/>
    <w:rsid w:val="00756852"/>
    <w:rsid w:val="00762BB9"/>
    <w:rsid w:val="007659C0"/>
    <w:rsid w:val="00770099"/>
    <w:rsid w:val="00770BC3"/>
    <w:rsid w:val="007724D1"/>
    <w:rsid w:val="00775CAB"/>
    <w:rsid w:val="0077747E"/>
    <w:rsid w:val="00777A92"/>
    <w:rsid w:val="007843E3"/>
    <w:rsid w:val="00794031"/>
    <w:rsid w:val="007A6067"/>
    <w:rsid w:val="007B4EE7"/>
    <w:rsid w:val="007C3807"/>
    <w:rsid w:val="007C69AF"/>
    <w:rsid w:val="007C6D66"/>
    <w:rsid w:val="007C79AA"/>
    <w:rsid w:val="007D043C"/>
    <w:rsid w:val="007D1D38"/>
    <w:rsid w:val="007D2158"/>
    <w:rsid w:val="007D3A36"/>
    <w:rsid w:val="007D5978"/>
    <w:rsid w:val="007D6975"/>
    <w:rsid w:val="007D7046"/>
    <w:rsid w:val="007D790E"/>
    <w:rsid w:val="007D7917"/>
    <w:rsid w:val="007E19BC"/>
    <w:rsid w:val="007E21D6"/>
    <w:rsid w:val="007F0AAC"/>
    <w:rsid w:val="007F4369"/>
    <w:rsid w:val="007F54CB"/>
    <w:rsid w:val="007F775D"/>
    <w:rsid w:val="00803A9E"/>
    <w:rsid w:val="00804DC5"/>
    <w:rsid w:val="00806358"/>
    <w:rsid w:val="00806625"/>
    <w:rsid w:val="008071F7"/>
    <w:rsid w:val="0080729F"/>
    <w:rsid w:val="00807471"/>
    <w:rsid w:val="00807C4C"/>
    <w:rsid w:val="00810CB0"/>
    <w:rsid w:val="00811901"/>
    <w:rsid w:val="00815619"/>
    <w:rsid w:val="00815E45"/>
    <w:rsid w:val="008166BC"/>
    <w:rsid w:val="008230DA"/>
    <w:rsid w:val="00824271"/>
    <w:rsid w:val="00825812"/>
    <w:rsid w:val="00825FA7"/>
    <w:rsid w:val="008300BE"/>
    <w:rsid w:val="008373EA"/>
    <w:rsid w:val="00840917"/>
    <w:rsid w:val="00841029"/>
    <w:rsid w:val="00842EA5"/>
    <w:rsid w:val="00850178"/>
    <w:rsid w:val="00850757"/>
    <w:rsid w:val="0085210D"/>
    <w:rsid w:val="00854FCC"/>
    <w:rsid w:val="00857523"/>
    <w:rsid w:val="0086463D"/>
    <w:rsid w:val="00864650"/>
    <w:rsid w:val="00867B13"/>
    <w:rsid w:val="00871CAB"/>
    <w:rsid w:val="00875D93"/>
    <w:rsid w:val="00887135"/>
    <w:rsid w:val="00890BCD"/>
    <w:rsid w:val="00893D6E"/>
    <w:rsid w:val="00895F6D"/>
    <w:rsid w:val="008A0044"/>
    <w:rsid w:val="008A1549"/>
    <w:rsid w:val="008A32BF"/>
    <w:rsid w:val="008A6A8C"/>
    <w:rsid w:val="008B17C9"/>
    <w:rsid w:val="008B19CA"/>
    <w:rsid w:val="008B1D6D"/>
    <w:rsid w:val="008B4670"/>
    <w:rsid w:val="008B5B79"/>
    <w:rsid w:val="008C2D2B"/>
    <w:rsid w:val="008C3396"/>
    <w:rsid w:val="008C3407"/>
    <w:rsid w:val="008C6503"/>
    <w:rsid w:val="008D3344"/>
    <w:rsid w:val="008D3B53"/>
    <w:rsid w:val="008D6295"/>
    <w:rsid w:val="008E179B"/>
    <w:rsid w:val="008E49DC"/>
    <w:rsid w:val="008E5974"/>
    <w:rsid w:val="008E6AC7"/>
    <w:rsid w:val="008F0F82"/>
    <w:rsid w:val="008F47AB"/>
    <w:rsid w:val="008F662C"/>
    <w:rsid w:val="009004D4"/>
    <w:rsid w:val="00903035"/>
    <w:rsid w:val="0090320E"/>
    <w:rsid w:val="00904BD3"/>
    <w:rsid w:val="009060CB"/>
    <w:rsid w:val="00916A8F"/>
    <w:rsid w:val="00917D66"/>
    <w:rsid w:val="00917E35"/>
    <w:rsid w:val="00917F22"/>
    <w:rsid w:val="0092398F"/>
    <w:rsid w:val="00926AB4"/>
    <w:rsid w:val="00934D02"/>
    <w:rsid w:val="00934E3C"/>
    <w:rsid w:val="00935CAC"/>
    <w:rsid w:val="009412FA"/>
    <w:rsid w:val="009423FC"/>
    <w:rsid w:val="009440A3"/>
    <w:rsid w:val="00950989"/>
    <w:rsid w:val="00950CD1"/>
    <w:rsid w:val="00951D6E"/>
    <w:rsid w:val="00953058"/>
    <w:rsid w:val="00954753"/>
    <w:rsid w:val="0095559D"/>
    <w:rsid w:val="009625D9"/>
    <w:rsid w:val="00980272"/>
    <w:rsid w:val="00985437"/>
    <w:rsid w:val="00985A8D"/>
    <w:rsid w:val="00985D5B"/>
    <w:rsid w:val="00986024"/>
    <w:rsid w:val="0099010B"/>
    <w:rsid w:val="00990A62"/>
    <w:rsid w:val="009923E1"/>
    <w:rsid w:val="009934D7"/>
    <w:rsid w:val="009966F7"/>
    <w:rsid w:val="009A0BA1"/>
    <w:rsid w:val="009A2A41"/>
    <w:rsid w:val="009A6A6A"/>
    <w:rsid w:val="009B023E"/>
    <w:rsid w:val="009B24AE"/>
    <w:rsid w:val="009B5EAF"/>
    <w:rsid w:val="009B7B45"/>
    <w:rsid w:val="009C59A0"/>
    <w:rsid w:val="009C79F3"/>
    <w:rsid w:val="009C7D4A"/>
    <w:rsid w:val="009C7EB1"/>
    <w:rsid w:val="009D744F"/>
    <w:rsid w:val="009E34F6"/>
    <w:rsid w:val="009E4C4D"/>
    <w:rsid w:val="009F768E"/>
    <w:rsid w:val="00A01C61"/>
    <w:rsid w:val="00A04962"/>
    <w:rsid w:val="00A04EE4"/>
    <w:rsid w:val="00A10619"/>
    <w:rsid w:val="00A11950"/>
    <w:rsid w:val="00A13CA8"/>
    <w:rsid w:val="00A2286E"/>
    <w:rsid w:val="00A242D0"/>
    <w:rsid w:val="00A2774D"/>
    <w:rsid w:val="00A30799"/>
    <w:rsid w:val="00A356C3"/>
    <w:rsid w:val="00A405AF"/>
    <w:rsid w:val="00A40E99"/>
    <w:rsid w:val="00A427E8"/>
    <w:rsid w:val="00A508CB"/>
    <w:rsid w:val="00A542E3"/>
    <w:rsid w:val="00A56E7C"/>
    <w:rsid w:val="00A66652"/>
    <w:rsid w:val="00A67FDE"/>
    <w:rsid w:val="00A70255"/>
    <w:rsid w:val="00A75A99"/>
    <w:rsid w:val="00A85A81"/>
    <w:rsid w:val="00A91984"/>
    <w:rsid w:val="00A9414D"/>
    <w:rsid w:val="00A9421C"/>
    <w:rsid w:val="00A94DDE"/>
    <w:rsid w:val="00A95921"/>
    <w:rsid w:val="00A96B52"/>
    <w:rsid w:val="00AA6CD3"/>
    <w:rsid w:val="00AA6F3B"/>
    <w:rsid w:val="00AB0617"/>
    <w:rsid w:val="00AB0BC8"/>
    <w:rsid w:val="00AB123B"/>
    <w:rsid w:val="00AB2D79"/>
    <w:rsid w:val="00AB2DD9"/>
    <w:rsid w:val="00AB3C2E"/>
    <w:rsid w:val="00AB5794"/>
    <w:rsid w:val="00AC4603"/>
    <w:rsid w:val="00AC6E6F"/>
    <w:rsid w:val="00AD1935"/>
    <w:rsid w:val="00AD1A09"/>
    <w:rsid w:val="00AD1C65"/>
    <w:rsid w:val="00AD7834"/>
    <w:rsid w:val="00AD7A82"/>
    <w:rsid w:val="00AE43FD"/>
    <w:rsid w:val="00AE4646"/>
    <w:rsid w:val="00AE7510"/>
    <w:rsid w:val="00AF215D"/>
    <w:rsid w:val="00AF4889"/>
    <w:rsid w:val="00B011E4"/>
    <w:rsid w:val="00B03683"/>
    <w:rsid w:val="00B11EAE"/>
    <w:rsid w:val="00B133ED"/>
    <w:rsid w:val="00B220A6"/>
    <w:rsid w:val="00B2487A"/>
    <w:rsid w:val="00B31685"/>
    <w:rsid w:val="00B335BA"/>
    <w:rsid w:val="00B36AEC"/>
    <w:rsid w:val="00B37B89"/>
    <w:rsid w:val="00B40E99"/>
    <w:rsid w:val="00B45602"/>
    <w:rsid w:val="00B47F50"/>
    <w:rsid w:val="00B50CA0"/>
    <w:rsid w:val="00B51181"/>
    <w:rsid w:val="00B51709"/>
    <w:rsid w:val="00B5735A"/>
    <w:rsid w:val="00B60995"/>
    <w:rsid w:val="00B63B5B"/>
    <w:rsid w:val="00B669D5"/>
    <w:rsid w:val="00B72AF4"/>
    <w:rsid w:val="00B7408F"/>
    <w:rsid w:val="00B763A5"/>
    <w:rsid w:val="00B76DEA"/>
    <w:rsid w:val="00B83EAA"/>
    <w:rsid w:val="00B84905"/>
    <w:rsid w:val="00B855F5"/>
    <w:rsid w:val="00B8647C"/>
    <w:rsid w:val="00B86B9D"/>
    <w:rsid w:val="00B90474"/>
    <w:rsid w:val="00B94D5E"/>
    <w:rsid w:val="00B96C47"/>
    <w:rsid w:val="00BA3215"/>
    <w:rsid w:val="00BB20C3"/>
    <w:rsid w:val="00BB37BF"/>
    <w:rsid w:val="00BB574B"/>
    <w:rsid w:val="00BB5EFD"/>
    <w:rsid w:val="00BB6BF7"/>
    <w:rsid w:val="00BC3261"/>
    <w:rsid w:val="00BD0353"/>
    <w:rsid w:val="00BD0F23"/>
    <w:rsid w:val="00BD24EB"/>
    <w:rsid w:val="00BD399A"/>
    <w:rsid w:val="00BD63C9"/>
    <w:rsid w:val="00BD708C"/>
    <w:rsid w:val="00BE0EAA"/>
    <w:rsid w:val="00BE0F4A"/>
    <w:rsid w:val="00BE1816"/>
    <w:rsid w:val="00BE194F"/>
    <w:rsid w:val="00BE2321"/>
    <w:rsid w:val="00BE3FC4"/>
    <w:rsid w:val="00BE4E23"/>
    <w:rsid w:val="00BE7948"/>
    <w:rsid w:val="00BF116E"/>
    <w:rsid w:val="00BF1497"/>
    <w:rsid w:val="00BF1ADB"/>
    <w:rsid w:val="00BF2F6F"/>
    <w:rsid w:val="00BF549F"/>
    <w:rsid w:val="00BF55EE"/>
    <w:rsid w:val="00BF615C"/>
    <w:rsid w:val="00C01170"/>
    <w:rsid w:val="00C02D68"/>
    <w:rsid w:val="00C040ED"/>
    <w:rsid w:val="00C050CB"/>
    <w:rsid w:val="00C06355"/>
    <w:rsid w:val="00C07082"/>
    <w:rsid w:val="00C07D71"/>
    <w:rsid w:val="00C07D7B"/>
    <w:rsid w:val="00C1161C"/>
    <w:rsid w:val="00C11B8B"/>
    <w:rsid w:val="00C12F0F"/>
    <w:rsid w:val="00C1552F"/>
    <w:rsid w:val="00C1683A"/>
    <w:rsid w:val="00C21BFC"/>
    <w:rsid w:val="00C220E3"/>
    <w:rsid w:val="00C22311"/>
    <w:rsid w:val="00C2526F"/>
    <w:rsid w:val="00C25482"/>
    <w:rsid w:val="00C2719B"/>
    <w:rsid w:val="00C3176E"/>
    <w:rsid w:val="00C32C83"/>
    <w:rsid w:val="00C40A1C"/>
    <w:rsid w:val="00C41615"/>
    <w:rsid w:val="00C43084"/>
    <w:rsid w:val="00C44E46"/>
    <w:rsid w:val="00C45404"/>
    <w:rsid w:val="00C47A3A"/>
    <w:rsid w:val="00C47CAD"/>
    <w:rsid w:val="00C51318"/>
    <w:rsid w:val="00C51F92"/>
    <w:rsid w:val="00C55A9C"/>
    <w:rsid w:val="00C56073"/>
    <w:rsid w:val="00C611C9"/>
    <w:rsid w:val="00C6200A"/>
    <w:rsid w:val="00C6502C"/>
    <w:rsid w:val="00C66C0B"/>
    <w:rsid w:val="00C71D6B"/>
    <w:rsid w:val="00C743F6"/>
    <w:rsid w:val="00C808F2"/>
    <w:rsid w:val="00C81D11"/>
    <w:rsid w:val="00C81E1B"/>
    <w:rsid w:val="00C82D9C"/>
    <w:rsid w:val="00C83974"/>
    <w:rsid w:val="00C84E31"/>
    <w:rsid w:val="00C853EF"/>
    <w:rsid w:val="00C874E5"/>
    <w:rsid w:val="00C927B2"/>
    <w:rsid w:val="00C93B45"/>
    <w:rsid w:val="00C93FA1"/>
    <w:rsid w:val="00C960B7"/>
    <w:rsid w:val="00C96B2F"/>
    <w:rsid w:val="00CA1190"/>
    <w:rsid w:val="00CA4090"/>
    <w:rsid w:val="00CA7F9C"/>
    <w:rsid w:val="00CC47BA"/>
    <w:rsid w:val="00CC4B59"/>
    <w:rsid w:val="00CC52EC"/>
    <w:rsid w:val="00CD1EBE"/>
    <w:rsid w:val="00CD548E"/>
    <w:rsid w:val="00CD57DA"/>
    <w:rsid w:val="00CE063A"/>
    <w:rsid w:val="00CE1ED2"/>
    <w:rsid w:val="00CE292D"/>
    <w:rsid w:val="00CE37C5"/>
    <w:rsid w:val="00CE45B6"/>
    <w:rsid w:val="00CE6FB8"/>
    <w:rsid w:val="00CF024B"/>
    <w:rsid w:val="00CF0586"/>
    <w:rsid w:val="00CF7BF1"/>
    <w:rsid w:val="00D02632"/>
    <w:rsid w:val="00D03B68"/>
    <w:rsid w:val="00D06C6B"/>
    <w:rsid w:val="00D07BAF"/>
    <w:rsid w:val="00D136C3"/>
    <w:rsid w:val="00D156F0"/>
    <w:rsid w:val="00D22E38"/>
    <w:rsid w:val="00D23E56"/>
    <w:rsid w:val="00D2623A"/>
    <w:rsid w:val="00D265B4"/>
    <w:rsid w:val="00D31DC8"/>
    <w:rsid w:val="00D35BF0"/>
    <w:rsid w:val="00D40A41"/>
    <w:rsid w:val="00D41A04"/>
    <w:rsid w:val="00D4399C"/>
    <w:rsid w:val="00D46F70"/>
    <w:rsid w:val="00D473D3"/>
    <w:rsid w:val="00D47FF3"/>
    <w:rsid w:val="00D504A3"/>
    <w:rsid w:val="00D505B8"/>
    <w:rsid w:val="00D51161"/>
    <w:rsid w:val="00D5155E"/>
    <w:rsid w:val="00D51FBF"/>
    <w:rsid w:val="00D603CB"/>
    <w:rsid w:val="00D609D1"/>
    <w:rsid w:val="00D63EA5"/>
    <w:rsid w:val="00D65068"/>
    <w:rsid w:val="00D660C1"/>
    <w:rsid w:val="00D66FC2"/>
    <w:rsid w:val="00D67C64"/>
    <w:rsid w:val="00D67FAC"/>
    <w:rsid w:val="00D72565"/>
    <w:rsid w:val="00D74729"/>
    <w:rsid w:val="00D824D3"/>
    <w:rsid w:val="00D872A4"/>
    <w:rsid w:val="00D904EF"/>
    <w:rsid w:val="00D90E88"/>
    <w:rsid w:val="00D911F2"/>
    <w:rsid w:val="00D93DDA"/>
    <w:rsid w:val="00D93F38"/>
    <w:rsid w:val="00D942B1"/>
    <w:rsid w:val="00DA12A6"/>
    <w:rsid w:val="00DA19CD"/>
    <w:rsid w:val="00DB09FE"/>
    <w:rsid w:val="00DB1AAB"/>
    <w:rsid w:val="00DC08D2"/>
    <w:rsid w:val="00DC48AE"/>
    <w:rsid w:val="00DC5519"/>
    <w:rsid w:val="00DD0598"/>
    <w:rsid w:val="00DD2632"/>
    <w:rsid w:val="00DD51A5"/>
    <w:rsid w:val="00DD5C87"/>
    <w:rsid w:val="00DD7855"/>
    <w:rsid w:val="00DE0B69"/>
    <w:rsid w:val="00DE14C7"/>
    <w:rsid w:val="00DE23F2"/>
    <w:rsid w:val="00DE3C90"/>
    <w:rsid w:val="00DE3D22"/>
    <w:rsid w:val="00DE4D7D"/>
    <w:rsid w:val="00DE5AC6"/>
    <w:rsid w:val="00DF138C"/>
    <w:rsid w:val="00DF4A77"/>
    <w:rsid w:val="00DF554A"/>
    <w:rsid w:val="00DF6A22"/>
    <w:rsid w:val="00DF6F79"/>
    <w:rsid w:val="00DF7CA2"/>
    <w:rsid w:val="00E0076A"/>
    <w:rsid w:val="00E05EDA"/>
    <w:rsid w:val="00E11DAD"/>
    <w:rsid w:val="00E122F1"/>
    <w:rsid w:val="00E12ADB"/>
    <w:rsid w:val="00E229C5"/>
    <w:rsid w:val="00E22AAD"/>
    <w:rsid w:val="00E25398"/>
    <w:rsid w:val="00E25B72"/>
    <w:rsid w:val="00E31F2A"/>
    <w:rsid w:val="00E335F9"/>
    <w:rsid w:val="00E33BD7"/>
    <w:rsid w:val="00E45030"/>
    <w:rsid w:val="00E45930"/>
    <w:rsid w:val="00E50E54"/>
    <w:rsid w:val="00E52A46"/>
    <w:rsid w:val="00E5451A"/>
    <w:rsid w:val="00E54E6C"/>
    <w:rsid w:val="00E55A63"/>
    <w:rsid w:val="00E56278"/>
    <w:rsid w:val="00E56327"/>
    <w:rsid w:val="00E617F8"/>
    <w:rsid w:val="00E645EB"/>
    <w:rsid w:val="00E67E20"/>
    <w:rsid w:val="00E70471"/>
    <w:rsid w:val="00E7157F"/>
    <w:rsid w:val="00E71F38"/>
    <w:rsid w:val="00E7344B"/>
    <w:rsid w:val="00E762B6"/>
    <w:rsid w:val="00E808DB"/>
    <w:rsid w:val="00E80F4B"/>
    <w:rsid w:val="00E82BA3"/>
    <w:rsid w:val="00E83C60"/>
    <w:rsid w:val="00E90772"/>
    <w:rsid w:val="00E90EDE"/>
    <w:rsid w:val="00E92562"/>
    <w:rsid w:val="00E94DE1"/>
    <w:rsid w:val="00E95C5C"/>
    <w:rsid w:val="00E97B5F"/>
    <w:rsid w:val="00EA176A"/>
    <w:rsid w:val="00EA1A0A"/>
    <w:rsid w:val="00EA1E5B"/>
    <w:rsid w:val="00EA5DB3"/>
    <w:rsid w:val="00EB1D28"/>
    <w:rsid w:val="00EB1ECE"/>
    <w:rsid w:val="00EB2AA4"/>
    <w:rsid w:val="00EB40E2"/>
    <w:rsid w:val="00EC21EA"/>
    <w:rsid w:val="00EC76D5"/>
    <w:rsid w:val="00EE53F4"/>
    <w:rsid w:val="00EE667C"/>
    <w:rsid w:val="00EE6ED3"/>
    <w:rsid w:val="00EF0A90"/>
    <w:rsid w:val="00EF26DC"/>
    <w:rsid w:val="00EF28BA"/>
    <w:rsid w:val="00EF2D8F"/>
    <w:rsid w:val="00F00CA9"/>
    <w:rsid w:val="00F03ED2"/>
    <w:rsid w:val="00F04AEE"/>
    <w:rsid w:val="00F0573C"/>
    <w:rsid w:val="00F06A02"/>
    <w:rsid w:val="00F110BA"/>
    <w:rsid w:val="00F11899"/>
    <w:rsid w:val="00F122BB"/>
    <w:rsid w:val="00F12F8A"/>
    <w:rsid w:val="00F140FF"/>
    <w:rsid w:val="00F156F3"/>
    <w:rsid w:val="00F16B5D"/>
    <w:rsid w:val="00F20985"/>
    <w:rsid w:val="00F2191E"/>
    <w:rsid w:val="00F21BA7"/>
    <w:rsid w:val="00F221C4"/>
    <w:rsid w:val="00F243DA"/>
    <w:rsid w:val="00F26121"/>
    <w:rsid w:val="00F30C90"/>
    <w:rsid w:val="00F33731"/>
    <w:rsid w:val="00F35A29"/>
    <w:rsid w:val="00F41795"/>
    <w:rsid w:val="00F44AEC"/>
    <w:rsid w:val="00F450AF"/>
    <w:rsid w:val="00F47FCC"/>
    <w:rsid w:val="00F50280"/>
    <w:rsid w:val="00F56A92"/>
    <w:rsid w:val="00F57825"/>
    <w:rsid w:val="00F61211"/>
    <w:rsid w:val="00F64BAE"/>
    <w:rsid w:val="00F65CEF"/>
    <w:rsid w:val="00F72D5F"/>
    <w:rsid w:val="00F8117A"/>
    <w:rsid w:val="00F81B2F"/>
    <w:rsid w:val="00F87957"/>
    <w:rsid w:val="00F9365D"/>
    <w:rsid w:val="00F97203"/>
    <w:rsid w:val="00F972A2"/>
    <w:rsid w:val="00F97B52"/>
    <w:rsid w:val="00FA0597"/>
    <w:rsid w:val="00FA1922"/>
    <w:rsid w:val="00FA1BB6"/>
    <w:rsid w:val="00FA2F9E"/>
    <w:rsid w:val="00FA321D"/>
    <w:rsid w:val="00FA36B8"/>
    <w:rsid w:val="00FA715E"/>
    <w:rsid w:val="00FB0F22"/>
    <w:rsid w:val="00FB3D83"/>
    <w:rsid w:val="00FC0473"/>
    <w:rsid w:val="00FC1BEE"/>
    <w:rsid w:val="00FC43CA"/>
    <w:rsid w:val="00FC48AB"/>
    <w:rsid w:val="00FC60E2"/>
    <w:rsid w:val="00FC7783"/>
    <w:rsid w:val="00FD01B0"/>
    <w:rsid w:val="00FD14F3"/>
    <w:rsid w:val="00FD5083"/>
    <w:rsid w:val="00FD63B7"/>
    <w:rsid w:val="00FD7691"/>
    <w:rsid w:val="00FE00A1"/>
    <w:rsid w:val="00FE2F6B"/>
    <w:rsid w:val="00FE712E"/>
    <w:rsid w:val="00FF3ABE"/>
    <w:rsid w:val="00FF5A97"/>
    <w:rsid w:val="00FF6C45"/>
    <w:rsid w:val="00FF7703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742"/>
  <w15:docId w15:val="{A94129C8-DD1F-4BBB-9835-624E2C2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  <w:style w:type="paragraph" w:styleId="Poprawka">
    <w:name w:val="Revision"/>
    <w:hidden/>
    <w:uiPriority w:val="99"/>
    <w:semiHidden/>
    <w:rsid w:val="007700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.budimex.p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chal.wrzosek@budimex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Props1.xml><?xml version="1.0" encoding="utf-8"?>
<ds:datastoreItem xmlns:ds="http://schemas.openxmlformats.org/officeDocument/2006/customXml" ds:itemID="{67CE1AF6-A0EE-41F2-A491-45D0E3D87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2106</Words>
  <Characters>12636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Michał</cp:lastModifiedBy>
  <cp:revision>2</cp:revision>
  <cp:lastPrinted>2023-04-18T10:50:00Z</cp:lastPrinted>
  <dcterms:created xsi:type="dcterms:W3CDTF">2023-07-26T07:42:00Z</dcterms:created>
  <dcterms:modified xsi:type="dcterms:W3CDTF">2023-07-26T07:42:00Z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44989d6e3b91d1ddfcd11d0e5060d34ac46ff7391e28517136f43d5258acc987</vt:lpwstr>
  </property>
</Properties>
</file>