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7A69" w14:textId="682E26AF" w:rsidR="002D190A" w:rsidRDefault="002D190A" w:rsidP="009148F8">
      <w:pPr>
        <w:spacing w:after="240"/>
        <w:ind w:left="6372" w:firstLine="708"/>
        <w:rPr>
          <w:sz w:val="22"/>
        </w:rPr>
      </w:pPr>
      <w:r>
        <w:rPr>
          <w:sz w:val="22"/>
        </w:rPr>
        <w:t xml:space="preserve">Warszawa, </w:t>
      </w:r>
      <w:r w:rsidR="00E65516">
        <w:rPr>
          <w:sz w:val="22"/>
        </w:rPr>
        <w:t>2</w:t>
      </w:r>
      <w:r w:rsidR="00742058">
        <w:rPr>
          <w:sz w:val="22"/>
        </w:rPr>
        <w:t>7</w:t>
      </w:r>
      <w:r w:rsidR="00263BB5" w:rsidRPr="00263BB5">
        <w:rPr>
          <w:sz w:val="22"/>
        </w:rPr>
        <w:t>.</w:t>
      </w:r>
      <w:r w:rsidR="00D23E01">
        <w:rPr>
          <w:sz w:val="22"/>
        </w:rPr>
        <w:t>0</w:t>
      </w:r>
      <w:r w:rsidR="00742058">
        <w:rPr>
          <w:sz w:val="22"/>
        </w:rPr>
        <w:t>7</w:t>
      </w:r>
      <w:r w:rsidR="00263BB5" w:rsidRPr="00263BB5">
        <w:rPr>
          <w:sz w:val="22"/>
        </w:rPr>
        <w:t>.202</w:t>
      </w:r>
      <w:r w:rsidR="000C4489">
        <w:rPr>
          <w:sz w:val="22"/>
        </w:rPr>
        <w:t>3</w:t>
      </w:r>
      <w:r w:rsidR="00263BB5" w:rsidRPr="00263BB5">
        <w:rPr>
          <w:sz w:val="22"/>
        </w:rPr>
        <w:t xml:space="preserve"> </w:t>
      </w:r>
      <w:r>
        <w:rPr>
          <w:sz w:val="22"/>
        </w:rPr>
        <w:t xml:space="preserve">r. </w:t>
      </w:r>
    </w:p>
    <w:p w14:paraId="00B436DE" w14:textId="77777777" w:rsidR="00FB22EA" w:rsidRDefault="00FB22EA" w:rsidP="002D190A">
      <w:pPr>
        <w:spacing w:after="240"/>
        <w:rPr>
          <w:sz w:val="28"/>
          <w:szCs w:val="28"/>
        </w:rPr>
      </w:pPr>
    </w:p>
    <w:p w14:paraId="1457A4B8" w14:textId="7FB5E8E3" w:rsidR="002D190A" w:rsidRPr="00FB22EA" w:rsidRDefault="002D190A" w:rsidP="002D190A">
      <w:pPr>
        <w:spacing w:after="240"/>
        <w:rPr>
          <w:sz w:val="28"/>
          <w:szCs w:val="28"/>
        </w:rPr>
      </w:pPr>
      <w:r w:rsidRPr="00FB22EA">
        <w:rPr>
          <w:sz w:val="28"/>
          <w:szCs w:val="28"/>
        </w:rPr>
        <w:t>INFORMACJA PRASOWA</w:t>
      </w:r>
      <w:r w:rsidRPr="00FB22EA">
        <w:rPr>
          <w:sz w:val="28"/>
          <w:szCs w:val="28"/>
        </w:rPr>
        <w:br/>
        <w:t>…………………………………….</w:t>
      </w:r>
    </w:p>
    <w:p w14:paraId="7950CA03" w14:textId="77777777" w:rsidR="00996665" w:rsidRDefault="00996665" w:rsidP="001D3DE7">
      <w:pPr>
        <w:jc w:val="both"/>
        <w:rPr>
          <w:b/>
          <w:bCs/>
          <w:sz w:val="24"/>
          <w:szCs w:val="24"/>
        </w:rPr>
      </w:pPr>
      <w:bookmarkStart w:id="0" w:name="_Hlk73698368"/>
    </w:p>
    <w:p w14:paraId="1B382E80" w14:textId="543A60D3" w:rsidR="001B0DC8" w:rsidRDefault="001B0DC8" w:rsidP="001B0DC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</w:t>
      </w:r>
      <w:r w:rsidRPr="00996665">
        <w:rPr>
          <w:b/>
          <w:bCs/>
          <w:sz w:val="24"/>
          <w:szCs w:val="24"/>
        </w:rPr>
        <w:t>K</w:t>
      </w:r>
      <w:r w:rsidR="00746703">
        <w:rPr>
          <w:b/>
          <w:bCs/>
          <w:sz w:val="24"/>
          <w:szCs w:val="24"/>
        </w:rPr>
        <w:t>:</w:t>
      </w:r>
      <w:r w:rsidRPr="00996665">
        <w:rPr>
          <w:b/>
          <w:bCs/>
          <w:sz w:val="24"/>
          <w:szCs w:val="24"/>
        </w:rPr>
        <w:t xml:space="preserve"> podsumowa</w:t>
      </w:r>
      <w:r w:rsidR="00746703">
        <w:rPr>
          <w:b/>
          <w:bCs/>
          <w:sz w:val="24"/>
          <w:szCs w:val="24"/>
        </w:rPr>
        <w:t>nie</w:t>
      </w:r>
      <w:r w:rsidRPr="00996665">
        <w:rPr>
          <w:b/>
          <w:bCs/>
          <w:sz w:val="24"/>
          <w:szCs w:val="24"/>
        </w:rPr>
        <w:t xml:space="preserve"> </w:t>
      </w:r>
      <w:r w:rsidR="00746703">
        <w:rPr>
          <w:b/>
          <w:bCs/>
          <w:sz w:val="24"/>
          <w:szCs w:val="24"/>
        </w:rPr>
        <w:t>I</w:t>
      </w:r>
      <w:r w:rsidRPr="00996665">
        <w:rPr>
          <w:b/>
          <w:bCs/>
          <w:sz w:val="24"/>
          <w:szCs w:val="24"/>
        </w:rPr>
        <w:t xml:space="preserve"> półrocz</w:t>
      </w:r>
      <w:r w:rsidR="00746703">
        <w:rPr>
          <w:b/>
          <w:bCs/>
          <w:sz w:val="24"/>
          <w:szCs w:val="24"/>
        </w:rPr>
        <w:t>a</w:t>
      </w:r>
      <w:r w:rsidRPr="00996665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3</w:t>
      </w:r>
      <w:r w:rsidRPr="00996665">
        <w:rPr>
          <w:b/>
          <w:bCs/>
          <w:sz w:val="24"/>
          <w:szCs w:val="24"/>
        </w:rPr>
        <w:t xml:space="preserve"> r.</w:t>
      </w:r>
      <w:r>
        <w:rPr>
          <w:b/>
          <w:bCs/>
          <w:sz w:val="24"/>
          <w:szCs w:val="24"/>
        </w:rPr>
        <w:t xml:space="preserve"> na rynku kredytów i pożyczek </w:t>
      </w:r>
      <w:proofErr w:type="spellStart"/>
      <w:r>
        <w:rPr>
          <w:b/>
          <w:bCs/>
          <w:sz w:val="24"/>
          <w:szCs w:val="24"/>
        </w:rPr>
        <w:t>pozabankowych</w:t>
      </w:r>
      <w:proofErr w:type="spellEnd"/>
    </w:p>
    <w:p w14:paraId="120580C1" w14:textId="77777777" w:rsidR="001B0DC8" w:rsidRDefault="001B0DC8" w:rsidP="001D3DE7">
      <w:pPr>
        <w:jc w:val="both"/>
        <w:rPr>
          <w:b/>
          <w:bCs/>
          <w:sz w:val="24"/>
          <w:szCs w:val="24"/>
        </w:rPr>
      </w:pPr>
    </w:p>
    <w:p w14:paraId="63296612" w14:textId="107BA648" w:rsidR="00791034" w:rsidRDefault="00147113" w:rsidP="00791034">
      <w:pPr>
        <w:jc w:val="both"/>
        <w:rPr>
          <w:rFonts w:cstheme="minorHAnsi"/>
          <w:b/>
          <w:bCs/>
          <w:sz w:val="22"/>
        </w:rPr>
      </w:pPr>
      <w:r w:rsidRPr="003522EA">
        <w:rPr>
          <w:rFonts w:cstheme="minorHAnsi"/>
          <w:b/>
          <w:bCs/>
          <w:sz w:val="22"/>
        </w:rPr>
        <w:t xml:space="preserve">O 12 mld zł zmalała w ciągu ostatnich </w:t>
      </w:r>
      <w:r w:rsidR="003522EA">
        <w:rPr>
          <w:rFonts w:cstheme="minorHAnsi"/>
          <w:b/>
          <w:bCs/>
          <w:sz w:val="22"/>
        </w:rPr>
        <w:t>sześciu</w:t>
      </w:r>
      <w:r w:rsidRPr="003522EA">
        <w:rPr>
          <w:rFonts w:cstheme="minorHAnsi"/>
          <w:b/>
          <w:bCs/>
          <w:sz w:val="22"/>
        </w:rPr>
        <w:t xml:space="preserve"> miesięcy wartość zadłużenia na rynku kredytowo- pożyczkowym i </w:t>
      </w:r>
      <w:r w:rsidR="00791034" w:rsidRPr="003522EA">
        <w:rPr>
          <w:rFonts w:cstheme="minorHAnsi"/>
          <w:b/>
          <w:bCs/>
          <w:sz w:val="22"/>
        </w:rPr>
        <w:t xml:space="preserve">na koniec czerwca 2023 r. </w:t>
      </w:r>
      <w:r w:rsidRPr="003522EA">
        <w:rPr>
          <w:rFonts w:cstheme="minorHAnsi"/>
          <w:b/>
          <w:bCs/>
          <w:sz w:val="22"/>
        </w:rPr>
        <w:t xml:space="preserve">wynosiła 710 mld zł. Choć </w:t>
      </w:r>
      <w:r w:rsidR="00D53BDC">
        <w:rPr>
          <w:rFonts w:cstheme="minorHAnsi"/>
          <w:b/>
          <w:bCs/>
          <w:sz w:val="22"/>
        </w:rPr>
        <w:t xml:space="preserve">w 2022 r. </w:t>
      </w:r>
      <w:r w:rsidRPr="003522EA">
        <w:rPr>
          <w:rFonts w:cstheme="minorHAnsi"/>
          <w:b/>
          <w:bCs/>
          <w:sz w:val="22"/>
        </w:rPr>
        <w:t xml:space="preserve">portfel kredytowy się </w:t>
      </w:r>
      <w:r w:rsidR="00D53BDC">
        <w:rPr>
          <w:rFonts w:cstheme="minorHAnsi"/>
          <w:b/>
          <w:bCs/>
          <w:sz w:val="22"/>
        </w:rPr>
        <w:t>s</w:t>
      </w:r>
      <w:r w:rsidRPr="003522EA">
        <w:rPr>
          <w:rFonts w:cstheme="minorHAnsi"/>
          <w:b/>
          <w:bCs/>
          <w:sz w:val="22"/>
        </w:rPr>
        <w:t>kurczy</w:t>
      </w:r>
      <w:r w:rsidR="00D53BDC">
        <w:rPr>
          <w:rFonts w:cstheme="minorHAnsi"/>
          <w:b/>
          <w:bCs/>
          <w:sz w:val="22"/>
        </w:rPr>
        <w:t>ł</w:t>
      </w:r>
      <w:r w:rsidRPr="003522EA">
        <w:rPr>
          <w:rFonts w:cstheme="minorHAnsi"/>
          <w:b/>
          <w:bCs/>
          <w:sz w:val="22"/>
        </w:rPr>
        <w:t xml:space="preserve">, to </w:t>
      </w:r>
      <w:r w:rsidR="003522EA">
        <w:rPr>
          <w:rFonts w:cstheme="minorHAnsi"/>
          <w:b/>
          <w:bCs/>
          <w:sz w:val="22"/>
        </w:rPr>
        <w:t>pierwsze</w:t>
      </w:r>
      <w:r w:rsidRPr="003522EA">
        <w:rPr>
          <w:rFonts w:cstheme="minorHAnsi"/>
          <w:b/>
          <w:bCs/>
          <w:sz w:val="22"/>
        </w:rPr>
        <w:t xml:space="preserve"> półrocze br. </w:t>
      </w:r>
      <w:r w:rsidR="00791034">
        <w:rPr>
          <w:rFonts w:cstheme="minorHAnsi"/>
          <w:b/>
          <w:bCs/>
          <w:sz w:val="22"/>
        </w:rPr>
        <w:t xml:space="preserve">cechowało się </w:t>
      </w:r>
      <w:r w:rsidR="003522EA">
        <w:rPr>
          <w:rFonts w:cstheme="minorHAnsi"/>
          <w:b/>
          <w:bCs/>
          <w:sz w:val="22"/>
        </w:rPr>
        <w:t>wzrost</w:t>
      </w:r>
      <w:r w:rsidR="00791034">
        <w:rPr>
          <w:rFonts w:cstheme="minorHAnsi"/>
          <w:b/>
          <w:bCs/>
          <w:sz w:val="22"/>
        </w:rPr>
        <w:t>em</w:t>
      </w:r>
      <w:r w:rsidR="003522EA">
        <w:rPr>
          <w:rFonts w:cstheme="minorHAnsi"/>
          <w:b/>
          <w:bCs/>
          <w:sz w:val="22"/>
        </w:rPr>
        <w:t xml:space="preserve"> koniunktury </w:t>
      </w:r>
      <w:r w:rsidR="00A455C6">
        <w:rPr>
          <w:rFonts w:cstheme="minorHAnsi"/>
          <w:b/>
          <w:bCs/>
          <w:sz w:val="22"/>
        </w:rPr>
        <w:t>w</w:t>
      </w:r>
      <w:r w:rsidR="003522EA">
        <w:rPr>
          <w:rFonts w:cstheme="minorHAnsi"/>
          <w:b/>
          <w:bCs/>
          <w:sz w:val="22"/>
        </w:rPr>
        <w:t xml:space="preserve"> kredyt</w:t>
      </w:r>
      <w:r w:rsidR="00A455C6">
        <w:rPr>
          <w:rFonts w:cstheme="minorHAnsi"/>
          <w:b/>
          <w:bCs/>
          <w:sz w:val="22"/>
        </w:rPr>
        <w:t>ach</w:t>
      </w:r>
      <w:r w:rsidR="003522EA">
        <w:rPr>
          <w:rFonts w:cstheme="minorHAnsi"/>
          <w:b/>
          <w:bCs/>
          <w:sz w:val="22"/>
        </w:rPr>
        <w:t xml:space="preserve"> konsumpcyjn</w:t>
      </w:r>
      <w:r w:rsidR="00A455C6">
        <w:rPr>
          <w:rFonts w:cstheme="minorHAnsi"/>
          <w:b/>
          <w:bCs/>
          <w:sz w:val="22"/>
        </w:rPr>
        <w:t>ych</w:t>
      </w:r>
      <w:r w:rsidR="003522EA">
        <w:rPr>
          <w:rFonts w:cstheme="minorHAnsi"/>
          <w:b/>
          <w:bCs/>
          <w:sz w:val="22"/>
        </w:rPr>
        <w:t xml:space="preserve"> </w:t>
      </w:r>
      <w:r w:rsidR="001C48BD">
        <w:rPr>
          <w:rFonts w:cstheme="minorHAnsi"/>
          <w:b/>
          <w:bCs/>
          <w:sz w:val="22"/>
        </w:rPr>
        <w:br/>
      </w:r>
      <w:r w:rsidR="003522EA">
        <w:rPr>
          <w:rFonts w:cstheme="minorHAnsi"/>
          <w:b/>
          <w:bCs/>
          <w:sz w:val="22"/>
        </w:rPr>
        <w:t xml:space="preserve">i </w:t>
      </w:r>
      <w:r w:rsidRPr="003522EA">
        <w:rPr>
          <w:rFonts w:cstheme="minorHAnsi"/>
          <w:b/>
          <w:bCs/>
          <w:sz w:val="22"/>
        </w:rPr>
        <w:t>pożyczk</w:t>
      </w:r>
      <w:r w:rsidR="00A455C6">
        <w:rPr>
          <w:rFonts w:cstheme="minorHAnsi"/>
          <w:b/>
          <w:bCs/>
          <w:sz w:val="22"/>
        </w:rPr>
        <w:t>ach</w:t>
      </w:r>
      <w:r w:rsidR="00791034">
        <w:rPr>
          <w:rFonts w:cstheme="minorHAnsi"/>
          <w:b/>
          <w:bCs/>
          <w:sz w:val="22"/>
        </w:rPr>
        <w:t xml:space="preserve"> oraz wyraźnymi oznakami </w:t>
      </w:r>
      <w:r w:rsidRPr="003522EA">
        <w:rPr>
          <w:rFonts w:cstheme="minorHAnsi"/>
          <w:b/>
          <w:bCs/>
          <w:sz w:val="22"/>
        </w:rPr>
        <w:t>ożywienia na rynku kredytów mieszkaniowych</w:t>
      </w:r>
      <w:r w:rsidR="00746703">
        <w:rPr>
          <w:rFonts w:cstheme="minorHAnsi"/>
          <w:b/>
          <w:bCs/>
          <w:sz w:val="22"/>
        </w:rPr>
        <w:t xml:space="preserve"> w drugim kwartale</w:t>
      </w:r>
      <w:r w:rsidRPr="003522EA">
        <w:rPr>
          <w:rFonts w:cstheme="minorHAnsi"/>
          <w:b/>
          <w:bCs/>
          <w:sz w:val="22"/>
        </w:rPr>
        <w:t>.</w:t>
      </w:r>
      <w:r w:rsidR="00787755">
        <w:rPr>
          <w:rFonts w:cstheme="minorHAnsi"/>
          <w:b/>
          <w:bCs/>
          <w:sz w:val="22"/>
        </w:rPr>
        <w:t xml:space="preserve"> </w:t>
      </w:r>
      <w:r w:rsidR="003522EA">
        <w:rPr>
          <w:rFonts w:cstheme="minorHAnsi"/>
          <w:b/>
          <w:bCs/>
          <w:sz w:val="22"/>
        </w:rPr>
        <w:t xml:space="preserve">Dynamika </w:t>
      </w:r>
      <w:r w:rsidR="00A455C6">
        <w:rPr>
          <w:rFonts w:cstheme="minorHAnsi"/>
          <w:b/>
          <w:bCs/>
          <w:sz w:val="22"/>
        </w:rPr>
        <w:t xml:space="preserve">liczby i wartości </w:t>
      </w:r>
      <w:r w:rsidR="003522EA">
        <w:rPr>
          <w:rFonts w:cstheme="minorHAnsi"/>
          <w:b/>
          <w:bCs/>
          <w:sz w:val="22"/>
        </w:rPr>
        <w:t xml:space="preserve">sprzedaży większości </w:t>
      </w:r>
      <w:r w:rsidR="003522EA" w:rsidRPr="002A198F">
        <w:rPr>
          <w:rFonts w:cstheme="minorHAnsi"/>
          <w:b/>
          <w:bCs/>
          <w:sz w:val="22"/>
        </w:rPr>
        <w:t xml:space="preserve">rodzajów kredytów </w:t>
      </w:r>
      <w:r w:rsidR="003522EA">
        <w:rPr>
          <w:rFonts w:cstheme="minorHAnsi"/>
          <w:b/>
          <w:bCs/>
          <w:sz w:val="22"/>
        </w:rPr>
        <w:t xml:space="preserve">była </w:t>
      </w:r>
      <w:r w:rsidR="0010126B">
        <w:rPr>
          <w:rFonts w:cstheme="minorHAnsi"/>
          <w:b/>
          <w:bCs/>
          <w:sz w:val="22"/>
        </w:rPr>
        <w:t xml:space="preserve">w </w:t>
      </w:r>
      <w:r w:rsidR="005C39DD">
        <w:rPr>
          <w:rFonts w:cstheme="minorHAnsi"/>
          <w:b/>
          <w:bCs/>
          <w:sz w:val="22"/>
        </w:rPr>
        <w:t xml:space="preserve">pierwszym </w:t>
      </w:r>
      <w:r w:rsidR="0010126B">
        <w:rPr>
          <w:rFonts w:cstheme="minorHAnsi"/>
          <w:b/>
          <w:bCs/>
          <w:sz w:val="22"/>
        </w:rPr>
        <w:t>półroczu dodatnia</w:t>
      </w:r>
      <w:r w:rsidR="005C39DD">
        <w:rPr>
          <w:rFonts w:cstheme="minorHAnsi"/>
          <w:b/>
          <w:bCs/>
          <w:sz w:val="22"/>
        </w:rPr>
        <w:t xml:space="preserve"> </w:t>
      </w:r>
      <w:r w:rsidR="003522EA">
        <w:rPr>
          <w:rFonts w:cstheme="minorHAnsi"/>
          <w:b/>
          <w:bCs/>
          <w:sz w:val="22"/>
        </w:rPr>
        <w:t>z wyjątkiem kredytów mieszkaniowych</w:t>
      </w:r>
      <w:r w:rsidR="00A455C6">
        <w:rPr>
          <w:rFonts w:cstheme="minorHAnsi"/>
          <w:b/>
          <w:bCs/>
          <w:sz w:val="22"/>
        </w:rPr>
        <w:t xml:space="preserve">, które odnotowały spadki w wartości </w:t>
      </w:r>
      <w:r w:rsidR="001C48BD">
        <w:rPr>
          <w:rFonts w:cstheme="minorHAnsi"/>
          <w:b/>
          <w:bCs/>
          <w:sz w:val="22"/>
        </w:rPr>
        <w:br/>
      </w:r>
      <w:r w:rsidR="00A455C6">
        <w:rPr>
          <w:rFonts w:cstheme="minorHAnsi"/>
          <w:b/>
          <w:bCs/>
          <w:sz w:val="22"/>
        </w:rPr>
        <w:t xml:space="preserve">(-39,4%) i liczbie </w:t>
      </w:r>
      <w:r w:rsidR="00A455C6" w:rsidRPr="00A455C6">
        <w:rPr>
          <w:rFonts w:cstheme="minorHAnsi"/>
          <w:b/>
          <w:bCs/>
          <w:sz w:val="22"/>
        </w:rPr>
        <w:t>(-40,3%)</w:t>
      </w:r>
      <w:r w:rsidR="00A455C6">
        <w:rPr>
          <w:rFonts w:cstheme="minorHAnsi"/>
          <w:b/>
          <w:bCs/>
          <w:sz w:val="22"/>
        </w:rPr>
        <w:t>.</w:t>
      </w:r>
      <w:r w:rsidR="00787755">
        <w:rPr>
          <w:rFonts w:cstheme="minorHAnsi"/>
          <w:b/>
          <w:bCs/>
          <w:sz w:val="22"/>
        </w:rPr>
        <w:t xml:space="preserve"> </w:t>
      </w:r>
      <w:r w:rsidR="00791034">
        <w:rPr>
          <w:rFonts w:cstheme="minorHAnsi"/>
          <w:b/>
          <w:bCs/>
          <w:sz w:val="22"/>
        </w:rPr>
        <w:t>Uwzględniając trend ostatniego półrocza oraz sprzyjające otoczenie makroekonomiczne</w:t>
      </w:r>
      <w:r w:rsidR="00A455C6">
        <w:rPr>
          <w:rFonts w:cstheme="minorHAnsi"/>
          <w:b/>
          <w:bCs/>
          <w:sz w:val="22"/>
        </w:rPr>
        <w:t>,</w:t>
      </w:r>
      <w:r w:rsidR="00791034">
        <w:rPr>
          <w:rFonts w:cstheme="minorHAnsi"/>
          <w:b/>
          <w:bCs/>
          <w:sz w:val="22"/>
        </w:rPr>
        <w:t xml:space="preserve"> anality</w:t>
      </w:r>
      <w:r w:rsidR="00E7212F">
        <w:rPr>
          <w:rFonts w:cstheme="minorHAnsi"/>
          <w:b/>
          <w:bCs/>
          <w:sz w:val="22"/>
        </w:rPr>
        <w:t xml:space="preserve">cy </w:t>
      </w:r>
      <w:r w:rsidR="00791034">
        <w:rPr>
          <w:rFonts w:cstheme="minorHAnsi"/>
          <w:b/>
          <w:bCs/>
          <w:sz w:val="22"/>
        </w:rPr>
        <w:t xml:space="preserve">BIK </w:t>
      </w:r>
      <w:r w:rsidR="00E7212F">
        <w:rPr>
          <w:rFonts w:cstheme="minorHAnsi"/>
          <w:b/>
          <w:bCs/>
          <w:sz w:val="22"/>
        </w:rPr>
        <w:t xml:space="preserve">skłaniają się </w:t>
      </w:r>
      <w:r w:rsidR="00791034">
        <w:rPr>
          <w:rFonts w:cstheme="minorHAnsi"/>
          <w:b/>
          <w:bCs/>
          <w:sz w:val="22"/>
        </w:rPr>
        <w:t xml:space="preserve">do bardziej optymistycznych perspektyw dla akcji kredytowej </w:t>
      </w:r>
      <w:r w:rsidR="0010126B">
        <w:rPr>
          <w:rFonts w:cstheme="minorHAnsi"/>
          <w:b/>
          <w:bCs/>
          <w:sz w:val="22"/>
        </w:rPr>
        <w:t xml:space="preserve">w </w:t>
      </w:r>
      <w:r w:rsidR="005C39DD">
        <w:rPr>
          <w:rFonts w:cstheme="minorHAnsi"/>
          <w:b/>
          <w:bCs/>
          <w:sz w:val="22"/>
        </w:rPr>
        <w:t>drugim</w:t>
      </w:r>
      <w:r w:rsidR="0010126B">
        <w:rPr>
          <w:rFonts w:cstheme="minorHAnsi"/>
          <w:b/>
          <w:bCs/>
          <w:sz w:val="22"/>
        </w:rPr>
        <w:t xml:space="preserve"> półroczu</w:t>
      </w:r>
      <w:r w:rsidR="005C39DD">
        <w:rPr>
          <w:rFonts w:cstheme="minorHAnsi"/>
          <w:b/>
          <w:bCs/>
          <w:sz w:val="22"/>
        </w:rPr>
        <w:t>,</w:t>
      </w:r>
      <w:r w:rsidR="0010126B">
        <w:rPr>
          <w:rFonts w:cstheme="minorHAnsi"/>
          <w:b/>
          <w:bCs/>
          <w:sz w:val="22"/>
        </w:rPr>
        <w:t xml:space="preserve"> a tym samym w całym</w:t>
      </w:r>
      <w:r w:rsidR="00791034">
        <w:rPr>
          <w:rFonts w:cstheme="minorHAnsi"/>
          <w:b/>
          <w:bCs/>
          <w:sz w:val="22"/>
        </w:rPr>
        <w:t xml:space="preserve"> 2023 r. </w:t>
      </w:r>
    </w:p>
    <w:p w14:paraId="463D9AD4" w14:textId="77777777" w:rsidR="00791034" w:rsidRDefault="00791034" w:rsidP="00791034">
      <w:pPr>
        <w:jc w:val="both"/>
        <w:rPr>
          <w:rFonts w:cstheme="minorHAnsi"/>
          <w:b/>
          <w:bCs/>
          <w:sz w:val="22"/>
        </w:rPr>
      </w:pPr>
    </w:p>
    <w:p w14:paraId="3F5F5E30" w14:textId="72A6E4E1" w:rsidR="007D6A16" w:rsidRDefault="007D6A16" w:rsidP="00015381">
      <w:pPr>
        <w:jc w:val="both"/>
        <w:rPr>
          <w:rFonts w:cstheme="minorHAnsi"/>
          <w:sz w:val="22"/>
        </w:rPr>
      </w:pPr>
      <w:r w:rsidRPr="007D6A16">
        <w:rPr>
          <w:rFonts w:cstheme="minorHAnsi"/>
          <w:sz w:val="22"/>
        </w:rPr>
        <w:t>Łączne zadłużenie</w:t>
      </w:r>
      <w:r w:rsidR="0010126B">
        <w:rPr>
          <w:rFonts w:cstheme="minorHAnsi"/>
          <w:sz w:val="22"/>
        </w:rPr>
        <w:t xml:space="preserve"> Polaków</w:t>
      </w:r>
      <w:r w:rsidRPr="007D6A16">
        <w:rPr>
          <w:rFonts w:cstheme="minorHAnsi"/>
          <w:sz w:val="22"/>
        </w:rPr>
        <w:t xml:space="preserve"> na koniec czerwca 202</w:t>
      </w:r>
      <w:r>
        <w:rPr>
          <w:rFonts w:cstheme="minorHAnsi"/>
          <w:sz w:val="22"/>
        </w:rPr>
        <w:t>3</w:t>
      </w:r>
      <w:r w:rsidRPr="007D6A16">
        <w:rPr>
          <w:rFonts w:cstheme="minorHAnsi"/>
          <w:sz w:val="22"/>
        </w:rPr>
        <w:t xml:space="preserve"> r. wynosił</w:t>
      </w:r>
      <w:r w:rsidR="003075C6">
        <w:rPr>
          <w:rFonts w:cstheme="minorHAnsi"/>
          <w:sz w:val="22"/>
        </w:rPr>
        <w:t>o</w:t>
      </w:r>
      <w:r w:rsidRPr="007D6A16">
        <w:rPr>
          <w:rFonts w:cstheme="minorHAnsi"/>
          <w:sz w:val="22"/>
        </w:rPr>
        <w:t xml:space="preserve"> 7</w:t>
      </w:r>
      <w:r>
        <w:rPr>
          <w:rFonts w:cstheme="minorHAnsi"/>
          <w:sz w:val="22"/>
        </w:rPr>
        <w:t>10</w:t>
      </w:r>
      <w:r w:rsidRPr="007D6A16">
        <w:rPr>
          <w:rFonts w:cstheme="minorHAnsi"/>
          <w:sz w:val="22"/>
        </w:rPr>
        <w:t xml:space="preserve"> mld zł i </w:t>
      </w:r>
      <w:r w:rsidR="00E7212F">
        <w:rPr>
          <w:rFonts w:cstheme="minorHAnsi"/>
          <w:sz w:val="22"/>
        </w:rPr>
        <w:t>zmalał</w:t>
      </w:r>
      <w:r w:rsidR="003075C6">
        <w:rPr>
          <w:rFonts w:cstheme="minorHAnsi"/>
          <w:sz w:val="22"/>
        </w:rPr>
        <w:t>o</w:t>
      </w:r>
      <w:r w:rsidRPr="007D6A16">
        <w:rPr>
          <w:rFonts w:cstheme="minorHAnsi"/>
          <w:sz w:val="22"/>
        </w:rPr>
        <w:t xml:space="preserve"> o </w:t>
      </w:r>
      <w:r>
        <w:rPr>
          <w:rFonts w:cstheme="minorHAnsi"/>
          <w:sz w:val="22"/>
        </w:rPr>
        <w:t>1</w:t>
      </w:r>
      <w:r w:rsidRPr="007D6A16">
        <w:rPr>
          <w:rFonts w:cstheme="minorHAnsi"/>
          <w:sz w:val="22"/>
        </w:rPr>
        <w:t>2 mld zł w porównaniu do grudnia 202</w:t>
      </w:r>
      <w:r>
        <w:rPr>
          <w:rFonts w:cstheme="minorHAnsi"/>
          <w:sz w:val="22"/>
        </w:rPr>
        <w:t>2</w:t>
      </w:r>
      <w:r w:rsidR="001C48BD">
        <w:rPr>
          <w:rFonts w:cstheme="minorHAnsi"/>
          <w:sz w:val="22"/>
        </w:rPr>
        <w:t xml:space="preserve"> r. oraz</w:t>
      </w:r>
      <w:r>
        <w:rPr>
          <w:rFonts w:cstheme="minorHAnsi"/>
          <w:sz w:val="22"/>
        </w:rPr>
        <w:t xml:space="preserve"> o 26 mld zł od </w:t>
      </w:r>
      <w:r w:rsidR="0010126B">
        <w:rPr>
          <w:rFonts w:cstheme="minorHAnsi"/>
          <w:sz w:val="22"/>
        </w:rPr>
        <w:t xml:space="preserve">grudnia </w:t>
      </w:r>
      <w:r>
        <w:rPr>
          <w:rFonts w:cstheme="minorHAnsi"/>
          <w:sz w:val="22"/>
        </w:rPr>
        <w:t>2021</w:t>
      </w:r>
      <w:r w:rsidR="005C39DD">
        <w:rPr>
          <w:rFonts w:cstheme="minorHAnsi"/>
          <w:sz w:val="22"/>
        </w:rPr>
        <w:t xml:space="preserve"> r.</w:t>
      </w:r>
      <w:r w:rsidR="0010126B">
        <w:rPr>
          <w:rFonts w:cstheme="minorHAnsi"/>
          <w:sz w:val="22"/>
        </w:rPr>
        <w:t>, w którym zadłużenie osiągnęło 736 mld zł.</w:t>
      </w:r>
      <w:r>
        <w:rPr>
          <w:rFonts w:cstheme="minorHAnsi"/>
          <w:sz w:val="22"/>
        </w:rPr>
        <w:t xml:space="preserve"> </w:t>
      </w:r>
    </w:p>
    <w:p w14:paraId="4654B7DE" w14:textId="77777777" w:rsidR="0054409B" w:rsidRDefault="0054409B" w:rsidP="00015381">
      <w:pPr>
        <w:jc w:val="both"/>
        <w:rPr>
          <w:rFonts w:cstheme="minorHAnsi"/>
          <w:sz w:val="22"/>
        </w:rPr>
      </w:pPr>
    </w:p>
    <w:p w14:paraId="4C2FF549" w14:textId="07A78BF2" w:rsidR="00052187" w:rsidRDefault="0054409B" w:rsidP="00B419BB">
      <w:p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-</w:t>
      </w:r>
      <w:r w:rsidR="007D7A4E" w:rsidRPr="007D7A4E">
        <w:rPr>
          <w:rFonts w:cstheme="minorHAnsi"/>
          <w:i/>
          <w:iCs/>
          <w:sz w:val="22"/>
        </w:rPr>
        <w:t xml:space="preserve"> Pogłębienie spadku wartości zadłużenia na rynku kredytów bankowych ogółem to </w:t>
      </w:r>
      <w:r w:rsidR="00C25F3F" w:rsidRPr="007D7A4E">
        <w:rPr>
          <w:rFonts w:cstheme="minorHAnsi"/>
          <w:i/>
          <w:iCs/>
          <w:sz w:val="22"/>
        </w:rPr>
        <w:t xml:space="preserve">zarówno </w:t>
      </w:r>
      <w:r w:rsidR="007D7A4E" w:rsidRPr="007D7A4E">
        <w:rPr>
          <w:rFonts w:cstheme="minorHAnsi"/>
          <w:i/>
          <w:iCs/>
          <w:sz w:val="22"/>
        </w:rPr>
        <w:t xml:space="preserve">skutek znaczącego wyhamowania wartości akcji kredytowej jak i nadpłat </w:t>
      </w:r>
      <w:r w:rsidR="003075C6">
        <w:rPr>
          <w:rFonts w:cstheme="minorHAnsi"/>
          <w:i/>
          <w:iCs/>
          <w:sz w:val="22"/>
        </w:rPr>
        <w:t>oraz</w:t>
      </w:r>
      <w:r w:rsidR="007D7A4E" w:rsidRPr="007D7A4E">
        <w:rPr>
          <w:rFonts w:cstheme="minorHAnsi"/>
          <w:i/>
          <w:iCs/>
          <w:sz w:val="22"/>
        </w:rPr>
        <w:t xml:space="preserve"> wcześniejszych spłat kredytów hipotecznych</w:t>
      </w:r>
      <w:r w:rsidR="0010126B">
        <w:rPr>
          <w:rFonts w:cstheme="minorHAnsi"/>
          <w:i/>
          <w:iCs/>
          <w:sz w:val="22"/>
        </w:rPr>
        <w:t xml:space="preserve">. </w:t>
      </w:r>
      <w:r w:rsidR="0010126B" w:rsidRPr="007D7A4E">
        <w:rPr>
          <w:rFonts w:cstheme="minorHAnsi"/>
          <w:i/>
          <w:iCs/>
          <w:sz w:val="22"/>
        </w:rPr>
        <w:t>Wartoś</w:t>
      </w:r>
      <w:r w:rsidR="0010126B">
        <w:rPr>
          <w:rFonts w:cstheme="minorHAnsi"/>
          <w:i/>
          <w:iCs/>
          <w:sz w:val="22"/>
        </w:rPr>
        <w:t>ć</w:t>
      </w:r>
      <w:r w:rsidR="0010126B" w:rsidRPr="007D7A4E">
        <w:rPr>
          <w:rFonts w:cstheme="minorHAnsi"/>
          <w:i/>
          <w:iCs/>
          <w:sz w:val="22"/>
        </w:rPr>
        <w:t xml:space="preserve"> </w:t>
      </w:r>
      <w:r w:rsidR="007D7A4E" w:rsidRPr="007D7A4E">
        <w:rPr>
          <w:rFonts w:cstheme="minorHAnsi"/>
          <w:i/>
          <w:iCs/>
          <w:sz w:val="22"/>
        </w:rPr>
        <w:t xml:space="preserve">zadłużenia Polaków z tytułu kredytów hipotecznych w pierwszym półroczu br. obniżyła się o 16,1 mld zł. Nie mniej ważny z perspektywy wartości portfela kredytowego jest czynnik demograficzny. </w:t>
      </w:r>
      <w:r w:rsidR="00C25F3F">
        <w:rPr>
          <w:rFonts w:cstheme="minorHAnsi"/>
          <w:i/>
          <w:iCs/>
          <w:sz w:val="22"/>
        </w:rPr>
        <w:t>J</w:t>
      </w:r>
      <w:r w:rsidR="00C25F3F" w:rsidRPr="007D7A4E">
        <w:rPr>
          <w:rFonts w:cstheme="minorHAnsi"/>
          <w:i/>
          <w:iCs/>
          <w:sz w:val="22"/>
        </w:rPr>
        <w:t>ak informuje GUS,</w:t>
      </w:r>
      <w:r w:rsidR="00C25F3F">
        <w:rPr>
          <w:rFonts w:cstheme="minorHAnsi"/>
          <w:i/>
          <w:iCs/>
          <w:sz w:val="22"/>
        </w:rPr>
        <w:t xml:space="preserve"> s</w:t>
      </w:r>
      <w:r w:rsidR="007D7A4E" w:rsidRPr="007D7A4E">
        <w:rPr>
          <w:rFonts w:cstheme="minorHAnsi"/>
          <w:i/>
          <w:iCs/>
          <w:sz w:val="22"/>
        </w:rPr>
        <w:t xml:space="preserve">padek liczby dorosłych Polaków </w:t>
      </w:r>
      <w:r w:rsidR="00C25F3F" w:rsidRPr="007D7A4E">
        <w:rPr>
          <w:rFonts w:cstheme="minorHAnsi"/>
          <w:i/>
          <w:iCs/>
          <w:sz w:val="22"/>
        </w:rPr>
        <w:t xml:space="preserve">pogłębia się od kilku lat. </w:t>
      </w:r>
      <w:r w:rsidR="00C25F3F">
        <w:rPr>
          <w:rFonts w:cstheme="minorHAnsi"/>
          <w:i/>
          <w:iCs/>
          <w:sz w:val="22"/>
        </w:rPr>
        <w:t>W</w:t>
      </w:r>
      <w:r w:rsidR="007D7A4E" w:rsidRPr="007D7A4E">
        <w:rPr>
          <w:rFonts w:cstheme="minorHAnsi"/>
          <w:i/>
          <w:iCs/>
          <w:sz w:val="22"/>
        </w:rPr>
        <w:t xml:space="preserve"> okresie grudzień 2019</w:t>
      </w:r>
      <w:r w:rsidR="007D7A4E">
        <w:rPr>
          <w:rFonts w:cstheme="minorHAnsi"/>
          <w:i/>
          <w:iCs/>
          <w:sz w:val="22"/>
        </w:rPr>
        <w:t xml:space="preserve"> r.</w:t>
      </w:r>
      <w:r w:rsidR="007D7A4E" w:rsidRPr="007D7A4E">
        <w:rPr>
          <w:rFonts w:cstheme="minorHAnsi"/>
          <w:i/>
          <w:iCs/>
          <w:sz w:val="22"/>
        </w:rPr>
        <w:t xml:space="preserve"> – grudzień 2022</w:t>
      </w:r>
      <w:r w:rsidR="007D7A4E">
        <w:rPr>
          <w:rFonts w:cstheme="minorHAnsi"/>
          <w:i/>
          <w:iCs/>
          <w:sz w:val="22"/>
        </w:rPr>
        <w:t xml:space="preserve"> r.</w:t>
      </w:r>
      <w:r w:rsidR="00C25F3F">
        <w:rPr>
          <w:rFonts w:cstheme="minorHAnsi"/>
          <w:i/>
          <w:iCs/>
          <w:sz w:val="22"/>
        </w:rPr>
        <w:t xml:space="preserve"> wyniósł on</w:t>
      </w:r>
      <w:r w:rsidR="007D7A4E">
        <w:rPr>
          <w:rFonts w:cstheme="minorHAnsi"/>
          <w:i/>
          <w:iCs/>
          <w:sz w:val="22"/>
        </w:rPr>
        <w:t xml:space="preserve"> </w:t>
      </w:r>
      <w:r w:rsidR="00C25F3F" w:rsidRPr="007D7A4E">
        <w:rPr>
          <w:rFonts w:cstheme="minorHAnsi"/>
          <w:i/>
          <w:iCs/>
          <w:sz w:val="22"/>
        </w:rPr>
        <w:t>618 tys. osób</w:t>
      </w:r>
      <w:r w:rsidR="00C25F3F">
        <w:rPr>
          <w:rFonts w:cstheme="minorHAnsi"/>
          <w:i/>
          <w:iCs/>
          <w:sz w:val="22"/>
        </w:rPr>
        <w:t>.</w:t>
      </w:r>
      <w:r w:rsidR="00C25F3F" w:rsidRPr="007D7A4E">
        <w:rPr>
          <w:rFonts w:cstheme="minorHAnsi"/>
          <w:i/>
          <w:iCs/>
          <w:sz w:val="22"/>
        </w:rPr>
        <w:t xml:space="preserve"> </w:t>
      </w:r>
      <w:r w:rsidR="007D7A4E" w:rsidRPr="007D7A4E">
        <w:rPr>
          <w:rFonts w:cstheme="minorHAnsi"/>
          <w:i/>
          <w:iCs/>
          <w:sz w:val="22"/>
        </w:rPr>
        <w:t xml:space="preserve">Zjawisko to także </w:t>
      </w:r>
      <w:r w:rsidR="0010126B">
        <w:rPr>
          <w:rFonts w:cstheme="minorHAnsi"/>
          <w:i/>
          <w:iCs/>
          <w:sz w:val="22"/>
        </w:rPr>
        <w:t xml:space="preserve">ma negatywny wpływ </w:t>
      </w:r>
      <w:r w:rsidR="007D7A4E" w:rsidRPr="007D7A4E">
        <w:rPr>
          <w:rFonts w:cstheme="minorHAnsi"/>
          <w:i/>
          <w:iCs/>
          <w:sz w:val="22"/>
        </w:rPr>
        <w:t xml:space="preserve">na rynek kredytowy. Na koniec czerwca br. kredytobiorców i pożyczkobiorców ubyło o 5,6% w relacji do grudnia 2019 r. (874 tys. osób). Obecnie w bazie BIK jest 14,7 mln kredytobiorców i pożyczkobiorców posiadających kredyt bankowy czy pożyczkę </w:t>
      </w:r>
      <w:proofErr w:type="spellStart"/>
      <w:r w:rsidR="007D7A4E" w:rsidRPr="007D7A4E">
        <w:rPr>
          <w:rFonts w:cstheme="minorHAnsi"/>
          <w:i/>
          <w:iCs/>
          <w:sz w:val="22"/>
        </w:rPr>
        <w:t>pozabankową</w:t>
      </w:r>
      <w:proofErr w:type="spellEnd"/>
      <w:r w:rsidR="007D7A4E" w:rsidRPr="007D7A4E">
        <w:rPr>
          <w:rFonts w:cstheme="minorHAnsi"/>
          <w:i/>
          <w:iCs/>
          <w:sz w:val="22"/>
        </w:rPr>
        <w:t xml:space="preserve">. Rośnie jedynie liczba posiadaczy kredytów ratalnych i pożyczek </w:t>
      </w:r>
      <w:proofErr w:type="spellStart"/>
      <w:r w:rsidR="007D7A4E" w:rsidRPr="007D7A4E">
        <w:rPr>
          <w:rFonts w:cstheme="minorHAnsi"/>
          <w:i/>
          <w:iCs/>
          <w:sz w:val="22"/>
        </w:rPr>
        <w:t>pozabankowych</w:t>
      </w:r>
      <w:proofErr w:type="spellEnd"/>
      <w:r w:rsidR="007D7A4E" w:rsidRPr="007D7A4E">
        <w:rPr>
          <w:rFonts w:cstheme="minorHAnsi"/>
          <w:i/>
          <w:iCs/>
          <w:sz w:val="22"/>
        </w:rPr>
        <w:t xml:space="preserve"> </w:t>
      </w:r>
      <w:r w:rsidR="00E1262C">
        <w:rPr>
          <w:rFonts w:cstheme="minorHAnsi"/>
          <w:sz w:val="22"/>
        </w:rPr>
        <w:t xml:space="preserve">– </w:t>
      </w:r>
      <w:r w:rsidR="00B419BB" w:rsidRPr="00D73C65">
        <w:rPr>
          <w:rFonts w:cstheme="minorHAnsi"/>
          <w:b/>
          <w:bCs/>
          <w:sz w:val="22"/>
        </w:rPr>
        <w:t>mówi</w:t>
      </w:r>
      <w:r w:rsidR="00E1262C" w:rsidRPr="00D73C65">
        <w:rPr>
          <w:rFonts w:cstheme="minorHAnsi"/>
          <w:b/>
          <w:bCs/>
          <w:sz w:val="22"/>
        </w:rPr>
        <w:t xml:space="preserve"> dr hab. Waldemar Rogowski, główny analityk Grupy BIK</w:t>
      </w:r>
      <w:r w:rsidR="00B419BB">
        <w:rPr>
          <w:rFonts w:cstheme="minorHAnsi"/>
          <w:sz w:val="22"/>
        </w:rPr>
        <w:t xml:space="preserve"> i wyjaśnia, że </w:t>
      </w:r>
      <w:r w:rsidR="00C65BD2">
        <w:rPr>
          <w:rFonts w:cstheme="minorHAnsi"/>
          <w:sz w:val="22"/>
        </w:rPr>
        <w:t xml:space="preserve">choć różnią się motywy wzrostu ich </w:t>
      </w:r>
      <w:r w:rsidR="00B419BB">
        <w:rPr>
          <w:rFonts w:cstheme="minorHAnsi"/>
          <w:sz w:val="22"/>
        </w:rPr>
        <w:t>popularnoś</w:t>
      </w:r>
      <w:r w:rsidR="00C65BD2">
        <w:rPr>
          <w:rFonts w:cstheme="minorHAnsi"/>
          <w:sz w:val="22"/>
        </w:rPr>
        <w:t xml:space="preserve">ci, to </w:t>
      </w:r>
      <w:r w:rsidR="00B419BB">
        <w:rPr>
          <w:rFonts w:cstheme="minorHAnsi"/>
          <w:sz w:val="22"/>
        </w:rPr>
        <w:t>w ostatnich sześciu miesiącach oba te segmenty łącznie odpowiadały za 1</w:t>
      </w:r>
      <w:r w:rsidR="00294169">
        <w:rPr>
          <w:rFonts w:cstheme="minorHAnsi"/>
          <w:sz w:val="22"/>
        </w:rPr>
        <w:t>5</w:t>
      </w:r>
      <w:r w:rsidR="00B419BB">
        <w:rPr>
          <w:rFonts w:cstheme="minorHAnsi"/>
          <w:sz w:val="22"/>
        </w:rPr>
        <w:t>,</w:t>
      </w:r>
      <w:r w:rsidR="00294169">
        <w:rPr>
          <w:rFonts w:cstheme="minorHAnsi"/>
          <w:sz w:val="22"/>
        </w:rPr>
        <w:t>2</w:t>
      </w:r>
      <w:r w:rsidR="00B419BB">
        <w:rPr>
          <w:rFonts w:cstheme="minorHAnsi"/>
          <w:sz w:val="22"/>
        </w:rPr>
        <w:t xml:space="preserve"> ml</w:t>
      </w:r>
      <w:r w:rsidR="00294169">
        <w:rPr>
          <w:rFonts w:cstheme="minorHAnsi"/>
          <w:sz w:val="22"/>
        </w:rPr>
        <w:t>d</w:t>
      </w:r>
      <w:r w:rsidR="00B419BB">
        <w:rPr>
          <w:rFonts w:cstheme="minorHAnsi"/>
          <w:sz w:val="22"/>
        </w:rPr>
        <w:t xml:space="preserve"> zł </w:t>
      </w:r>
      <w:r w:rsidR="00B419BB" w:rsidRPr="00B419BB">
        <w:rPr>
          <w:rFonts w:cstheme="minorHAnsi"/>
          <w:sz w:val="22"/>
        </w:rPr>
        <w:t>udziel</w:t>
      </w:r>
      <w:r w:rsidR="00C65BD2">
        <w:rPr>
          <w:rFonts w:cstheme="minorHAnsi"/>
          <w:sz w:val="22"/>
        </w:rPr>
        <w:t>o</w:t>
      </w:r>
      <w:r w:rsidR="00B419BB" w:rsidRPr="00B419BB">
        <w:rPr>
          <w:rFonts w:cstheme="minorHAnsi"/>
          <w:sz w:val="22"/>
        </w:rPr>
        <w:t>nego finansowania</w:t>
      </w:r>
      <w:r w:rsidR="00C65BD2">
        <w:rPr>
          <w:rFonts w:cstheme="minorHAnsi"/>
          <w:sz w:val="22"/>
        </w:rPr>
        <w:t xml:space="preserve"> konsumenckiego</w:t>
      </w:r>
      <w:r w:rsidR="00B419BB">
        <w:rPr>
          <w:rFonts w:cstheme="minorHAnsi"/>
          <w:sz w:val="22"/>
        </w:rPr>
        <w:t xml:space="preserve">. </w:t>
      </w:r>
    </w:p>
    <w:p w14:paraId="61747B85" w14:textId="77777777" w:rsidR="00AE1D11" w:rsidRDefault="00AE1D11" w:rsidP="00B419BB">
      <w:pPr>
        <w:jc w:val="both"/>
        <w:rPr>
          <w:rFonts w:cstheme="minorHAnsi"/>
          <w:sz w:val="22"/>
        </w:rPr>
      </w:pPr>
    </w:p>
    <w:p w14:paraId="1930DC68" w14:textId="58A0B1B5" w:rsidR="008A6EB6" w:rsidRDefault="008A6EB6" w:rsidP="008A6EB6">
      <w:pPr>
        <w:jc w:val="both"/>
        <w:rPr>
          <w:rFonts w:cstheme="minorHAnsi"/>
          <w:b/>
          <w:bCs/>
          <w:sz w:val="22"/>
        </w:rPr>
      </w:pPr>
      <w:r>
        <w:rPr>
          <w:rFonts w:cstheme="minorHAnsi"/>
          <w:b/>
          <w:bCs/>
          <w:sz w:val="22"/>
        </w:rPr>
        <w:t xml:space="preserve">Drugi kwartał </w:t>
      </w:r>
      <w:r w:rsidR="007145A5">
        <w:rPr>
          <w:rFonts w:cstheme="minorHAnsi"/>
          <w:b/>
          <w:bCs/>
          <w:sz w:val="22"/>
        </w:rPr>
        <w:t xml:space="preserve">zapowiada rosnący trend </w:t>
      </w:r>
      <w:r w:rsidR="008967BD">
        <w:rPr>
          <w:rFonts w:cstheme="minorHAnsi"/>
          <w:b/>
          <w:bCs/>
          <w:sz w:val="22"/>
        </w:rPr>
        <w:t>w k</w:t>
      </w:r>
      <w:r>
        <w:rPr>
          <w:rFonts w:cstheme="minorHAnsi"/>
          <w:b/>
          <w:bCs/>
          <w:sz w:val="22"/>
        </w:rPr>
        <w:t>redyt</w:t>
      </w:r>
      <w:r w:rsidR="008967BD">
        <w:rPr>
          <w:rFonts w:cstheme="minorHAnsi"/>
          <w:b/>
          <w:bCs/>
          <w:sz w:val="22"/>
        </w:rPr>
        <w:t>ach</w:t>
      </w:r>
      <w:r>
        <w:rPr>
          <w:rFonts w:cstheme="minorHAnsi"/>
          <w:b/>
          <w:bCs/>
          <w:sz w:val="22"/>
        </w:rPr>
        <w:t xml:space="preserve"> mieszkaniow</w:t>
      </w:r>
      <w:r w:rsidR="008967BD">
        <w:rPr>
          <w:rFonts w:cstheme="minorHAnsi"/>
          <w:b/>
          <w:bCs/>
          <w:sz w:val="22"/>
        </w:rPr>
        <w:t>ych</w:t>
      </w:r>
      <w:r>
        <w:rPr>
          <w:rFonts w:cstheme="minorHAnsi"/>
          <w:b/>
          <w:bCs/>
          <w:sz w:val="22"/>
        </w:rPr>
        <w:t xml:space="preserve"> </w:t>
      </w:r>
    </w:p>
    <w:p w14:paraId="02844FEF" w14:textId="77777777" w:rsidR="008A6EB6" w:rsidRDefault="008A6EB6" w:rsidP="008A6EB6">
      <w:pPr>
        <w:jc w:val="both"/>
        <w:rPr>
          <w:rFonts w:cstheme="minorHAnsi"/>
          <w:b/>
          <w:bCs/>
          <w:sz w:val="22"/>
        </w:rPr>
      </w:pPr>
    </w:p>
    <w:p w14:paraId="28FB489C" w14:textId="77777777" w:rsidR="008A6EB6" w:rsidRDefault="008A6EB6" w:rsidP="008A6EB6">
      <w:p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Pierwsze sześć miesięcy na rynku kredytów mieszkaniowych w 2023 r. podzielić można na dwa odmienne okresy, tj. słaby pierwszy kwartał oraz drugi kwartał, który przyniósł ożywienie. Skutkiem tego udzielono o 39,4%</w:t>
      </w:r>
      <w:r w:rsidRPr="00331B27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kredytów hipotecznych mniej na wartość o 40,3% niższą w porównaniu do pierwszego półrocza 2022 r.</w:t>
      </w:r>
    </w:p>
    <w:p w14:paraId="1E0F24A2" w14:textId="77777777" w:rsidR="00D73C65" w:rsidRDefault="00D73C65" w:rsidP="008A6EB6">
      <w:pPr>
        <w:jc w:val="both"/>
        <w:rPr>
          <w:rFonts w:cstheme="minorHAnsi"/>
          <w:sz w:val="22"/>
        </w:rPr>
      </w:pPr>
    </w:p>
    <w:p w14:paraId="4B1D58C6" w14:textId="6AB3D189" w:rsidR="008A6EB6" w:rsidRPr="0023540D" w:rsidRDefault="008A6EB6" w:rsidP="008A6EB6">
      <w:pPr>
        <w:jc w:val="both"/>
        <w:rPr>
          <w:rFonts w:cstheme="minorHAnsi"/>
          <w:i/>
          <w:iCs/>
          <w:sz w:val="22"/>
        </w:rPr>
      </w:pPr>
      <w:r w:rsidRPr="003A1144">
        <w:rPr>
          <w:rFonts w:cstheme="minorHAnsi"/>
          <w:sz w:val="22"/>
        </w:rPr>
        <w:t xml:space="preserve">- </w:t>
      </w:r>
      <w:r w:rsidRPr="003A1144">
        <w:rPr>
          <w:rFonts w:cstheme="minorHAnsi"/>
          <w:i/>
          <w:iCs/>
          <w:sz w:val="22"/>
        </w:rPr>
        <w:t>Wprawdzie półrocze zakończyło się z wynikiem ujemnym, gdy chodzi o liczbę i wartość przyznanych kredytów mieszkaniowych, ale już od kilku miesięcy widać symptomy ożywienia</w:t>
      </w:r>
      <w:r>
        <w:rPr>
          <w:rFonts w:cstheme="minorHAnsi"/>
          <w:i/>
          <w:iCs/>
          <w:sz w:val="22"/>
        </w:rPr>
        <w:t>.</w:t>
      </w:r>
      <w:r w:rsidRPr="003A1144">
        <w:rPr>
          <w:rFonts w:cstheme="minorHAnsi"/>
          <w:i/>
          <w:iCs/>
          <w:sz w:val="22"/>
        </w:rPr>
        <w:t xml:space="preserve"> </w:t>
      </w:r>
      <w:r>
        <w:rPr>
          <w:rFonts w:cstheme="minorHAnsi"/>
          <w:i/>
          <w:iCs/>
          <w:sz w:val="22"/>
        </w:rPr>
        <w:t>Ich k</w:t>
      </w:r>
      <w:r w:rsidRPr="003A1144">
        <w:rPr>
          <w:rFonts w:cstheme="minorHAnsi"/>
          <w:i/>
          <w:iCs/>
          <w:sz w:val="22"/>
        </w:rPr>
        <w:t>atalizatorem</w:t>
      </w:r>
      <w:r>
        <w:rPr>
          <w:rFonts w:cstheme="minorHAnsi"/>
          <w:i/>
          <w:iCs/>
          <w:sz w:val="22"/>
        </w:rPr>
        <w:t xml:space="preserve"> była liberalizacja </w:t>
      </w:r>
      <w:r>
        <w:rPr>
          <w:i/>
          <w:sz w:val="22"/>
        </w:rPr>
        <w:t>wymagań nadzorczych w zakresie liczenia zdolności kredytowej – zmniejszenie wymaganego poziomu bufora na stopę procentową, jak i wzrost nominalny wynagrodzeń. W wyniku tych dwóch czynników wzrosła zdolność kredytowa osób</w:t>
      </w:r>
      <w:r w:rsidR="008967BD">
        <w:rPr>
          <w:i/>
          <w:sz w:val="22"/>
        </w:rPr>
        <w:t xml:space="preserve"> zainteresowanych kredytem,</w:t>
      </w:r>
      <w:r>
        <w:rPr>
          <w:i/>
          <w:sz w:val="22"/>
        </w:rPr>
        <w:t xml:space="preserve"> a w jej następstwie ożył popyt na kredyty hipoteczne</w:t>
      </w:r>
      <w:r w:rsidR="0010126B">
        <w:rPr>
          <w:i/>
          <w:sz w:val="22"/>
        </w:rPr>
        <w:t>, co przyczyniło się do wzrostu wartości miesięcznej akcji kredytowej do poziomów nie notowanych od czerwca zeszłego roku</w:t>
      </w:r>
      <w:r>
        <w:rPr>
          <w:i/>
          <w:sz w:val="22"/>
        </w:rPr>
        <w:t xml:space="preserve">. </w:t>
      </w:r>
      <w:r w:rsidR="008967BD">
        <w:rPr>
          <w:i/>
          <w:sz w:val="22"/>
        </w:rPr>
        <w:t xml:space="preserve">Motorem napędowym były </w:t>
      </w:r>
      <w:r>
        <w:rPr>
          <w:i/>
          <w:sz w:val="22"/>
        </w:rPr>
        <w:t>ponadto spadki poziomu WIBOR-u, a</w:t>
      </w:r>
      <w:r w:rsidR="008967BD">
        <w:rPr>
          <w:i/>
          <w:sz w:val="22"/>
        </w:rPr>
        <w:t xml:space="preserve"> wi</w:t>
      </w:r>
      <w:r w:rsidR="002C206E">
        <w:rPr>
          <w:i/>
          <w:sz w:val="22"/>
        </w:rPr>
        <w:t>ę</w:t>
      </w:r>
      <w:r w:rsidR="008967BD">
        <w:rPr>
          <w:i/>
          <w:sz w:val="22"/>
        </w:rPr>
        <w:t xml:space="preserve">c niższe koszty kredytu, a z drugiej strony popyt stymulowała obawa </w:t>
      </w:r>
      <w:r>
        <w:rPr>
          <w:rFonts w:cstheme="minorHAnsi"/>
          <w:i/>
          <w:iCs/>
          <w:sz w:val="22"/>
        </w:rPr>
        <w:t xml:space="preserve">o wzrost </w:t>
      </w:r>
      <w:r w:rsidRPr="00C83670">
        <w:rPr>
          <w:rFonts w:cstheme="minorHAnsi"/>
          <w:i/>
          <w:iCs/>
          <w:sz w:val="22"/>
        </w:rPr>
        <w:t>cen nieruchomości</w:t>
      </w:r>
      <w:r>
        <w:rPr>
          <w:rFonts w:cstheme="minorHAnsi"/>
          <w:sz w:val="22"/>
        </w:rPr>
        <w:t xml:space="preserve">. </w:t>
      </w:r>
      <w:r w:rsidRPr="0023540D">
        <w:rPr>
          <w:rFonts w:cstheme="minorHAnsi"/>
          <w:i/>
          <w:iCs/>
          <w:sz w:val="22"/>
        </w:rPr>
        <w:t xml:space="preserve">I należy dodać, że są to symptomy zupełnie naturalne, gdyż rynek kredytów mieszkaniowych </w:t>
      </w:r>
      <w:r>
        <w:rPr>
          <w:rFonts w:cstheme="minorHAnsi"/>
          <w:i/>
          <w:iCs/>
          <w:sz w:val="22"/>
        </w:rPr>
        <w:t>cechuje</w:t>
      </w:r>
      <w:r w:rsidRPr="0023540D">
        <w:rPr>
          <w:rFonts w:cstheme="minorHAnsi"/>
          <w:i/>
          <w:iCs/>
          <w:sz w:val="22"/>
        </w:rPr>
        <w:t xml:space="preserve"> duż</w:t>
      </w:r>
      <w:r>
        <w:rPr>
          <w:rFonts w:cstheme="minorHAnsi"/>
          <w:i/>
          <w:iCs/>
          <w:sz w:val="22"/>
        </w:rPr>
        <w:t>a</w:t>
      </w:r>
      <w:r w:rsidRPr="0023540D">
        <w:rPr>
          <w:rFonts w:cstheme="minorHAnsi"/>
          <w:i/>
          <w:iCs/>
          <w:sz w:val="22"/>
        </w:rPr>
        <w:t xml:space="preserve"> cyklicznoś</w:t>
      </w:r>
      <w:r>
        <w:rPr>
          <w:rFonts w:cstheme="minorHAnsi"/>
          <w:i/>
          <w:iCs/>
          <w:sz w:val="22"/>
        </w:rPr>
        <w:t xml:space="preserve">ć i związana z nią podatność na </w:t>
      </w:r>
      <w:r w:rsidRPr="0023540D">
        <w:rPr>
          <w:rFonts w:cstheme="minorHAnsi"/>
          <w:i/>
          <w:iCs/>
          <w:sz w:val="22"/>
        </w:rPr>
        <w:t>różnego typu wydarzenia makroekonomiczne czy społeczne, np. pandemia, zmiana wysokości stóp procentowych, inflacja, oczekiwania co do spadku wskaźników, m.in. WIBO</w:t>
      </w:r>
      <w:r>
        <w:rPr>
          <w:rFonts w:cstheme="minorHAnsi"/>
          <w:i/>
          <w:iCs/>
          <w:sz w:val="22"/>
        </w:rPr>
        <w:t>R</w:t>
      </w:r>
      <w:r w:rsidRPr="0023540D">
        <w:rPr>
          <w:rFonts w:cstheme="minorHAnsi"/>
          <w:i/>
          <w:iCs/>
          <w:sz w:val="22"/>
        </w:rPr>
        <w:t>-u</w:t>
      </w:r>
      <w:r>
        <w:rPr>
          <w:rFonts w:cstheme="minorHAnsi"/>
          <w:i/>
          <w:iCs/>
          <w:sz w:val="22"/>
        </w:rPr>
        <w:t xml:space="preserve"> </w:t>
      </w:r>
      <w:r w:rsidRPr="0023540D">
        <w:rPr>
          <w:rFonts w:cstheme="minorHAnsi"/>
          <w:sz w:val="22"/>
        </w:rPr>
        <w:t>– tłumaczy główny analityk BIK.</w:t>
      </w:r>
      <w:r>
        <w:rPr>
          <w:rFonts w:cstheme="minorHAnsi"/>
          <w:i/>
          <w:iCs/>
          <w:sz w:val="22"/>
        </w:rPr>
        <w:t xml:space="preserve"> </w:t>
      </w:r>
    </w:p>
    <w:p w14:paraId="32815268" w14:textId="77777777" w:rsidR="005C39DD" w:rsidRDefault="005C39DD" w:rsidP="008A6EB6">
      <w:pPr>
        <w:jc w:val="both"/>
        <w:rPr>
          <w:rFonts w:cstheme="minorHAnsi"/>
          <w:sz w:val="22"/>
        </w:rPr>
      </w:pPr>
    </w:p>
    <w:p w14:paraId="0A1CF935" w14:textId="63D1E8E0" w:rsidR="00380658" w:rsidRDefault="003075C6" w:rsidP="008A6EB6">
      <w:p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Ujemnej dynamiki</w:t>
      </w:r>
      <w:r w:rsidR="005C39DD">
        <w:rPr>
          <w:rFonts w:cstheme="minorHAnsi"/>
          <w:sz w:val="22"/>
        </w:rPr>
        <w:t xml:space="preserve"> na rynku kredytów mieszkaniowych w pierwszym półroczu br.</w:t>
      </w:r>
      <w:r w:rsidR="008A6EB6">
        <w:rPr>
          <w:rFonts w:cstheme="minorHAnsi"/>
          <w:sz w:val="22"/>
        </w:rPr>
        <w:t xml:space="preserve"> nie zdołały wyhamować wysokokwotowe kredyty mieszkaniowe</w:t>
      </w:r>
      <w:r w:rsidR="005C39DD">
        <w:rPr>
          <w:rFonts w:cstheme="minorHAnsi"/>
          <w:sz w:val="22"/>
        </w:rPr>
        <w:t>.</w:t>
      </w:r>
      <w:r w:rsidR="00380658">
        <w:rPr>
          <w:rFonts w:cstheme="minorHAnsi"/>
          <w:sz w:val="22"/>
        </w:rPr>
        <w:t xml:space="preserve"> </w:t>
      </w:r>
      <w:r w:rsidR="008967BD">
        <w:rPr>
          <w:rFonts w:cstheme="minorHAnsi"/>
          <w:sz w:val="22"/>
        </w:rPr>
        <w:t>Ponad 1/3 wartości akcji kredytowej w pierwszym półroczu tego roku</w:t>
      </w:r>
      <w:r w:rsidR="008967BD" w:rsidRPr="008967BD">
        <w:rPr>
          <w:rFonts w:cstheme="minorHAnsi"/>
          <w:sz w:val="22"/>
        </w:rPr>
        <w:t xml:space="preserve"> </w:t>
      </w:r>
      <w:r w:rsidR="008967BD">
        <w:rPr>
          <w:rFonts w:cstheme="minorHAnsi"/>
          <w:sz w:val="22"/>
        </w:rPr>
        <w:t>stanowiły</w:t>
      </w:r>
      <w:r w:rsidR="00380658">
        <w:rPr>
          <w:rFonts w:cstheme="minorHAnsi"/>
          <w:sz w:val="22"/>
        </w:rPr>
        <w:t xml:space="preserve"> </w:t>
      </w:r>
      <w:r w:rsidR="008967BD">
        <w:rPr>
          <w:rFonts w:cstheme="minorHAnsi"/>
          <w:sz w:val="22"/>
        </w:rPr>
        <w:t>k</w:t>
      </w:r>
      <w:r w:rsidR="008A6EB6">
        <w:rPr>
          <w:rFonts w:cstheme="minorHAnsi"/>
          <w:sz w:val="22"/>
        </w:rPr>
        <w:t>redyty na kwoty pow</w:t>
      </w:r>
      <w:r w:rsidR="00E05CE5">
        <w:rPr>
          <w:rFonts w:cstheme="minorHAnsi"/>
          <w:sz w:val="22"/>
        </w:rPr>
        <w:t>yżej</w:t>
      </w:r>
      <w:r w:rsidR="008A6EB6">
        <w:rPr>
          <w:rFonts w:cstheme="minorHAnsi"/>
          <w:sz w:val="22"/>
        </w:rPr>
        <w:t xml:space="preserve"> 500 tys. zł</w:t>
      </w:r>
      <w:r w:rsidR="008967BD">
        <w:rPr>
          <w:rFonts w:cstheme="minorHAnsi"/>
          <w:sz w:val="22"/>
        </w:rPr>
        <w:t xml:space="preserve">. Kolejną dużą grupą były </w:t>
      </w:r>
      <w:r w:rsidR="008A6EB6">
        <w:rPr>
          <w:rFonts w:cstheme="minorHAnsi"/>
          <w:sz w:val="22"/>
        </w:rPr>
        <w:t>kredyty pow. 350 tys. zł</w:t>
      </w:r>
      <w:r w:rsidR="008967BD">
        <w:rPr>
          <w:rFonts w:cstheme="minorHAnsi"/>
          <w:sz w:val="22"/>
        </w:rPr>
        <w:t xml:space="preserve"> (2</w:t>
      </w:r>
      <w:r w:rsidR="00950B7A">
        <w:rPr>
          <w:rFonts w:cstheme="minorHAnsi"/>
          <w:sz w:val="22"/>
        </w:rPr>
        <w:t>5,8%).</w:t>
      </w:r>
      <w:r w:rsidR="008A6EB6">
        <w:rPr>
          <w:rFonts w:cstheme="minorHAnsi"/>
          <w:sz w:val="22"/>
        </w:rPr>
        <w:t xml:space="preserve"> </w:t>
      </w:r>
      <w:r w:rsidR="008967BD">
        <w:rPr>
          <w:rFonts w:cstheme="minorHAnsi"/>
          <w:sz w:val="22"/>
        </w:rPr>
        <w:t xml:space="preserve">I gdyby razem zsumować </w:t>
      </w:r>
      <w:r w:rsidR="00950B7A">
        <w:rPr>
          <w:rFonts w:cstheme="minorHAnsi"/>
          <w:sz w:val="22"/>
        </w:rPr>
        <w:t xml:space="preserve">obie te grupy </w:t>
      </w:r>
      <w:r w:rsidR="008A6EB6">
        <w:rPr>
          <w:rFonts w:cstheme="minorHAnsi"/>
          <w:sz w:val="22"/>
        </w:rPr>
        <w:t xml:space="preserve">to </w:t>
      </w:r>
      <w:r w:rsidR="008967BD">
        <w:rPr>
          <w:rFonts w:cstheme="minorHAnsi"/>
          <w:sz w:val="22"/>
        </w:rPr>
        <w:t xml:space="preserve">łącznie </w:t>
      </w:r>
      <w:r w:rsidR="00190F97">
        <w:rPr>
          <w:rFonts w:cstheme="minorHAnsi"/>
          <w:sz w:val="22"/>
        </w:rPr>
        <w:t>obejmowały</w:t>
      </w:r>
      <w:r w:rsidR="00E05CE5">
        <w:rPr>
          <w:rFonts w:cstheme="minorHAnsi"/>
          <w:sz w:val="22"/>
        </w:rPr>
        <w:t xml:space="preserve"> prawie </w:t>
      </w:r>
      <w:r w:rsidR="008A6EB6">
        <w:rPr>
          <w:rFonts w:cstheme="minorHAnsi"/>
          <w:sz w:val="22"/>
        </w:rPr>
        <w:t xml:space="preserve">2/3 </w:t>
      </w:r>
      <w:r w:rsidR="00950B7A">
        <w:rPr>
          <w:rFonts w:cstheme="minorHAnsi"/>
          <w:sz w:val="22"/>
        </w:rPr>
        <w:t xml:space="preserve">rynku wartości sprzedaży. </w:t>
      </w:r>
    </w:p>
    <w:p w14:paraId="178555BC" w14:textId="77777777" w:rsidR="00AA6F0C" w:rsidRDefault="00AA6F0C" w:rsidP="008A6EB6">
      <w:pPr>
        <w:jc w:val="both"/>
        <w:rPr>
          <w:rFonts w:cstheme="minorHAnsi"/>
          <w:sz w:val="22"/>
        </w:rPr>
      </w:pPr>
    </w:p>
    <w:p w14:paraId="4D2C4E91" w14:textId="0CFB511B" w:rsidR="008A6EB6" w:rsidRDefault="00380658" w:rsidP="00AA6F0C">
      <w:p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Podsumowując, widać umacniającą się od pierwszego półrocza 2022 r. przewagę kredytów mieszkaniowych zaciąganych na wysokie kwoty. Zjawisko to w sposób naturalny wpłynęło na wzrost </w:t>
      </w:r>
      <w:r w:rsidR="00AA6F0C">
        <w:rPr>
          <w:rFonts w:cstheme="minorHAnsi"/>
          <w:sz w:val="22"/>
        </w:rPr>
        <w:t xml:space="preserve">o 14% </w:t>
      </w:r>
      <w:r>
        <w:rPr>
          <w:rFonts w:cstheme="minorHAnsi"/>
          <w:sz w:val="22"/>
        </w:rPr>
        <w:t>średniej kwoty udzielanego kredyt</w:t>
      </w:r>
      <w:r w:rsidR="00AA6F0C">
        <w:rPr>
          <w:rFonts w:cstheme="minorHAnsi"/>
          <w:sz w:val="22"/>
        </w:rPr>
        <w:t xml:space="preserve">u mieszkaniowego w ostatnich </w:t>
      </w:r>
      <w:r w:rsidR="00E05CE5">
        <w:rPr>
          <w:rFonts w:cstheme="minorHAnsi"/>
          <w:sz w:val="22"/>
        </w:rPr>
        <w:t xml:space="preserve">6 </w:t>
      </w:r>
      <w:r w:rsidR="00AA6F0C">
        <w:rPr>
          <w:rFonts w:cstheme="minorHAnsi"/>
          <w:sz w:val="22"/>
        </w:rPr>
        <w:t xml:space="preserve">miesiącach. Równocześnie nie wydłużył się średni okres kredytowania, co oznacza, że kredytobiorcy byli w </w:t>
      </w:r>
      <w:r w:rsidR="008A6EB6">
        <w:rPr>
          <w:rFonts w:cstheme="minorHAnsi"/>
          <w:sz w:val="22"/>
        </w:rPr>
        <w:t>stanie udźwignąć wyższą ratę</w:t>
      </w:r>
      <w:r w:rsidR="00AA6F0C">
        <w:rPr>
          <w:rFonts w:cstheme="minorHAnsi"/>
          <w:sz w:val="22"/>
        </w:rPr>
        <w:t xml:space="preserve"> i mogli pozwolić sobie np. na zakup w</w:t>
      </w:r>
      <w:r w:rsidR="008A6EB6">
        <w:rPr>
          <w:rFonts w:cstheme="minorHAnsi"/>
          <w:sz w:val="22"/>
        </w:rPr>
        <w:t>iększe</w:t>
      </w:r>
      <w:r w:rsidR="00AA6F0C">
        <w:rPr>
          <w:rFonts w:cstheme="minorHAnsi"/>
          <w:sz w:val="22"/>
        </w:rPr>
        <w:t>go</w:t>
      </w:r>
      <w:r w:rsidR="008A6EB6">
        <w:rPr>
          <w:rFonts w:cstheme="minorHAnsi"/>
          <w:sz w:val="22"/>
        </w:rPr>
        <w:t xml:space="preserve"> mieszkani</w:t>
      </w:r>
      <w:r w:rsidR="00AA6F0C">
        <w:rPr>
          <w:rFonts w:cstheme="minorHAnsi"/>
          <w:sz w:val="22"/>
        </w:rPr>
        <w:t>a</w:t>
      </w:r>
      <w:r w:rsidR="008A6EB6">
        <w:rPr>
          <w:rFonts w:cstheme="minorHAnsi"/>
          <w:sz w:val="22"/>
        </w:rPr>
        <w:t xml:space="preserve">. </w:t>
      </w:r>
    </w:p>
    <w:p w14:paraId="37CEEE7D" w14:textId="77777777" w:rsidR="008A6EB6" w:rsidRDefault="008A6EB6" w:rsidP="008A6EB6">
      <w:pPr>
        <w:jc w:val="both"/>
        <w:rPr>
          <w:rFonts w:cstheme="minorHAnsi"/>
          <w:sz w:val="22"/>
        </w:rPr>
      </w:pPr>
    </w:p>
    <w:p w14:paraId="06583A50" w14:textId="110AC07C" w:rsidR="009148F8" w:rsidRDefault="009148F8" w:rsidP="009148F8">
      <w:p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Z wakacji kredytowych do 23.07.2023 r. skorzystało </w:t>
      </w:r>
      <w:r w:rsidRPr="009148F8">
        <w:rPr>
          <w:rFonts w:cstheme="minorHAnsi"/>
          <w:sz w:val="22"/>
        </w:rPr>
        <w:t>1,9</w:t>
      </w:r>
      <w:r w:rsidR="00E05CE5">
        <w:rPr>
          <w:rFonts w:cstheme="minorHAnsi"/>
          <w:sz w:val="22"/>
        </w:rPr>
        <w:t>5</w:t>
      </w:r>
      <w:r w:rsidRPr="009148F8">
        <w:rPr>
          <w:rFonts w:cstheme="minorHAnsi"/>
          <w:sz w:val="22"/>
        </w:rPr>
        <w:t xml:space="preserve"> mln</w:t>
      </w:r>
      <w:r>
        <w:rPr>
          <w:rFonts w:cstheme="minorHAnsi"/>
          <w:sz w:val="22"/>
        </w:rPr>
        <w:t xml:space="preserve"> kredytobiorców, było to 1,4 mln rachunków na kwotę 283 mld zł.</w:t>
      </w:r>
    </w:p>
    <w:p w14:paraId="01C1B98D" w14:textId="77777777" w:rsidR="009148F8" w:rsidRDefault="009148F8" w:rsidP="009148F8">
      <w:pPr>
        <w:jc w:val="both"/>
        <w:rPr>
          <w:rFonts w:cstheme="minorHAnsi"/>
          <w:sz w:val="22"/>
        </w:rPr>
      </w:pPr>
    </w:p>
    <w:p w14:paraId="26B16A6B" w14:textId="77777777" w:rsidR="000B185C" w:rsidRDefault="000B185C" w:rsidP="000B185C">
      <w:pPr>
        <w:jc w:val="both"/>
        <w:rPr>
          <w:rFonts w:cstheme="minorHAnsi"/>
          <w:sz w:val="22"/>
        </w:rPr>
      </w:pPr>
      <w:r>
        <w:rPr>
          <w:rFonts w:cstheme="minorHAnsi"/>
          <w:b/>
          <w:bCs/>
          <w:sz w:val="22"/>
        </w:rPr>
        <w:t>D</w:t>
      </w:r>
      <w:r w:rsidRPr="000B185C">
        <w:rPr>
          <w:rFonts w:cstheme="minorHAnsi"/>
          <w:b/>
          <w:bCs/>
          <w:sz w:val="22"/>
        </w:rPr>
        <w:t>obr</w:t>
      </w:r>
      <w:r>
        <w:rPr>
          <w:rFonts w:cstheme="minorHAnsi"/>
          <w:b/>
          <w:bCs/>
          <w:sz w:val="22"/>
        </w:rPr>
        <w:t xml:space="preserve">a </w:t>
      </w:r>
      <w:r w:rsidRPr="000B185C">
        <w:rPr>
          <w:rFonts w:cstheme="minorHAnsi"/>
          <w:b/>
          <w:bCs/>
          <w:sz w:val="22"/>
        </w:rPr>
        <w:t>sytuacj</w:t>
      </w:r>
      <w:r>
        <w:rPr>
          <w:rFonts w:cstheme="minorHAnsi"/>
          <w:b/>
          <w:bCs/>
          <w:sz w:val="22"/>
        </w:rPr>
        <w:t>a</w:t>
      </w:r>
      <w:r w:rsidRPr="000B185C">
        <w:rPr>
          <w:rFonts w:cstheme="minorHAnsi"/>
          <w:b/>
          <w:bCs/>
          <w:sz w:val="22"/>
        </w:rPr>
        <w:t xml:space="preserve"> na rynku kredytów gotówkowych</w:t>
      </w:r>
      <w:r w:rsidRPr="000B185C">
        <w:rPr>
          <w:rFonts w:cstheme="minorHAnsi"/>
          <w:sz w:val="22"/>
        </w:rPr>
        <w:t xml:space="preserve"> </w:t>
      </w:r>
    </w:p>
    <w:p w14:paraId="6CFF55E6" w14:textId="77777777" w:rsidR="000B185C" w:rsidRDefault="000B185C" w:rsidP="000B185C">
      <w:pPr>
        <w:jc w:val="both"/>
        <w:rPr>
          <w:rFonts w:cstheme="minorHAnsi"/>
          <w:sz w:val="22"/>
        </w:rPr>
      </w:pPr>
    </w:p>
    <w:p w14:paraId="4310DC79" w14:textId="0B0678F9" w:rsidR="000B185C" w:rsidRPr="00015381" w:rsidRDefault="000B185C" w:rsidP="000B185C">
      <w:p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W ciągu pierwszego półrocza b</w:t>
      </w:r>
      <w:r w:rsidRPr="00015381">
        <w:rPr>
          <w:rFonts w:cstheme="minorHAnsi"/>
          <w:sz w:val="22"/>
        </w:rPr>
        <w:t>anki i SKOK-i przyznały</w:t>
      </w:r>
      <w:r w:rsidRPr="000B185C">
        <w:rPr>
          <w:rFonts w:cstheme="minorHAnsi"/>
          <w:sz w:val="22"/>
        </w:rPr>
        <w:t xml:space="preserve"> </w:t>
      </w:r>
      <w:r w:rsidRPr="00015381">
        <w:rPr>
          <w:rFonts w:cstheme="minorHAnsi"/>
          <w:sz w:val="22"/>
        </w:rPr>
        <w:t>o 6,9%</w:t>
      </w:r>
      <w:r>
        <w:rPr>
          <w:rFonts w:cstheme="minorHAnsi"/>
          <w:sz w:val="22"/>
        </w:rPr>
        <w:t xml:space="preserve"> więcej </w:t>
      </w:r>
      <w:r w:rsidRPr="00015381">
        <w:rPr>
          <w:rFonts w:cstheme="minorHAnsi"/>
          <w:sz w:val="22"/>
        </w:rPr>
        <w:t>kredytów gotówkowych</w:t>
      </w:r>
      <w:r>
        <w:rPr>
          <w:rFonts w:cstheme="minorHAnsi"/>
          <w:sz w:val="22"/>
        </w:rPr>
        <w:t xml:space="preserve"> i na wartość</w:t>
      </w:r>
      <w:r w:rsidRPr="00015381">
        <w:rPr>
          <w:rFonts w:cstheme="minorHAnsi"/>
          <w:sz w:val="22"/>
        </w:rPr>
        <w:t xml:space="preserve"> 10,1% wyższą</w:t>
      </w:r>
      <w:r>
        <w:rPr>
          <w:rFonts w:cstheme="minorHAnsi"/>
          <w:sz w:val="22"/>
        </w:rPr>
        <w:t xml:space="preserve"> niż w analogicznym okresie 2022 r. </w:t>
      </w:r>
    </w:p>
    <w:p w14:paraId="01A48B16" w14:textId="0C921D2A" w:rsidR="000B185C" w:rsidRDefault="000B185C" w:rsidP="000B185C">
      <w:p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Z analizy BIK wynika, że prawie połowę (48,8%) wartości finansowania stanowią wysokokwotowe kredyty gotówkowe pow. 50 tys. zł. Dynamika wzrostu sprzedaży w tym przedziale kwotowym wyniosła 14,9%, podczas gdy w tym samym okresie 2022 r. tylko 5,4%. Odwrócił się zatem trend z niskiego na wysokie zapotrzebowanie na gotówkę. </w:t>
      </w:r>
    </w:p>
    <w:p w14:paraId="5DAF930B" w14:textId="03441CA9" w:rsidR="000B185C" w:rsidRDefault="000B185C" w:rsidP="000B185C">
      <w:pPr>
        <w:jc w:val="both"/>
        <w:rPr>
          <w:sz w:val="22"/>
        </w:rPr>
      </w:pPr>
      <w:r>
        <w:rPr>
          <w:sz w:val="22"/>
        </w:rPr>
        <w:t xml:space="preserve">Kredyty z pozostałych przedziałów kwotowych odnotowały </w:t>
      </w:r>
      <w:r w:rsidR="00900529">
        <w:rPr>
          <w:sz w:val="22"/>
        </w:rPr>
        <w:t>także dodatnią</w:t>
      </w:r>
      <w:r>
        <w:rPr>
          <w:sz w:val="22"/>
        </w:rPr>
        <w:t xml:space="preserve"> dynamikę</w:t>
      </w:r>
      <w:r w:rsidR="00900529">
        <w:rPr>
          <w:sz w:val="22"/>
        </w:rPr>
        <w:t xml:space="preserve"> sprzedaży r/r, która średnio w ujęciu wartościowym wyniosła 10,1%</w:t>
      </w:r>
    </w:p>
    <w:p w14:paraId="497CE32A" w14:textId="77777777" w:rsidR="00787755" w:rsidRDefault="00787755" w:rsidP="00270B98">
      <w:pPr>
        <w:jc w:val="both"/>
        <w:rPr>
          <w:rFonts w:cstheme="minorHAnsi"/>
          <w:sz w:val="22"/>
        </w:rPr>
      </w:pPr>
    </w:p>
    <w:p w14:paraId="028C0E30" w14:textId="27B202A6" w:rsidR="009148F8" w:rsidRDefault="000A6FCC" w:rsidP="00270B98">
      <w:pPr>
        <w:jc w:val="both"/>
        <w:rPr>
          <w:i/>
          <w:iCs/>
          <w:sz w:val="22"/>
        </w:rPr>
      </w:pPr>
      <w:r>
        <w:rPr>
          <w:rFonts w:cstheme="minorHAnsi"/>
          <w:sz w:val="22"/>
        </w:rPr>
        <w:t xml:space="preserve">- </w:t>
      </w:r>
      <w:r w:rsidRPr="00F90611">
        <w:rPr>
          <w:rFonts w:cstheme="minorHAnsi"/>
          <w:i/>
          <w:iCs/>
          <w:sz w:val="22"/>
        </w:rPr>
        <w:t xml:space="preserve">Wzrost </w:t>
      </w:r>
      <w:r w:rsidR="00F90611">
        <w:rPr>
          <w:rFonts w:cstheme="minorHAnsi"/>
          <w:i/>
          <w:iCs/>
          <w:sz w:val="22"/>
        </w:rPr>
        <w:t xml:space="preserve">po </w:t>
      </w:r>
      <w:r w:rsidR="008E5483">
        <w:rPr>
          <w:rFonts w:cstheme="minorHAnsi"/>
          <w:i/>
          <w:iCs/>
          <w:sz w:val="22"/>
        </w:rPr>
        <w:t xml:space="preserve">pierwszym </w:t>
      </w:r>
      <w:r w:rsidR="00F90611">
        <w:rPr>
          <w:rFonts w:cstheme="minorHAnsi"/>
          <w:i/>
          <w:iCs/>
          <w:sz w:val="22"/>
        </w:rPr>
        <w:t xml:space="preserve">półroczu br. </w:t>
      </w:r>
      <w:r w:rsidRPr="00F90611">
        <w:rPr>
          <w:rFonts w:cstheme="minorHAnsi"/>
          <w:i/>
          <w:iCs/>
          <w:sz w:val="22"/>
        </w:rPr>
        <w:t>na rynku kredytów gotówkowych wynosi</w:t>
      </w:r>
      <w:r w:rsidR="001C48BD">
        <w:rPr>
          <w:rFonts w:cstheme="minorHAnsi"/>
          <w:i/>
          <w:iCs/>
          <w:sz w:val="22"/>
        </w:rPr>
        <w:t>ł</w:t>
      </w:r>
      <w:r w:rsidRPr="00F90611">
        <w:rPr>
          <w:rFonts w:cstheme="minorHAnsi"/>
          <w:i/>
          <w:iCs/>
          <w:sz w:val="22"/>
        </w:rPr>
        <w:t xml:space="preserve"> w ujęciu nominalnym 10,1%, ale </w:t>
      </w:r>
      <w:r w:rsidR="001C48BD">
        <w:rPr>
          <w:rFonts w:cstheme="minorHAnsi"/>
          <w:i/>
          <w:iCs/>
          <w:sz w:val="22"/>
        </w:rPr>
        <w:t>był</w:t>
      </w:r>
      <w:r w:rsidRPr="00F90611">
        <w:rPr>
          <w:rFonts w:cstheme="minorHAnsi"/>
          <w:i/>
          <w:iCs/>
          <w:sz w:val="22"/>
        </w:rPr>
        <w:t xml:space="preserve"> on niższy od inflacji, dlatego jednak realna wartość dynamiki </w:t>
      </w:r>
      <w:r w:rsidR="00F90611" w:rsidRPr="00F90611">
        <w:rPr>
          <w:rFonts w:cstheme="minorHAnsi"/>
          <w:i/>
          <w:iCs/>
          <w:sz w:val="22"/>
        </w:rPr>
        <w:t xml:space="preserve">wartości sprzedaży </w:t>
      </w:r>
      <w:r w:rsidR="001C48BD">
        <w:rPr>
          <w:rFonts w:cstheme="minorHAnsi"/>
          <w:i/>
          <w:iCs/>
          <w:sz w:val="22"/>
        </w:rPr>
        <w:t>była</w:t>
      </w:r>
      <w:r w:rsidRPr="00F90611">
        <w:rPr>
          <w:rFonts w:cstheme="minorHAnsi"/>
          <w:i/>
          <w:iCs/>
          <w:sz w:val="22"/>
        </w:rPr>
        <w:t xml:space="preserve"> ujemna, na poziomie -3%. </w:t>
      </w:r>
      <w:r w:rsidR="00F90611">
        <w:rPr>
          <w:rFonts w:cstheme="minorHAnsi"/>
          <w:i/>
          <w:iCs/>
          <w:sz w:val="22"/>
        </w:rPr>
        <w:t>Warto jednak zwrócić uwagę, że m</w:t>
      </w:r>
      <w:r w:rsidR="00F90611" w:rsidRPr="00F90611">
        <w:rPr>
          <w:rFonts w:cstheme="minorHAnsi"/>
          <w:i/>
          <w:iCs/>
          <w:sz w:val="22"/>
        </w:rPr>
        <w:t xml:space="preserve">otorem napędowym tego rynku są </w:t>
      </w:r>
      <w:r w:rsidR="00F90611" w:rsidRPr="00F90611">
        <w:rPr>
          <w:i/>
          <w:iCs/>
          <w:sz w:val="22"/>
        </w:rPr>
        <w:t>kredyty pow. 50 tys. zł</w:t>
      </w:r>
      <w:r w:rsidR="00F90611">
        <w:rPr>
          <w:i/>
          <w:iCs/>
          <w:sz w:val="22"/>
        </w:rPr>
        <w:t>.</w:t>
      </w:r>
      <w:r w:rsidR="00F90611" w:rsidRPr="00F90611">
        <w:rPr>
          <w:i/>
          <w:iCs/>
          <w:sz w:val="22"/>
        </w:rPr>
        <w:t xml:space="preserve"> </w:t>
      </w:r>
    </w:p>
    <w:p w14:paraId="12779866" w14:textId="49661D85" w:rsidR="00E372CB" w:rsidRPr="005472E2" w:rsidRDefault="00F90611" w:rsidP="00E372CB">
      <w:pPr>
        <w:jc w:val="both"/>
        <w:rPr>
          <w:rFonts w:cstheme="minorHAnsi"/>
          <w:i/>
          <w:iCs/>
          <w:sz w:val="22"/>
        </w:rPr>
      </w:pPr>
      <w:r>
        <w:rPr>
          <w:i/>
          <w:sz w:val="22"/>
        </w:rPr>
        <w:t>Wiąże się to w dużej części z konsolidacją kredytów, która odpowiada</w:t>
      </w:r>
      <w:r w:rsidR="001C48BD">
        <w:rPr>
          <w:i/>
          <w:sz w:val="22"/>
        </w:rPr>
        <w:t>ła</w:t>
      </w:r>
      <w:r>
        <w:rPr>
          <w:i/>
          <w:sz w:val="22"/>
        </w:rPr>
        <w:t xml:space="preserve"> za połowę</w:t>
      </w:r>
      <w:r w:rsidRPr="008C3D52">
        <w:rPr>
          <w:i/>
          <w:sz w:val="22"/>
        </w:rPr>
        <w:t xml:space="preserve"> </w:t>
      </w:r>
      <w:r>
        <w:rPr>
          <w:i/>
          <w:sz w:val="22"/>
        </w:rPr>
        <w:t>(</w:t>
      </w:r>
      <w:r>
        <w:rPr>
          <w:rFonts w:cstheme="minorHAnsi"/>
          <w:sz w:val="22"/>
        </w:rPr>
        <w:t xml:space="preserve">48%) </w:t>
      </w:r>
      <w:r w:rsidRPr="008C3D52">
        <w:rPr>
          <w:i/>
          <w:sz w:val="22"/>
        </w:rPr>
        <w:t>akcji kredytowej</w:t>
      </w:r>
      <w:r>
        <w:rPr>
          <w:i/>
          <w:sz w:val="22"/>
        </w:rPr>
        <w:t xml:space="preserve"> w pierwszym półroczu 2023 r. Prawie 1/3 wartości udzielonych kredytów gotówkowych (27%) to kredyt</w:t>
      </w:r>
      <w:r w:rsidR="001C48BD">
        <w:rPr>
          <w:i/>
          <w:sz w:val="22"/>
        </w:rPr>
        <w:t>y</w:t>
      </w:r>
      <w:r>
        <w:rPr>
          <w:i/>
          <w:sz w:val="22"/>
        </w:rPr>
        <w:t xml:space="preserve"> </w:t>
      </w:r>
      <w:r>
        <w:rPr>
          <w:i/>
          <w:sz w:val="22"/>
        </w:rPr>
        <w:lastRenderedPageBreak/>
        <w:t xml:space="preserve">w ramach tzw. konsolidacji wewnętrznej, czyli w jednym banku. </w:t>
      </w:r>
      <w:r w:rsidR="00270B98">
        <w:rPr>
          <w:i/>
          <w:sz w:val="22"/>
        </w:rPr>
        <w:t xml:space="preserve">Widać także konieczność korzystania z kolejnych kredytów, bo w kolejności jest drugi dodatkowy kredyt, który w strukturze kredytów gotówkowych stanowi już 24% </w:t>
      </w:r>
      <w:bookmarkStart w:id="1" w:name="_Hlk138255315"/>
      <w:r w:rsidR="00270B98">
        <w:rPr>
          <w:i/>
          <w:sz w:val="22"/>
        </w:rPr>
        <w:t xml:space="preserve">wartości </w:t>
      </w:r>
      <w:r w:rsidR="005C39DD">
        <w:rPr>
          <w:iCs/>
          <w:sz w:val="22"/>
        </w:rPr>
        <w:t xml:space="preserve">– </w:t>
      </w:r>
      <w:r w:rsidR="005C39DD" w:rsidRPr="00E372CB">
        <w:rPr>
          <w:b/>
          <w:bCs/>
          <w:iCs/>
          <w:sz w:val="22"/>
        </w:rPr>
        <w:t xml:space="preserve">wyjaśnia </w:t>
      </w:r>
      <w:bookmarkEnd w:id="1"/>
      <w:r w:rsidR="00E372CB" w:rsidRPr="00E372CB">
        <w:rPr>
          <w:rFonts w:cstheme="minorHAnsi"/>
          <w:b/>
          <w:bCs/>
          <w:sz w:val="22"/>
        </w:rPr>
        <w:t>Sławomir Nosal, lider Zespołu Analiz BI</w:t>
      </w:r>
      <w:r w:rsidR="00E372CB" w:rsidRPr="00D0710F">
        <w:rPr>
          <w:rFonts w:cstheme="minorHAnsi"/>
          <w:sz w:val="22"/>
        </w:rPr>
        <w:t>.</w:t>
      </w:r>
    </w:p>
    <w:p w14:paraId="337B571B" w14:textId="5227D0AB" w:rsidR="00270B98" w:rsidRDefault="00270B98" w:rsidP="00270B98">
      <w:pPr>
        <w:jc w:val="both"/>
        <w:rPr>
          <w:i/>
          <w:sz w:val="22"/>
        </w:rPr>
      </w:pPr>
    </w:p>
    <w:p w14:paraId="5CC4AAF4" w14:textId="77777777" w:rsidR="00791BD7" w:rsidRDefault="00791BD7" w:rsidP="000B185C">
      <w:pPr>
        <w:jc w:val="both"/>
        <w:rPr>
          <w:rFonts w:cstheme="minorHAnsi"/>
          <w:sz w:val="22"/>
        </w:rPr>
      </w:pPr>
      <w:r w:rsidRPr="00791BD7">
        <w:rPr>
          <w:rFonts w:cstheme="minorHAnsi"/>
          <w:b/>
          <w:bCs/>
          <w:sz w:val="22"/>
        </w:rPr>
        <w:t xml:space="preserve">Renesans kart kredytowych </w:t>
      </w:r>
    </w:p>
    <w:p w14:paraId="32D67889" w14:textId="77777777" w:rsidR="00791BD7" w:rsidRDefault="00791BD7" w:rsidP="000B185C">
      <w:pPr>
        <w:jc w:val="both"/>
        <w:rPr>
          <w:rFonts w:cstheme="minorHAnsi"/>
          <w:sz w:val="22"/>
        </w:rPr>
      </w:pPr>
    </w:p>
    <w:p w14:paraId="5CF9524F" w14:textId="77777777" w:rsidR="00732832" w:rsidRDefault="000B185C" w:rsidP="000B185C">
      <w:p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B</w:t>
      </w:r>
      <w:r w:rsidRPr="00015381">
        <w:rPr>
          <w:rFonts w:cstheme="minorHAnsi"/>
          <w:sz w:val="22"/>
        </w:rPr>
        <w:t xml:space="preserve">anki i SKOK-i </w:t>
      </w:r>
      <w:r w:rsidR="007D31BE" w:rsidRPr="00015381">
        <w:rPr>
          <w:rFonts w:cstheme="minorHAnsi"/>
          <w:sz w:val="22"/>
        </w:rPr>
        <w:t xml:space="preserve">wydały </w:t>
      </w:r>
      <w:r w:rsidR="00791BD7">
        <w:rPr>
          <w:rFonts w:cstheme="minorHAnsi"/>
          <w:sz w:val="22"/>
        </w:rPr>
        <w:t xml:space="preserve">na koniec czerwca 2023 r. o </w:t>
      </w:r>
      <w:r w:rsidR="007D31BE" w:rsidRPr="00015381">
        <w:rPr>
          <w:rFonts w:cstheme="minorHAnsi"/>
          <w:sz w:val="22"/>
        </w:rPr>
        <w:t>31,8%</w:t>
      </w:r>
      <w:r w:rsidR="007D31BE">
        <w:rPr>
          <w:rFonts w:cstheme="minorHAnsi"/>
          <w:sz w:val="22"/>
        </w:rPr>
        <w:t xml:space="preserve"> </w:t>
      </w:r>
      <w:r w:rsidR="007D31BE" w:rsidRPr="00015381">
        <w:rPr>
          <w:rFonts w:cstheme="minorHAnsi"/>
          <w:sz w:val="22"/>
        </w:rPr>
        <w:t>więcej kart kredytowych</w:t>
      </w:r>
      <w:r w:rsidR="007D31BE">
        <w:rPr>
          <w:rFonts w:cstheme="minorHAnsi"/>
          <w:sz w:val="22"/>
        </w:rPr>
        <w:t>, a wartość przyznanych limitów wzrosła o</w:t>
      </w:r>
      <w:r w:rsidRPr="00015381">
        <w:rPr>
          <w:rFonts w:cstheme="minorHAnsi"/>
          <w:sz w:val="22"/>
        </w:rPr>
        <w:t xml:space="preserve"> 35,7%</w:t>
      </w:r>
      <w:r w:rsidR="00791BD7">
        <w:rPr>
          <w:rFonts w:cstheme="minorHAnsi"/>
          <w:sz w:val="22"/>
        </w:rPr>
        <w:t xml:space="preserve"> w porównaniu do pierwszego półrocza 2022 r. Wzrostu dynamiki w tym segmencie można upatrywać w stosunkowo niskiej bazie z ubiegłego roku, niemniej to wyraźna oznaka zapotrzebowania </w:t>
      </w:r>
      <w:r w:rsidR="00791BD7" w:rsidRPr="00791BD7">
        <w:rPr>
          <w:rFonts w:cstheme="minorHAnsi"/>
          <w:sz w:val="22"/>
        </w:rPr>
        <w:t>gospodarstw domowych</w:t>
      </w:r>
      <w:r w:rsidR="00791BD7">
        <w:rPr>
          <w:rFonts w:cstheme="minorHAnsi"/>
          <w:sz w:val="22"/>
        </w:rPr>
        <w:t xml:space="preserve"> na </w:t>
      </w:r>
      <w:r w:rsidR="00791BD7" w:rsidRPr="00791BD7">
        <w:rPr>
          <w:rFonts w:cstheme="minorHAnsi"/>
          <w:sz w:val="22"/>
        </w:rPr>
        <w:t>dodatkowe źródł</w:t>
      </w:r>
      <w:r w:rsidR="00791BD7">
        <w:rPr>
          <w:rFonts w:cstheme="minorHAnsi"/>
          <w:sz w:val="22"/>
        </w:rPr>
        <w:t>o</w:t>
      </w:r>
      <w:r w:rsidR="00791BD7" w:rsidRPr="00791BD7">
        <w:rPr>
          <w:rFonts w:cstheme="minorHAnsi"/>
          <w:sz w:val="22"/>
        </w:rPr>
        <w:t xml:space="preserve"> finansowania</w:t>
      </w:r>
      <w:r w:rsidR="00732832">
        <w:rPr>
          <w:rFonts w:cstheme="minorHAnsi"/>
          <w:sz w:val="22"/>
        </w:rPr>
        <w:t>.</w:t>
      </w:r>
      <w:r w:rsidR="00791BD7">
        <w:rPr>
          <w:rFonts w:cstheme="minorHAnsi"/>
          <w:sz w:val="22"/>
        </w:rPr>
        <w:t xml:space="preserve"> </w:t>
      </w:r>
    </w:p>
    <w:p w14:paraId="47AB3988" w14:textId="77777777" w:rsidR="001C48BD" w:rsidRDefault="001C48BD" w:rsidP="000B185C">
      <w:pPr>
        <w:jc w:val="both"/>
        <w:rPr>
          <w:rFonts w:cstheme="minorHAnsi"/>
          <w:sz w:val="22"/>
        </w:rPr>
      </w:pPr>
    </w:p>
    <w:p w14:paraId="1D853242" w14:textId="3DFBF725" w:rsidR="007D31BE" w:rsidRDefault="00732832" w:rsidP="000B185C">
      <w:p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Hipotezę tą potwierdzili sami użytkownicy</w:t>
      </w:r>
      <w:r w:rsidR="001C48BD">
        <w:rPr>
          <w:rFonts w:cstheme="minorHAnsi"/>
          <w:sz w:val="22"/>
        </w:rPr>
        <w:t xml:space="preserve">, </w:t>
      </w:r>
      <w:r w:rsidR="00AD2CE8">
        <w:rPr>
          <w:rFonts w:cstheme="minorHAnsi"/>
          <w:sz w:val="22"/>
        </w:rPr>
        <w:t>uczestnicy</w:t>
      </w:r>
      <w:r w:rsidR="001C48BD">
        <w:rPr>
          <w:rFonts w:cstheme="minorHAnsi"/>
          <w:sz w:val="22"/>
        </w:rPr>
        <w:t xml:space="preserve"> badania </w:t>
      </w:r>
      <w:r w:rsidR="00A96EB5">
        <w:rPr>
          <w:rFonts w:cstheme="minorHAnsi"/>
          <w:sz w:val="22"/>
        </w:rPr>
        <w:t xml:space="preserve">opinii na zlecenie </w:t>
      </w:r>
      <w:r w:rsidR="001C48BD">
        <w:rPr>
          <w:rFonts w:cstheme="minorHAnsi"/>
          <w:sz w:val="22"/>
        </w:rPr>
        <w:t>BIK. D</w:t>
      </w:r>
      <w:r>
        <w:rPr>
          <w:rFonts w:cstheme="minorHAnsi"/>
          <w:sz w:val="22"/>
        </w:rPr>
        <w:t xml:space="preserve">la ponad połowy </w:t>
      </w:r>
      <w:r w:rsidR="00E5343C">
        <w:rPr>
          <w:rFonts w:cstheme="minorHAnsi"/>
          <w:sz w:val="22"/>
        </w:rPr>
        <w:t xml:space="preserve">kredytobiorców </w:t>
      </w:r>
      <w:r>
        <w:rPr>
          <w:rFonts w:cstheme="minorHAnsi"/>
          <w:sz w:val="22"/>
        </w:rPr>
        <w:t xml:space="preserve">(52%) głównym powodem </w:t>
      </w:r>
      <w:r w:rsidR="00E5343C">
        <w:rPr>
          <w:rFonts w:cstheme="minorHAnsi"/>
          <w:sz w:val="22"/>
        </w:rPr>
        <w:t xml:space="preserve">wnioskowania o kartę kredytową jest </w:t>
      </w:r>
      <w:r w:rsidR="00E5343C" w:rsidRPr="00E5343C">
        <w:rPr>
          <w:rFonts w:cstheme="minorHAnsi"/>
          <w:sz w:val="22"/>
        </w:rPr>
        <w:t>chęć posiadania rezerwy na ewentualne bieżące i przyszłe potrzeby.</w:t>
      </w:r>
      <w:r w:rsidR="00E5343C">
        <w:rPr>
          <w:rFonts w:cstheme="minorHAnsi"/>
          <w:sz w:val="22"/>
        </w:rPr>
        <w:t xml:space="preserve"> Warto zauważyć, że jest to oferta kredytowa </w:t>
      </w:r>
      <w:r w:rsidR="00E5343C" w:rsidRPr="00E5343C">
        <w:rPr>
          <w:rFonts w:cstheme="minorHAnsi"/>
          <w:sz w:val="22"/>
        </w:rPr>
        <w:t>z odroczon</w:t>
      </w:r>
      <w:r w:rsidR="00AE3601">
        <w:rPr>
          <w:rFonts w:cstheme="minorHAnsi"/>
          <w:sz w:val="22"/>
        </w:rPr>
        <w:t>ym</w:t>
      </w:r>
      <w:r w:rsidR="00E5343C" w:rsidRPr="00E5343C">
        <w:rPr>
          <w:rFonts w:cstheme="minorHAnsi"/>
          <w:sz w:val="22"/>
        </w:rPr>
        <w:t xml:space="preserve"> ponad 50-</w:t>
      </w:r>
      <w:r w:rsidR="00CB5598" w:rsidRPr="00E5343C">
        <w:rPr>
          <w:rFonts w:cstheme="minorHAnsi"/>
          <w:sz w:val="22"/>
        </w:rPr>
        <w:t>dniow</w:t>
      </w:r>
      <w:r w:rsidR="00CB5598">
        <w:rPr>
          <w:rFonts w:cstheme="minorHAnsi"/>
          <w:sz w:val="22"/>
        </w:rPr>
        <w:t>ym</w:t>
      </w:r>
      <w:r w:rsidR="00CB5598" w:rsidRPr="00E5343C">
        <w:rPr>
          <w:rFonts w:cstheme="minorHAnsi"/>
          <w:sz w:val="22"/>
        </w:rPr>
        <w:t xml:space="preserve"> </w:t>
      </w:r>
      <w:r w:rsidR="00CB5598">
        <w:rPr>
          <w:rFonts w:cstheme="minorHAnsi"/>
          <w:sz w:val="22"/>
        </w:rPr>
        <w:t xml:space="preserve">okresem </w:t>
      </w:r>
      <w:proofErr w:type="spellStart"/>
      <w:r w:rsidR="00CB5598">
        <w:rPr>
          <w:rFonts w:cstheme="minorHAnsi"/>
          <w:sz w:val="22"/>
        </w:rPr>
        <w:t>bezodsetkowym</w:t>
      </w:r>
      <w:proofErr w:type="spellEnd"/>
      <w:r w:rsidR="00CB5598">
        <w:rPr>
          <w:rFonts w:cstheme="minorHAnsi"/>
          <w:sz w:val="22"/>
        </w:rPr>
        <w:t>, w przypadku spłaty całości zadłużenia</w:t>
      </w:r>
      <w:r w:rsidR="00E5343C">
        <w:rPr>
          <w:rFonts w:cstheme="minorHAnsi"/>
          <w:sz w:val="22"/>
        </w:rPr>
        <w:t>.</w:t>
      </w:r>
    </w:p>
    <w:p w14:paraId="686B5BEA" w14:textId="77777777" w:rsidR="00E5343C" w:rsidRDefault="00E5343C" w:rsidP="000B185C">
      <w:pPr>
        <w:jc w:val="both"/>
        <w:rPr>
          <w:rFonts w:cstheme="minorHAnsi"/>
          <w:sz w:val="22"/>
        </w:rPr>
      </w:pPr>
    </w:p>
    <w:p w14:paraId="283FF2EC" w14:textId="1E53AD0F" w:rsidR="00791BD7" w:rsidRPr="00E5343C" w:rsidRDefault="00E5343C" w:rsidP="00791BD7">
      <w:pPr>
        <w:jc w:val="both"/>
        <w:rPr>
          <w:rFonts w:cstheme="minorHAnsi"/>
          <w:b/>
          <w:bCs/>
          <w:sz w:val="22"/>
        </w:rPr>
      </w:pPr>
      <w:r w:rsidRPr="00E5343C">
        <w:rPr>
          <w:rFonts w:cstheme="minorHAnsi"/>
          <w:b/>
          <w:bCs/>
          <w:sz w:val="22"/>
        </w:rPr>
        <w:t>Kredyty ratalne - kontynuacja hossy</w:t>
      </w:r>
    </w:p>
    <w:p w14:paraId="02EA56F8" w14:textId="77777777" w:rsidR="009148F8" w:rsidRDefault="009148F8" w:rsidP="00791BD7">
      <w:pPr>
        <w:jc w:val="both"/>
        <w:rPr>
          <w:rFonts w:cstheme="minorHAnsi"/>
          <w:sz w:val="22"/>
        </w:rPr>
      </w:pPr>
    </w:p>
    <w:p w14:paraId="4A3AA8FC" w14:textId="698A8A59" w:rsidR="00791BD7" w:rsidRPr="00015381" w:rsidRDefault="00791BD7" w:rsidP="00791BD7">
      <w:p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W pierwszym półroczu 2023 r. b</w:t>
      </w:r>
      <w:r w:rsidRPr="00015381">
        <w:rPr>
          <w:rFonts w:cstheme="minorHAnsi"/>
          <w:sz w:val="22"/>
        </w:rPr>
        <w:t xml:space="preserve">anki i SKOK-i </w:t>
      </w:r>
      <w:r>
        <w:rPr>
          <w:rFonts w:cstheme="minorHAnsi"/>
          <w:sz w:val="22"/>
        </w:rPr>
        <w:t xml:space="preserve">udzieliły </w:t>
      </w:r>
      <w:r w:rsidRPr="00015381">
        <w:rPr>
          <w:rFonts w:cstheme="minorHAnsi"/>
          <w:sz w:val="22"/>
        </w:rPr>
        <w:t>o 57,2% więcej kredytów ratalnych</w:t>
      </w:r>
      <w:r>
        <w:rPr>
          <w:rFonts w:cstheme="minorHAnsi"/>
          <w:sz w:val="22"/>
        </w:rPr>
        <w:t xml:space="preserve"> na wartość wyższą o </w:t>
      </w:r>
      <w:r w:rsidR="000B185C" w:rsidRPr="00015381">
        <w:rPr>
          <w:rFonts w:cstheme="minorHAnsi"/>
          <w:sz w:val="22"/>
        </w:rPr>
        <w:t xml:space="preserve">16,9% </w:t>
      </w:r>
      <w:r>
        <w:rPr>
          <w:rFonts w:cstheme="minorHAnsi"/>
          <w:sz w:val="22"/>
        </w:rPr>
        <w:t xml:space="preserve">niż w analogicznym okresie 2022 r. </w:t>
      </w:r>
    </w:p>
    <w:p w14:paraId="6721E68C" w14:textId="070B238D" w:rsidR="00E5343C" w:rsidRDefault="00E5343C" w:rsidP="00E44B44">
      <w:p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Popularność kredytów ratalnych </w:t>
      </w:r>
      <w:r w:rsidR="00E44B44" w:rsidRPr="006D137D">
        <w:rPr>
          <w:rFonts w:cstheme="minorHAnsi"/>
          <w:sz w:val="22"/>
        </w:rPr>
        <w:t>rozpoc</w:t>
      </w:r>
      <w:r w:rsidR="00791BD7">
        <w:rPr>
          <w:rFonts w:cstheme="minorHAnsi"/>
          <w:sz w:val="22"/>
        </w:rPr>
        <w:t>zę</w:t>
      </w:r>
      <w:r>
        <w:rPr>
          <w:rFonts w:cstheme="minorHAnsi"/>
          <w:sz w:val="22"/>
        </w:rPr>
        <w:t>ta</w:t>
      </w:r>
      <w:r w:rsidR="00791BD7">
        <w:rPr>
          <w:rFonts w:cstheme="minorHAnsi"/>
          <w:sz w:val="22"/>
        </w:rPr>
        <w:t xml:space="preserve"> </w:t>
      </w:r>
      <w:r w:rsidR="00E44B44" w:rsidRPr="006D137D">
        <w:rPr>
          <w:rFonts w:cstheme="minorHAnsi"/>
          <w:sz w:val="22"/>
        </w:rPr>
        <w:t xml:space="preserve">jeszcze w </w:t>
      </w:r>
      <w:r w:rsidR="00791BD7">
        <w:rPr>
          <w:rFonts w:cstheme="minorHAnsi"/>
          <w:sz w:val="22"/>
        </w:rPr>
        <w:t xml:space="preserve">okresie </w:t>
      </w:r>
      <w:r w:rsidR="00E44B44" w:rsidRPr="006D137D">
        <w:rPr>
          <w:rFonts w:cstheme="minorHAnsi"/>
          <w:sz w:val="22"/>
        </w:rPr>
        <w:t>pandemii</w:t>
      </w:r>
      <w:r>
        <w:rPr>
          <w:rFonts w:cstheme="minorHAnsi"/>
          <w:sz w:val="22"/>
        </w:rPr>
        <w:t>, nadal stabilnie rośnie.</w:t>
      </w:r>
      <w:r w:rsidR="00E44B44" w:rsidRPr="006D137D">
        <w:rPr>
          <w:rFonts w:cstheme="minorHAnsi"/>
          <w:sz w:val="22"/>
        </w:rPr>
        <w:t xml:space="preserve"> </w:t>
      </w:r>
    </w:p>
    <w:p w14:paraId="12FF71F7" w14:textId="77777777" w:rsidR="00747C30" w:rsidRDefault="00747C30" w:rsidP="00E44B44">
      <w:pPr>
        <w:jc w:val="both"/>
        <w:rPr>
          <w:rFonts w:cstheme="minorHAnsi"/>
          <w:sz w:val="22"/>
        </w:rPr>
      </w:pPr>
    </w:p>
    <w:p w14:paraId="16C299F3" w14:textId="14417213" w:rsidR="00E44B44" w:rsidRPr="005C39DD" w:rsidRDefault="00E5343C" w:rsidP="00E44B44">
      <w:p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- </w:t>
      </w:r>
      <w:r w:rsidR="00E44B44" w:rsidRPr="00747C30">
        <w:rPr>
          <w:rFonts w:cstheme="minorHAnsi"/>
          <w:i/>
          <w:iCs/>
          <w:sz w:val="22"/>
        </w:rPr>
        <w:t>Za tak wysoki wzrost liczb</w:t>
      </w:r>
      <w:r w:rsidR="00747C30">
        <w:rPr>
          <w:rFonts w:cstheme="minorHAnsi"/>
          <w:i/>
          <w:iCs/>
          <w:sz w:val="22"/>
        </w:rPr>
        <w:t xml:space="preserve">y udzielonych kredytów ratalnych </w:t>
      </w:r>
      <w:r w:rsidR="00E44B44" w:rsidRPr="00747C30">
        <w:rPr>
          <w:rFonts w:cstheme="minorHAnsi"/>
          <w:i/>
          <w:iCs/>
          <w:sz w:val="22"/>
        </w:rPr>
        <w:t xml:space="preserve">odpowiadają kredyty </w:t>
      </w:r>
      <w:proofErr w:type="spellStart"/>
      <w:r w:rsidR="00E44B44" w:rsidRPr="00747C30">
        <w:rPr>
          <w:rFonts w:cstheme="minorHAnsi"/>
          <w:i/>
          <w:iCs/>
          <w:sz w:val="22"/>
        </w:rPr>
        <w:t>niskokw</w:t>
      </w:r>
      <w:r w:rsidRPr="00747C30">
        <w:rPr>
          <w:rFonts w:cstheme="minorHAnsi"/>
          <w:i/>
          <w:iCs/>
          <w:sz w:val="22"/>
        </w:rPr>
        <w:t>otowe</w:t>
      </w:r>
      <w:proofErr w:type="spellEnd"/>
      <w:r w:rsidR="00E44B44" w:rsidRPr="00747C30">
        <w:rPr>
          <w:rFonts w:cstheme="minorHAnsi"/>
          <w:i/>
          <w:iCs/>
          <w:sz w:val="22"/>
        </w:rPr>
        <w:t xml:space="preserve"> do 1 tys</w:t>
      </w:r>
      <w:r w:rsidRPr="00747C30">
        <w:rPr>
          <w:rFonts w:cstheme="minorHAnsi"/>
          <w:i/>
          <w:iCs/>
          <w:sz w:val="22"/>
        </w:rPr>
        <w:t>.</w:t>
      </w:r>
      <w:r w:rsidR="00E44B44" w:rsidRPr="00747C30">
        <w:rPr>
          <w:rFonts w:cstheme="minorHAnsi"/>
          <w:i/>
          <w:iCs/>
          <w:sz w:val="22"/>
        </w:rPr>
        <w:t xml:space="preserve"> zł, których banki udzieliły o 148,5% więcej niż przed rokiem. </w:t>
      </w:r>
      <w:r w:rsidRPr="00747C30">
        <w:rPr>
          <w:rFonts w:cstheme="minorHAnsi"/>
          <w:i/>
          <w:iCs/>
          <w:sz w:val="22"/>
        </w:rPr>
        <w:t xml:space="preserve">Z analizy BIK wynika, że są to </w:t>
      </w:r>
      <w:r w:rsidR="0097096E">
        <w:rPr>
          <w:rFonts w:cstheme="minorHAnsi"/>
          <w:i/>
          <w:iCs/>
          <w:sz w:val="22"/>
        </w:rPr>
        <w:t xml:space="preserve">w dużej mierze </w:t>
      </w:r>
      <w:r w:rsidRPr="00747C30">
        <w:rPr>
          <w:rFonts w:cstheme="minorHAnsi"/>
          <w:i/>
          <w:iCs/>
          <w:sz w:val="22"/>
        </w:rPr>
        <w:t xml:space="preserve">zobowiązania </w:t>
      </w:r>
      <w:r w:rsidR="00E44B44" w:rsidRPr="00747C30">
        <w:rPr>
          <w:rFonts w:cstheme="minorHAnsi"/>
          <w:i/>
          <w:iCs/>
          <w:sz w:val="22"/>
        </w:rPr>
        <w:t xml:space="preserve">powstałe w wyniku przekształcenia </w:t>
      </w:r>
      <w:r w:rsidRPr="00747C30">
        <w:rPr>
          <w:rFonts w:cstheme="minorHAnsi"/>
          <w:i/>
          <w:iCs/>
          <w:sz w:val="22"/>
        </w:rPr>
        <w:t>płatności odroczonych za zakupy</w:t>
      </w:r>
      <w:r w:rsidR="00CB5598">
        <w:rPr>
          <w:rFonts w:cstheme="minorHAnsi"/>
          <w:i/>
          <w:iCs/>
          <w:sz w:val="22"/>
        </w:rPr>
        <w:t xml:space="preserve"> w e-commerce</w:t>
      </w:r>
      <w:r w:rsidR="005C39DD">
        <w:rPr>
          <w:rFonts w:cstheme="minorHAnsi"/>
          <w:i/>
          <w:iCs/>
          <w:sz w:val="22"/>
        </w:rPr>
        <w:t xml:space="preserve">, </w:t>
      </w:r>
      <w:r w:rsidR="00E44B44" w:rsidRPr="00747C30">
        <w:rPr>
          <w:rFonts w:cstheme="minorHAnsi"/>
          <w:i/>
          <w:iCs/>
          <w:sz w:val="22"/>
        </w:rPr>
        <w:t>niespłacon</w:t>
      </w:r>
      <w:r w:rsidRPr="00747C30">
        <w:rPr>
          <w:rFonts w:cstheme="minorHAnsi"/>
          <w:i/>
          <w:iCs/>
          <w:sz w:val="22"/>
        </w:rPr>
        <w:t xml:space="preserve">ych w </w:t>
      </w:r>
      <w:r w:rsidR="00E44B44" w:rsidRPr="00747C30">
        <w:rPr>
          <w:rFonts w:cstheme="minorHAnsi"/>
          <w:i/>
          <w:iCs/>
          <w:sz w:val="22"/>
        </w:rPr>
        <w:t xml:space="preserve">okresie </w:t>
      </w:r>
      <w:proofErr w:type="spellStart"/>
      <w:r w:rsidR="00E44B44" w:rsidRPr="00747C30">
        <w:rPr>
          <w:rFonts w:cstheme="minorHAnsi"/>
          <w:i/>
          <w:iCs/>
          <w:sz w:val="22"/>
        </w:rPr>
        <w:t>bezodsetkowym</w:t>
      </w:r>
      <w:proofErr w:type="spellEnd"/>
      <w:r w:rsidR="00747C30">
        <w:rPr>
          <w:rFonts w:cstheme="minorHAnsi"/>
          <w:i/>
          <w:iCs/>
          <w:sz w:val="22"/>
        </w:rPr>
        <w:t xml:space="preserve">. </w:t>
      </w:r>
      <w:r w:rsidR="008C6F81">
        <w:rPr>
          <w:rFonts w:cstheme="minorHAnsi"/>
          <w:i/>
          <w:iCs/>
          <w:sz w:val="22"/>
        </w:rPr>
        <w:t xml:space="preserve">Rosnące zainteresowanie konsumentów zakupami z odroczonym terminem płatności, z której korzysta </w:t>
      </w:r>
      <w:r w:rsidR="00C8339D">
        <w:rPr>
          <w:rFonts w:cstheme="minorHAnsi"/>
          <w:i/>
          <w:iCs/>
          <w:sz w:val="22"/>
        </w:rPr>
        <w:t xml:space="preserve">już </w:t>
      </w:r>
      <w:r w:rsidR="008C6F81">
        <w:rPr>
          <w:rFonts w:cstheme="minorHAnsi"/>
          <w:i/>
          <w:iCs/>
          <w:sz w:val="22"/>
        </w:rPr>
        <w:t xml:space="preserve">co piąty Polak, staje się </w:t>
      </w:r>
      <w:r w:rsidR="00CB5C08">
        <w:rPr>
          <w:rFonts w:cstheme="minorHAnsi"/>
          <w:i/>
          <w:iCs/>
          <w:sz w:val="22"/>
        </w:rPr>
        <w:t>niejako</w:t>
      </w:r>
      <w:r w:rsidR="008C6F81">
        <w:rPr>
          <w:rFonts w:cstheme="minorHAnsi"/>
          <w:i/>
          <w:iCs/>
          <w:sz w:val="22"/>
        </w:rPr>
        <w:t xml:space="preserve"> naturalnym źródłem wzrostu bankowej bazy klientów w segmencie kredytów ratalnych. </w:t>
      </w:r>
      <w:r w:rsidR="00E44B44" w:rsidRPr="00747C30">
        <w:rPr>
          <w:rFonts w:cstheme="minorHAnsi"/>
          <w:i/>
          <w:iCs/>
          <w:sz w:val="22"/>
        </w:rPr>
        <w:t>Drugi</w:t>
      </w:r>
      <w:r w:rsidRPr="00747C30">
        <w:rPr>
          <w:rFonts w:cstheme="minorHAnsi"/>
          <w:i/>
          <w:iCs/>
          <w:sz w:val="22"/>
        </w:rPr>
        <w:t xml:space="preserve">m </w:t>
      </w:r>
      <w:r w:rsidR="00E44B44" w:rsidRPr="00747C30">
        <w:rPr>
          <w:rFonts w:cstheme="minorHAnsi"/>
          <w:i/>
          <w:iCs/>
          <w:sz w:val="22"/>
        </w:rPr>
        <w:t>pow</w:t>
      </w:r>
      <w:r w:rsidRPr="00747C30">
        <w:rPr>
          <w:rFonts w:cstheme="minorHAnsi"/>
          <w:i/>
          <w:iCs/>
          <w:sz w:val="22"/>
        </w:rPr>
        <w:t xml:space="preserve">odem </w:t>
      </w:r>
      <w:r w:rsidR="00E44B44" w:rsidRPr="00747C30">
        <w:rPr>
          <w:rFonts w:cstheme="minorHAnsi"/>
          <w:i/>
          <w:iCs/>
          <w:sz w:val="22"/>
        </w:rPr>
        <w:t xml:space="preserve">hossy </w:t>
      </w:r>
      <w:r w:rsidRPr="00747C30">
        <w:rPr>
          <w:rFonts w:cstheme="minorHAnsi"/>
          <w:i/>
          <w:iCs/>
          <w:sz w:val="22"/>
        </w:rPr>
        <w:t xml:space="preserve">w kredytach ratalnych </w:t>
      </w:r>
      <w:r w:rsidR="00E44B44" w:rsidRPr="00747C30">
        <w:rPr>
          <w:rFonts w:cstheme="minorHAnsi"/>
          <w:i/>
          <w:iCs/>
          <w:sz w:val="22"/>
        </w:rPr>
        <w:t xml:space="preserve">jest </w:t>
      </w:r>
      <w:r w:rsidR="00747C30">
        <w:rPr>
          <w:rFonts w:cstheme="minorHAnsi"/>
          <w:i/>
          <w:iCs/>
          <w:sz w:val="22"/>
        </w:rPr>
        <w:t xml:space="preserve">nadal obowiązująca w wielu sklepach </w:t>
      </w:r>
      <w:r w:rsidR="00E44B44" w:rsidRPr="00747C30">
        <w:rPr>
          <w:rFonts w:cstheme="minorHAnsi"/>
          <w:i/>
          <w:iCs/>
          <w:sz w:val="22"/>
        </w:rPr>
        <w:t xml:space="preserve">oferta </w:t>
      </w:r>
      <w:r w:rsidR="00E11C40" w:rsidRPr="00747C30">
        <w:rPr>
          <w:rFonts w:cstheme="minorHAnsi"/>
          <w:i/>
          <w:iCs/>
          <w:sz w:val="22"/>
        </w:rPr>
        <w:t>z</w:t>
      </w:r>
      <w:r w:rsidRPr="00747C30">
        <w:rPr>
          <w:rFonts w:cstheme="minorHAnsi"/>
          <w:i/>
          <w:iCs/>
          <w:sz w:val="22"/>
        </w:rPr>
        <w:t xml:space="preserve"> tzw. zero</w:t>
      </w:r>
      <w:r w:rsidR="00E11C40" w:rsidRPr="00747C30">
        <w:rPr>
          <w:rFonts w:cstheme="minorHAnsi"/>
          <w:i/>
          <w:iCs/>
          <w:sz w:val="22"/>
        </w:rPr>
        <w:t>wym</w:t>
      </w:r>
      <w:r w:rsidRPr="00747C30">
        <w:rPr>
          <w:rFonts w:cstheme="minorHAnsi"/>
          <w:i/>
          <w:iCs/>
          <w:sz w:val="22"/>
        </w:rPr>
        <w:t xml:space="preserve"> </w:t>
      </w:r>
      <w:r w:rsidR="00E11C40" w:rsidRPr="00747C30">
        <w:rPr>
          <w:rFonts w:cstheme="minorHAnsi"/>
          <w:i/>
          <w:iCs/>
          <w:sz w:val="22"/>
        </w:rPr>
        <w:t>o</w:t>
      </w:r>
      <w:r w:rsidRPr="00747C30">
        <w:rPr>
          <w:rFonts w:cstheme="minorHAnsi"/>
          <w:i/>
          <w:iCs/>
          <w:sz w:val="22"/>
        </w:rPr>
        <w:t>procent</w:t>
      </w:r>
      <w:r w:rsidR="00E11C40" w:rsidRPr="00747C30">
        <w:rPr>
          <w:rFonts w:cstheme="minorHAnsi"/>
          <w:i/>
          <w:iCs/>
          <w:sz w:val="22"/>
        </w:rPr>
        <w:t>owaniem</w:t>
      </w:r>
      <w:r w:rsidR="00747C30">
        <w:rPr>
          <w:rFonts w:cstheme="minorHAnsi"/>
          <w:i/>
          <w:iCs/>
          <w:sz w:val="22"/>
        </w:rPr>
        <w:t xml:space="preserve">, będąca atrakcyjnym sposobem finansowania </w:t>
      </w:r>
      <w:r w:rsidR="008C6F81">
        <w:rPr>
          <w:rFonts w:cstheme="minorHAnsi"/>
          <w:i/>
          <w:iCs/>
          <w:sz w:val="22"/>
        </w:rPr>
        <w:t xml:space="preserve">dóbr </w:t>
      </w:r>
      <w:r w:rsidR="00747C30">
        <w:rPr>
          <w:rFonts w:cstheme="minorHAnsi"/>
          <w:i/>
          <w:iCs/>
          <w:sz w:val="22"/>
        </w:rPr>
        <w:t>w okresie wysokiej inflacji</w:t>
      </w:r>
      <w:r w:rsidR="005C39DD">
        <w:rPr>
          <w:rFonts w:cstheme="minorHAnsi"/>
          <w:i/>
          <w:iCs/>
          <w:sz w:val="22"/>
        </w:rPr>
        <w:t xml:space="preserve"> </w:t>
      </w:r>
      <w:r w:rsidR="005C39DD" w:rsidRPr="005C39DD">
        <w:rPr>
          <w:rFonts w:cstheme="minorHAnsi"/>
          <w:sz w:val="22"/>
        </w:rPr>
        <w:t>– wyjaśnia prof. Rogowski.</w:t>
      </w:r>
    </w:p>
    <w:p w14:paraId="303885C5" w14:textId="77777777" w:rsidR="00746703" w:rsidRPr="005C39DD" w:rsidRDefault="00746703" w:rsidP="00746703">
      <w:pPr>
        <w:jc w:val="both"/>
        <w:rPr>
          <w:rFonts w:cstheme="minorHAnsi"/>
          <w:sz w:val="22"/>
        </w:rPr>
      </w:pPr>
    </w:p>
    <w:p w14:paraId="7D897490" w14:textId="77777777" w:rsidR="00787755" w:rsidRDefault="00787755" w:rsidP="00E44B44">
      <w:pPr>
        <w:jc w:val="both"/>
        <w:rPr>
          <w:rFonts w:cstheme="minorHAnsi"/>
          <w:b/>
          <w:bCs/>
          <w:sz w:val="22"/>
        </w:rPr>
      </w:pPr>
    </w:p>
    <w:p w14:paraId="741A4606" w14:textId="72335558" w:rsidR="004C0AD7" w:rsidRDefault="004C0AD7" w:rsidP="00E44B44">
      <w:pPr>
        <w:jc w:val="both"/>
        <w:rPr>
          <w:rFonts w:cstheme="minorHAnsi"/>
          <w:b/>
          <w:bCs/>
          <w:sz w:val="22"/>
        </w:rPr>
      </w:pPr>
      <w:r w:rsidRPr="004C0AD7">
        <w:rPr>
          <w:rFonts w:cstheme="minorHAnsi"/>
          <w:b/>
          <w:bCs/>
          <w:sz w:val="22"/>
        </w:rPr>
        <w:t xml:space="preserve">Krajobraz </w:t>
      </w:r>
      <w:r w:rsidR="005C39DD">
        <w:rPr>
          <w:rFonts w:cstheme="minorHAnsi"/>
          <w:b/>
          <w:bCs/>
          <w:sz w:val="22"/>
        </w:rPr>
        <w:t xml:space="preserve">szybujących </w:t>
      </w:r>
      <w:r w:rsidR="001C1497">
        <w:rPr>
          <w:rFonts w:cstheme="minorHAnsi"/>
          <w:b/>
          <w:bCs/>
          <w:sz w:val="22"/>
        </w:rPr>
        <w:t xml:space="preserve">w górę </w:t>
      </w:r>
      <w:r w:rsidRPr="004C0AD7">
        <w:rPr>
          <w:rFonts w:cstheme="minorHAnsi"/>
          <w:b/>
          <w:bCs/>
          <w:sz w:val="22"/>
        </w:rPr>
        <w:t xml:space="preserve">pożyczek do 1 tys. zł </w:t>
      </w:r>
    </w:p>
    <w:p w14:paraId="26B1FA8C" w14:textId="50638E58" w:rsidR="00742BA0" w:rsidRDefault="009148F8" w:rsidP="00742BA0">
      <w:pPr>
        <w:spacing w:after="160" w:line="259" w:lineRule="auto"/>
        <w:jc w:val="both"/>
        <w:rPr>
          <w:rFonts w:cstheme="minorHAnsi"/>
          <w:sz w:val="22"/>
        </w:rPr>
      </w:pPr>
      <w:r>
        <w:rPr>
          <w:iCs/>
          <w:sz w:val="22"/>
        </w:rPr>
        <w:br/>
      </w:r>
      <w:r w:rsidR="004C0AD7" w:rsidRPr="00C6222B">
        <w:rPr>
          <w:iCs/>
          <w:sz w:val="22"/>
        </w:rPr>
        <w:t>W pierwszym półroczu 2023 r. firmy pożyczkowe udzieliły o 32,0%</w:t>
      </w:r>
      <w:r w:rsidR="00A77836">
        <w:rPr>
          <w:iCs/>
          <w:sz w:val="22"/>
        </w:rPr>
        <w:t xml:space="preserve"> więcej pożyczek</w:t>
      </w:r>
      <w:r w:rsidR="004C0AD7" w:rsidRPr="00C6222B">
        <w:rPr>
          <w:iCs/>
          <w:sz w:val="22"/>
        </w:rPr>
        <w:t xml:space="preserve"> </w:t>
      </w:r>
      <w:r w:rsidR="00A77836" w:rsidRPr="00C6222B">
        <w:rPr>
          <w:iCs/>
          <w:sz w:val="22"/>
        </w:rPr>
        <w:t xml:space="preserve">na kwotę </w:t>
      </w:r>
      <w:r w:rsidR="00A77836">
        <w:rPr>
          <w:iCs/>
          <w:sz w:val="22"/>
        </w:rPr>
        <w:t xml:space="preserve">wyższą o </w:t>
      </w:r>
      <w:r w:rsidR="00A77836" w:rsidRPr="00C6222B">
        <w:rPr>
          <w:iCs/>
          <w:sz w:val="22"/>
        </w:rPr>
        <w:t>20,9%</w:t>
      </w:r>
      <w:r w:rsidR="00A77836">
        <w:rPr>
          <w:iCs/>
          <w:sz w:val="22"/>
        </w:rPr>
        <w:t xml:space="preserve"> </w:t>
      </w:r>
      <w:r w:rsidR="004C0AD7" w:rsidRPr="00C6222B">
        <w:rPr>
          <w:iCs/>
          <w:sz w:val="22"/>
        </w:rPr>
        <w:t>w porównaniu do pierwszych sześciu miesięcy</w:t>
      </w:r>
      <w:r w:rsidR="004C0AD7">
        <w:rPr>
          <w:iCs/>
          <w:sz w:val="22"/>
        </w:rPr>
        <w:t xml:space="preserve"> </w:t>
      </w:r>
      <w:r w:rsidR="004C0AD7" w:rsidRPr="00C6222B">
        <w:rPr>
          <w:iCs/>
          <w:sz w:val="22"/>
        </w:rPr>
        <w:t>2022 r.</w:t>
      </w:r>
      <w:r w:rsidR="00A77836">
        <w:rPr>
          <w:iCs/>
          <w:sz w:val="22"/>
        </w:rPr>
        <w:t xml:space="preserve"> Wpływ na ten wynik miały</w:t>
      </w:r>
      <w:r w:rsidR="000A2C98">
        <w:rPr>
          <w:iCs/>
          <w:sz w:val="22"/>
        </w:rPr>
        <w:t xml:space="preserve"> zarówno </w:t>
      </w:r>
      <w:r w:rsidR="00E44B44">
        <w:rPr>
          <w:rFonts w:cstheme="minorHAnsi"/>
          <w:sz w:val="22"/>
        </w:rPr>
        <w:t>czynniki regulacyjne</w:t>
      </w:r>
      <w:r w:rsidR="000A2C98">
        <w:rPr>
          <w:rFonts w:cstheme="minorHAnsi"/>
          <w:sz w:val="22"/>
        </w:rPr>
        <w:t>, jak</w:t>
      </w:r>
      <w:r w:rsidR="00E44B44">
        <w:rPr>
          <w:rFonts w:cstheme="minorHAnsi"/>
          <w:sz w:val="22"/>
        </w:rPr>
        <w:t xml:space="preserve"> i rynkowe</w:t>
      </w:r>
      <w:r w:rsidR="00A77836">
        <w:rPr>
          <w:rFonts w:cstheme="minorHAnsi"/>
          <w:sz w:val="22"/>
        </w:rPr>
        <w:t xml:space="preserve">. </w:t>
      </w:r>
    </w:p>
    <w:p w14:paraId="189412B7" w14:textId="582F9766" w:rsidR="00B252BE" w:rsidRPr="00B252BE" w:rsidRDefault="00742BA0" w:rsidP="00B252BE">
      <w:pPr>
        <w:jc w:val="both"/>
        <w:rPr>
          <w:rFonts w:cstheme="minorHAnsi"/>
          <w:b/>
          <w:bCs/>
          <w:i/>
          <w:iCs/>
          <w:sz w:val="22"/>
        </w:rPr>
      </w:pPr>
      <w:r>
        <w:rPr>
          <w:i/>
          <w:iCs/>
          <w:sz w:val="22"/>
        </w:rPr>
        <w:t>- R</w:t>
      </w:r>
      <w:r w:rsidRPr="00C6222B">
        <w:rPr>
          <w:i/>
          <w:iCs/>
          <w:sz w:val="22"/>
        </w:rPr>
        <w:t xml:space="preserve">ynek pożyczek </w:t>
      </w:r>
      <w:proofErr w:type="spellStart"/>
      <w:r w:rsidRPr="00C6222B">
        <w:rPr>
          <w:i/>
          <w:iCs/>
          <w:sz w:val="22"/>
        </w:rPr>
        <w:t>pozabankowych</w:t>
      </w:r>
      <w:proofErr w:type="spellEnd"/>
      <w:r w:rsidRPr="00C6222B">
        <w:rPr>
          <w:i/>
          <w:iCs/>
          <w:sz w:val="22"/>
        </w:rPr>
        <w:t xml:space="preserve"> </w:t>
      </w:r>
      <w:r>
        <w:rPr>
          <w:i/>
          <w:iCs/>
          <w:sz w:val="22"/>
        </w:rPr>
        <w:t xml:space="preserve">odnotowuje wzrost dynamiki sprzedaży w </w:t>
      </w:r>
      <w:r w:rsidRPr="00C6222B">
        <w:rPr>
          <w:i/>
          <w:iCs/>
          <w:sz w:val="22"/>
        </w:rPr>
        <w:t>następstwie wejścia w życie Ustawy o zmianie ustaw w celu przeciwdziałania lichwie, w wyniku której z dniem 18 maja br. zaraportowały transakcje firmy, które rozpoczęły współpracę z BIK. Równocześnie, firmy dotychczas współpracujące z BIK, przekazały transakcje wcześniej nieraportowane</w:t>
      </w:r>
      <w:r>
        <w:rPr>
          <w:i/>
          <w:iCs/>
          <w:sz w:val="22"/>
        </w:rPr>
        <w:t xml:space="preserve"> </w:t>
      </w:r>
      <w:r>
        <w:rPr>
          <w:sz w:val="22"/>
        </w:rPr>
        <w:t xml:space="preserve">– </w:t>
      </w:r>
      <w:r w:rsidRPr="00E372CB">
        <w:rPr>
          <w:sz w:val="22"/>
        </w:rPr>
        <w:t xml:space="preserve">komentuje </w:t>
      </w:r>
      <w:r w:rsidR="00B252BE" w:rsidRPr="00E372CB">
        <w:rPr>
          <w:rFonts w:cstheme="minorHAnsi"/>
          <w:sz w:val="22"/>
        </w:rPr>
        <w:t>Sławomir Nosal</w:t>
      </w:r>
      <w:r w:rsidR="00E372CB" w:rsidRPr="00E372CB">
        <w:rPr>
          <w:rFonts w:cstheme="minorHAnsi"/>
          <w:sz w:val="22"/>
        </w:rPr>
        <w:t>.</w:t>
      </w:r>
    </w:p>
    <w:p w14:paraId="5855A5B1" w14:textId="77777777" w:rsidR="001C48BD" w:rsidRDefault="001C48BD" w:rsidP="00B252BE">
      <w:pPr>
        <w:jc w:val="both"/>
        <w:rPr>
          <w:sz w:val="22"/>
        </w:rPr>
      </w:pPr>
    </w:p>
    <w:p w14:paraId="7CE19245" w14:textId="1A80C015" w:rsidR="000E3070" w:rsidRDefault="00742BA0" w:rsidP="00B252BE">
      <w:pPr>
        <w:jc w:val="both"/>
        <w:rPr>
          <w:sz w:val="22"/>
        </w:rPr>
      </w:pPr>
      <w:r w:rsidRPr="00742BA0">
        <w:rPr>
          <w:sz w:val="22"/>
        </w:rPr>
        <w:t xml:space="preserve">Popyt na pożyczki wynika z </w:t>
      </w:r>
      <w:r>
        <w:rPr>
          <w:sz w:val="22"/>
        </w:rPr>
        <w:t xml:space="preserve">przyczyn rynkowych, </w:t>
      </w:r>
      <w:r w:rsidRPr="00742BA0">
        <w:rPr>
          <w:sz w:val="22"/>
        </w:rPr>
        <w:t>wciąż wysokiej inflacji i drożyzn</w:t>
      </w:r>
      <w:r>
        <w:rPr>
          <w:sz w:val="22"/>
        </w:rPr>
        <w:t xml:space="preserve">y, które wpływają na konieczność łatania domowego budżetu za pomocą szybkiego </w:t>
      </w:r>
      <w:r w:rsidRPr="00742BA0">
        <w:rPr>
          <w:sz w:val="22"/>
        </w:rPr>
        <w:t>finansowania</w:t>
      </w:r>
      <w:r>
        <w:rPr>
          <w:sz w:val="22"/>
        </w:rPr>
        <w:t>.</w:t>
      </w:r>
      <w:r w:rsidRPr="00742BA0">
        <w:rPr>
          <w:sz w:val="22"/>
        </w:rPr>
        <w:t xml:space="preserve"> Potwierdzeniem tego są pożyczki </w:t>
      </w:r>
      <w:proofErr w:type="spellStart"/>
      <w:r w:rsidRPr="00742BA0">
        <w:rPr>
          <w:sz w:val="22"/>
        </w:rPr>
        <w:t>niskokwotowe</w:t>
      </w:r>
      <w:proofErr w:type="spellEnd"/>
      <w:r w:rsidRPr="00742BA0">
        <w:rPr>
          <w:sz w:val="22"/>
        </w:rPr>
        <w:t xml:space="preserve"> do 1 tys. zł, które zdominowały </w:t>
      </w:r>
      <w:r w:rsidR="000E3070">
        <w:rPr>
          <w:sz w:val="22"/>
        </w:rPr>
        <w:t xml:space="preserve">sprzedaż w </w:t>
      </w:r>
      <w:r w:rsidR="000E3070" w:rsidRPr="00742BA0">
        <w:rPr>
          <w:sz w:val="22"/>
        </w:rPr>
        <w:t>pierwszym półroczu 2023 r.</w:t>
      </w:r>
      <w:r w:rsidR="000E3070">
        <w:rPr>
          <w:sz w:val="22"/>
        </w:rPr>
        <w:t xml:space="preserve"> Udzielono </w:t>
      </w:r>
      <w:r w:rsidR="000E3070">
        <w:rPr>
          <w:sz w:val="22"/>
        </w:rPr>
        <w:lastRenderedPageBreak/>
        <w:t xml:space="preserve">ich o ponad 60% więcej i na wartość wyższą o </w:t>
      </w:r>
      <w:r w:rsidRPr="00742BA0">
        <w:rPr>
          <w:sz w:val="22"/>
        </w:rPr>
        <w:t>84%</w:t>
      </w:r>
      <w:r w:rsidR="000E3070">
        <w:rPr>
          <w:sz w:val="22"/>
        </w:rPr>
        <w:t xml:space="preserve">. Dla porównania, </w:t>
      </w:r>
      <w:r>
        <w:rPr>
          <w:sz w:val="22"/>
        </w:rPr>
        <w:t xml:space="preserve">pożyczek wysokokwotowych, czyli pow. 5 tys. zł </w:t>
      </w:r>
      <w:r w:rsidR="000E3070">
        <w:rPr>
          <w:sz w:val="22"/>
        </w:rPr>
        <w:t>udzielono więcej o 21,7% na wartość wyższą o 18</w:t>
      </w:r>
      <w:r w:rsidR="0097096E">
        <w:rPr>
          <w:sz w:val="22"/>
        </w:rPr>
        <w:t>,7</w:t>
      </w:r>
      <w:r w:rsidR="000E3070">
        <w:rPr>
          <w:sz w:val="22"/>
        </w:rPr>
        <w:t xml:space="preserve">%. </w:t>
      </w:r>
    </w:p>
    <w:p w14:paraId="10928C54" w14:textId="77777777" w:rsidR="008A6EB6" w:rsidRDefault="008A6EB6" w:rsidP="008A6EB6">
      <w:pPr>
        <w:jc w:val="both"/>
        <w:rPr>
          <w:rFonts w:cstheme="minorHAnsi"/>
          <w:sz w:val="22"/>
        </w:rPr>
      </w:pPr>
    </w:p>
    <w:p w14:paraId="6DCAB6DA" w14:textId="4B13F743" w:rsidR="00825511" w:rsidRPr="006D137D" w:rsidRDefault="000F570C" w:rsidP="001D3DE7">
      <w:pPr>
        <w:jc w:val="both"/>
        <w:rPr>
          <w:rFonts w:cstheme="minorHAnsi"/>
          <w:b/>
          <w:bCs/>
          <w:sz w:val="22"/>
        </w:rPr>
      </w:pPr>
      <w:r w:rsidRPr="00D0710F">
        <w:rPr>
          <w:rFonts w:cstheme="minorHAnsi"/>
          <w:b/>
          <w:bCs/>
          <w:sz w:val="22"/>
        </w:rPr>
        <w:t>Wyhamowuje w</w:t>
      </w:r>
      <w:r w:rsidR="00521B0C" w:rsidRPr="00D0710F">
        <w:rPr>
          <w:rFonts w:cstheme="minorHAnsi"/>
          <w:b/>
          <w:bCs/>
          <w:sz w:val="22"/>
        </w:rPr>
        <w:t>zrost opóźnień w spłatach wszystkich rodzajów kredytów</w:t>
      </w:r>
      <w:r w:rsidR="00190F97">
        <w:rPr>
          <w:rFonts w:cstheme="minorHAnsi"/>
          <w:b/>
          <w:bCs/>
          <w:sz w:val="22"/>
        </w:rPr>
        <w:t>, ale nie</w:t>
      </w:r>
      <w:r w:rsidR="00521B0C" w:rsidRPr="00D0710F">
        <w:rPr>
          <w:rFonts w:cstheme="minorHAnsi"/>
          <w:b/>
          <w:bCs/>
          <w:sz w:val="22"/>
        </w:rPr>
        <w:t xml:space="preserve"> pożyczek</w:t>
      </w:r>
    </w:p>
    <w:p w14:paraId="7612C246" w14:textId="77777777" w:rsidR="00521B0C" w:rsidRDefault="00521B0C" w:rsidP="00550148">
      <w:pPr>
        <w:jc w:val="both"/>
        <w:rPr>
          <w:rFonts w:cstheme="minorHAnsi"/>
          <w:sz w:val="22"/>
        </w:rPr>
      </w:pPr>
    </w:p>
    <w:p w14:paraId="41822243" w14:textId="7A9C8538" w:rsidR="00550148" w:rsidRDefault="00550148" w:rsidP="00550148">
      <w:p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W okresie </w:t>
      </w:r>
      <w:r w:rsidR="00521B0C">
        <w:rPr>
          <w:rFonts w:cstheme="minorHAnsi"/>
          <w:sz w:val="22"/>
        </w:rPr>
        <w:t xml:space="preserve">dwunastu miesięcy </w:t>
      </w:r>
      <w:r>
        <w:rPr>
          <w:rFonts w:cstheme="minorHAnsi"/>
          <w:sz w:val="22"/>
        </w:rPr>
        <w:t>nieznacznie pogorszy</w:t>
      </w:r>
      <w:r w:rsidR="00521B0C">
        <w:rPr>
          <w:rFonts w:cstheme="minorHAnsi"/>
          <w:sz w:val="22"/>
        </w:rPr>
        <w:t>ła</w:t>
      </w:r>
      <w:r>
        <w:rPr>
          <w:rFonts w:cstheme="minorHAnsi"/>
          <w:sz w:val="22"/>
        </w:rPr>
        <w:t xml:space="preserve"> się jakość wszystkich </w:t>
      </w:r>
      <w:r w:rsidR="00521B0C">
        <w:rPr>
          <w:rFonts w:cstheme="minorHAnsi"/>
          <w:sz w:val="22"/>
        </w:rPr>
        <w:t>rodzajów</w:t>
      </w:r>
      <w:r>
        <w:rPr>
          <w:rFonts w:cstheme="minorHAnsi"/>
          <w:sz w:val="22"/>
        </w:rPr>
        <w:t xml:space="preserve"> kredyt</w:t>
      </w:r>
      <w:r w:rsidR="00521B0C">
        <w:rPr>
          <w:rFonts w:cstheme="minorHAnsi"/>
          <w:sz w:val="22"/>
        </w:rPr>
        <w:t xml:space="preserve">ów. </w:t>
      </w:r>
    </w:p>
    <w:p w14:paraId="257E7D45" w14:textId="77777777" w:rsidR="009148F8" w:rsidRDefault="009148F8" w:rsidP="001153FE">
      <w:pPr>
        <w:jc w:val="both"/>
        <w:rPr>
          <w:rFonts w:cstheme="minorHAnsi"/>
          <w:sz w:val="22"/>
        </w:rPr>
      </w:pPr>
    </w:p>
    <w:p w14:paraId="5AB856D3" w14:textId="036D2FB5" w:rsidR="001153FE" w:rsidRDefault="001153FE" w:rsidP="001153FE">
      <w:pPr>
        <w:jc w:val="both"/>
        <w:rPr>
          <w:rFonts w:cstheme="minorHAnsi"/>
          <w:sz w:val="22"/>
        </w:rPr>
      </w:pPr>
      <w:r w:rsidRPr="00980CDA">
        <w:rPr>
          <w:rFonts w:cstheme="minorHAnsi"/>
          <w:sz w:val="22"/>
        </w:rPr>
        <w:t xml:space="preserve">Udział wartościowy kredytów przeterminowanych, czyli pow. 90 dni, w relacji do wartości wszystkich czynnych kredytów (czyli wskaźnik NPL) wyniósł </w:t>
      </w:r>
      <w:r>
        <w:rPr>
          <w:rFonts w:cstheme="minorHAnsi"/>
          <w:sz w:val="22"/>
        </w:rPr>
        <w:t xml:space="preserve">dla całego portfela kredytów </w:t>
      </w:r>
      <w:r w:rsidRPr="00980CDA">
        <w:rPr>
          <w:rFonts w:cstheme="minorHAnsi"/>
          <w:sz w:val="22"/>
        </w:rPr>
        <w:t xml:space="preserve">na koniec </w:t>
      </w:r>
      <w:r>
        <w:rPr>
          <w:rFonts w:cstheme="minorHAnsi"/>
          <w:sz w:val="22"/>
        </w:rPr>
        <w:t>czerwca</w:t>
      </w:r>
      <w:r w:rsidRPr="00980CDA">
        <w:rPr>
          <w:rFonts w:cstheme="minorHAnsi"/>
          <w:sz w:val="22"/>
        </w:rPr>
        <w:t xml:space="preserve"> 202</w:t>
      </w:r>
      <w:r>
        <w:rPr>
          <w:rFonts w:cstheme="minorHAnsi"/>
          <w:sz w:val="22"/>
        </w:rPr>
        <w:t>3</w:t>
      </w:r>
      <w:r w:rsidRPr="00980CDA">
        <w:rPr>
          <w:rFonts w:cstheme="minorHAnsi"/>
          <w:sz w:val="22"/>
        </w:rPr>
        <w:t xml:space="preserve"> r. </w:t>
      </w:r>
      <w:r w:rsidRPr="00B202C2">
        <w:rPr>
          <w:rFonts w:cstheme="minorHAnsi"/>
          <w:sz w:val="22"/>
        </w:rPr>
        <w:t>5,</w:t>
      </w:r>
      <w:r w:rsidR="00746764" w:rsidRPr="00B202C2">
        <w:rPr>
          <w:rFonts w:cstheme="minorHAnsi"/>
          <w:sz w:val="22"/>
        </w:rPr>
        <w:t>6</w:t>
      </w:r>
      <w:r w:rsidRPr="00980CDA">
        <w:rPr>
          <w:rFonts w:cstheme="minorHAnsi"/>
          <w:sz w:val="22"/>
        </w:rPr>
        <w:t xml:space="preserve"> proc. (</w:t>
      </w:r>
      <w:r>
        <w:rPr>
          <w:rFonts w:cstheme="minorHAnsi"/>
          <w:sz w:val="22"/>
        </w:rPr>
        <w:t xml:space="preserve">to więcej o </w:t>
      </w:r>
      <w:r w:rsidRPr="00B202C2">
        <w:rPr>
          <w:rFonts w:cstheme="minorHAnsi"/>
          <w:sz w:val="22"/>
        </w:rPr>
        <w:t>0,</w:t>
      </w:r>
      <w:r w:rsidR="00746764" w:rsidRPr="00B202C2">
        <w:rPr>
          <w:rFonts w:cstheme="minorHAnsi"/>
          <w:sz w:val="22"/>
        </w:rPr>
        <w:t>4</w:t>
      </w:r>
      <w:r w:rsidRPr="00B202C2">
        <w:rPr>
          <w:rFonts w:cstheme="minorHAnsi"/>
          <w:sz w:val="22"/>
        </w:rPr>
        <w:t xml:space="preserve"> </w:t>
      </w:r>
      <w:proofErr w:type="spellStart"/>
      <w:r w:rsidRPr="00B202C2">
        <w:rPr>
          <w:rFonts w:cstheme="minorHAnsi"/>
          <w:sz w:val="22"/>
        </w:rPr>
        <w:t>p.p</w:t>
      </w:r>
      <w:proofErr w:type="spellEnd"/>
      <w:r w:rsidRPr="00B202C2">
        <w:rPr>
          <w:rFonts w:cstheme="minorHAnsi"/>
          <w:sz w:val="22"/>
        </w:rPr>
        <w:t>. niż w grudniu 2022 r</w:t>
      </w:r>
      <w:r w:rsidR="001C48BD">
        <w:rPr>
          <w:rFonts w:cstheme="minorHAnsi"/>
          <w:sz w:val="22"/>
        </w:rPr>
        <w:t>.</w:t>
      </w:r>
      <w:r w:rsidRPr="00980CDA">
        <w:rPr>
          <w:rFonts w:cstheme="minorHAnsi"/>
          <w:sz w:val="22"/>
        </w:rPr>
        <w:t>).</w:t>
      </w:r>
    </w:p>
    <w:p w14:paraId="6CE7BBBC" w14:textId="77777777" w:rsidR="001153FE" w:rsidRDefault="001153FE" w:rsidP="001153FE">
      <w:pPr>
        <w:jc w:val="both"/>
        <w:rPr>
          <w:rFonts w:cstheme="minorHAnsi"/>
          <w:sz w:val="22"/>
        </w:rPr>
      </w:pPr>
    </w:p>
    <w:p w14:paraId="75C16073" w14:textId="2FC15D1C" w:rsidR="00DC2C2F" w:rsidRDefault="000B5DDD" w:rsidP="00DC2C2F">
      <w:p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Poziom szkodowości </w:t>
      </w:r>
      <w:r w:rsidRPr="000B5DDD">
        <w:rPr>
          <w:rFonts w:cstheme="minorHAnsi"/>
          <w:sz w:val="22"/>
        </w:rPr>
        <w:t>portfela mieszkaniowego mierzony NPL jest na poziomie 3,8% w ujęciu wartościowym. W okresie ostatnich 12 miesięcy wzrósł on o 0,8 pkt. proc.</w:t>
      </w:r>
      <w:r w:rsidR="001153FE">
        <w:rPr>
          <w:rFonts w:cstheme="minorHAnsi"/>
          <w:sz w:val="22"/>
        </w:rPr>
        <w:t xml:space="preserve">, a więc zwiększa się wartość kredytów opóźnionych o 90 dni. </w:t>
      </w:r>
      <w:r w:rsidR="00DC2C2F">
        <w:rPr>
          <w:rFonts w:cstheme="minorHAnsi"/>
          <w:sz w:val="22"/>
        </w:rPr>
        <w:t xml:space="preserve">Pocieszające jest to, że po wzroście szkodowości w pierwszym kwartale br., obecnie jakość stabilizuje się. </w:t>
      </w:r>
    </w:p>
    <w:p w14:paraId="3586B59B" w14:textId="77777777" w:rsidR="00DC2C2F" w:rsidRDefault="00DC2C2F" w:rsidP="00DC2C2F">
      <w:pPr>
        <w:jc w:val="both"/>
        <w:rPr>
          <w:rFonts w:cstheme="minorHAnsi"/>
          <w:sz w:val="22"/>
        </w:rPr>
      </w:pPr>
    </w:p>
    <w:p w14:paraId="40500BEF" w14:textId="40D43CFB" w:rsidR="00521B0C" w:rsidRDefault="00DC2C2F" w:rsidP="00550148">
      <w:p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- </w:t>
      </w:r>
      <w:r w:rsidRPr="00DC2C2F">
        <w:rPr>
          <w:rFonts w:cstheme="minorHAnsi"/>
          <w:i/>
          <w:iCs/>
          <w:sz w:val="22"/>
        </w:rPr>
        <w:t>Rynek kredytów mieszkaniowych nie jest homogeniczny, dlatego nie należy analizować go ogólnie, lecz w rozbiciu na walutę udzielonego kredytu.</w:t>
      </w:r>
      <w:r w:rsidRPr="00DC2C2F">
        <w:rPr>
          <w:i/>
          <w:iCs/>
        </w:rPr>
        <w:t xml:space="preserve"> </w:t>
      </w:r>
      <w:r w:rsidRPr="00DC2C2F">
        <w:rPr>
          <w:rFonts w:cstheme="minorHAnsi"/>
          <w:i/>
          <w:iCs/>
          <w:sz w:val="22"/>
        </w:rPr>
        <w:t xml:space="preserve">Za pogorszenie w tym segmencie o 0,8 </w:t>
      </w:r>
      <w:proofErr w:type="spellStart"/>
      <w:r w:rsidRPr="00DC2C2F">
        <w:rPr>
          <w:rFonts w:cstheme="minorHAnsi"/>
          <w:i/>
          <w:iCs/>
          <w:sz w:val="22"/>
        </w:rPr>
        <w:t>p.p</w:t>
      </w:r>
      <w:proofErr w:type="spellEnd"/>
      <w:r w:rsidRPr="00DC2C2F">
        <w:rPr>
          <w:rFonts w:cstheme="minorHAnsi"/>
          <w:i/>
          <w:iCs/>
          <w:sz w:val="22"/>
        </w:rPr>
        <w:t>. w większości odpowiadają kredyty udzielone w szwajcarskiej walucie. A główną przyczyną tych opóźnień w pierwszym kwartale br. było zaprzestanie spłacania rat kredytowych na czas rozstrzygnięć prawnych. Zatem o jakości przesądziło tu bardziej tzw. ryzyko prawne, a nie faktyczna zdolność kredytobiorców do spłaty swoich zobowiązań. Pocieszające, że n</w:t>
      </w:r>
      <w:r w:rsidR="00521B0C" w:rsidRPr="00DC2C2F">
        <w:rPr>
          <w:rFonts w:cstheme="minorHAnsi"/>
          <w:i/>
          <w:iCs/>
          <w:sz w:val="22"/>
        </w:rPr>
        <w:t>ie widzimy istotnego pogorszenia sytuacji jeśli chodzi o spłatę złotowych kredytów</w:t>
      </w:r>
      <w:r w:rsidR="000B5DDD">
        <w:rPr>
          <w:rFonts w:cstheme="minorHAnsi"/>
          <w:i/>
          <w:iCs/>
          <w:sz w:val="22"/>
        </w:rPr>
        <w:t xml:space="preserve"> mieszkaniowych</w:t>
      </w:r>
      <w:r w:rsidR="00521B0C" w:rsidRPr="00DC2C2F">
        <w:rPr>
          <w:rFonts w:cstheme="minorHAnsi"/>
          <w:i/>
          <w:iCs/>
          <w:sz w:val="22"/>
        </w:rPr>
        <w:t>.</w:t>
      </w:r>
      <w:r w:rsidRPr="00DC2C2F">
        <w:rPr>
          <w:rFonts w:cstheme="minorHAnsi"/>
          <w:i/>
          <w:iCs/>
          <w:sz w:val="22"/>
        </w:rPr>
        <w:t xml:space="preserve"> Jak przewidywałem</w:t>
      </w:r>
      <w:r w:rsidR="000B5DDD">
        <w:rPr>
          <w:rFonts w:cstheme="minorHAnsi"/>
          <w:i/>
          <w:iCs/>
          <w:sz w:val="22"/>
        </w:rPr>
        <w:t>,</w:t>
      </w:r>
      <w:r>
        <w:rPr>
          <w:rFonts w:cstheme="minorHAnsi"/>
          <w:i/>
          <w:iCs/>
          <w:sz w:val="22"/>
        </w:rPr>
        <w:t xml:space="preserve"> </w:t>
      </w:r>
      <w:r w:rsidRPr="00DC2C2F">
        <w:rPr>
          <w:rFonts w:cstheme="minorHAnsi"/>
          <w:i/>
          <w:iCs/>
          <w:sz w:val="22"/>
        </w:rPr>
        <w:t>moratoria kredytowe zahibernowały jakość złotowych kredytów mieszkaniowych, która jest na bezpiecznym poziomie</w:t>
      </w:r>
      <w:r w:rsidR="00D0710F">
        <w:rPr>
          <w:rFonts w:cstheme="minorHAnsi"/>
          <w:i/>
          <w:iCs/>
          <w:sz w:val="22"/>
        </w:rPr>
        <w:t xml:space="preserve"> </w:t>
      </w:r>
      <w:r w:rsidR="00D0710F" w:rsidRPr="00D0710F">
        <w:rPr>
          <w:rFonts w:cstheme="minorHAnsi"/>
          <w:sz w:val="22"/>
        </w:rPr>
        <w:t>– podsumowuje prof. Rogowski.</w:t>
      </w:r>
    </w:p>
    <w:p w14:paraId="194630CB" w14:textId="77777777" w:rsidR="00550148" w:rsidRDefault="00550148" w:rsidP="001D3DE7">
      <w:pPr>
        <w:jc w:val="both"/>
        <w:rPr>
          <w:rFonts w:cstheme="minorHAnsi"/>
          <w:b/>
          <w:bCs/>
          <w:sz w:val="22"/>
        </w:rPr>
      </w:pPr>
    </w:p>
    <w:p w14:paraId="27A9C0B2" w14:textId="280EEDF2" w:rsidR="006D137D" w:rsidRDefault="001153FE" w:rsidP="006D137D">
      <w:p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Kredyty gotówkowe należą do najbardziej ryzykownych rodzajów kredytów. Tu przeterminowania pow. 90 dni wynoszą 10,7%. </w:t>
      </w:r>
      <w:r w:rsidR="00BC2337">
        <w:rPr>
          <w:rFonts w:cstheme="minorHAnsi"/>
          <w:sz w:val="22"/>
        </w:rPr>
        <w:t xml:space="preserve">Jednocześnie </w:t>
      </w:r>
      <w:r>
        <w:rPr>
          <w:rFonts w:cstheme="minorHAnsi"/>
          <w:sz w:val="22"/>
        </w:rPr>
        <w:t>obserw</w:t>
      </w:r>
      <w:r w:rsidR="00BC2337">
        <w:rPr>
          <w:rFonts w:cstheme="minorHAnsi"/>
          <w:sz w:val="22"/>
        </w:rPr>
        <w:t>owany w</w:t>
      </w:r>
      <w:r>
        <w:rPr>
          <w:rFonts w:cstheme="minorHAnsi"/>
          <w:sz w:val="22"/>
        </w:rPr>
        <w:t xml:space="preserve"> pierwsz</w:t>
      </w:r>
      <w:r w:rsidR="00BC2337">
        <w:rPr>
          <w:rFonts w:cstheme="minorHAnsi"/>
          <w:sz w:val="22"/>
        </w:rPr>
        <w:t>ym</w:t>
      </w:r>
      <w:r>
        <w:rPr>
          <w:rFonts w:cstheme="minorHAnsi"/>
          <w:sz w:val="22"/>
        </w:rPr>
        <w:t xml:space="preserve"> półroc</w:t>
      </w:r>
      <w:r w:rsidR="00BC2337">
        <w:rPr>
          <w:rFonts w:cstheme="minorHAnsi"/>
          <w:sz w:val="22"/>
        </w:rPr>
        <w:t>zu</w:t>
      </w:r>
      <w:r>
        <w:rPr>
          <w:rFonts w:cstheme="minorHAnsi"/>
          <w:sz w:val="22"/>
        </w:rPr>
        <w:t xml:space="preserve"> wyższy</w:t>
      </w:r>
      <w:r w:rsidR="006D137D">
        <w:rPr>
          <w:rFonts w:cstheme="minorHAnsi"/>
          <w:sz w:val="22"/>
        </w:rPr>
        <w:t xml:space="preserve"> poziom średniego </w:t>
      </w:r>
      <w:proofErr w:type="spellStart"/>
      <w:r w:rsidR="006D137D">
        <w:rPr>
          <w:rFonts w:cstheme="minorHAnsi"/>
          <w:sz w:val="22"/>
        </w:rPr>
        <w:t>scoringu</w:t>
      </w:r>
      <w:proofErr w:type="spellEnd"/>
      <w:r w:rsidR="006D137D">
        <w:rPr>
          <w:rFonts w:cstheme="minorHAnsi"/>
          <w:sz w:val="22"/>
        </w:rPr>
        <w:t xml:space="preserve"> k</w:t>
      </w:r>
      <w:r>
        <w:rPr>
          <w:rFonts w:cstheme="minorHAnsi"/>
          <w:sz w:val="22"/>
        </w:rPr>
        <w:t xml:space="preserve">lientów otrzymujących finansowanie </w:t>
      </w:r>
      <w:r w:rsidR="00BC2337">
        <w:rPr>
          <w:rFonts w:cstheme="minorHAnsi"/>
          <w:sz w:val="22"/>
        </w:rPr>
        <w:t>o</w:t>
      </w:r>
      <w:r>
        <w:rPr>
          <w:rFonts w:cstheme="minorHAnsi"/>
          <w:sz w:val="22"/>
        </w:rPr>
        <w:t xml:space="preserve">znacza, że banki przyznawały kredyty </w:t>
      </w:r>
      <w:r w:rsidR="006D137D">
        <w:rPr>
          <w:rFonts w:cstheme="minorHAnsi"/>
          <w:sz w:val="22"/>
        </w:rPr>
        <w:t>got</w:t>
      </w:r>
      <w:r>
        <w:rPr>
          <w:rFonts w:cstheme="minorHAnsi"/>
          <w:sz w:val="22"/>
        </w:rPr>
        <w:t>ówkowe wiarygodnym klientom o dobrej historii kredytowej. Z dużym prawdopodobieństwem za</w:t>
      </w:r>
      <w:r w:rsidR="006D137D">
        <w:rPr>
          <w:rFonts w:cstheme="minorHAnsi"/>
          <w:sz w:val="22"/>
        </w:rPr>
        <w:t xml:space="preserve">owocuje </w:t>
      </w:r>
      <w:r>
        <w:rPr>
          <w:rFonts w:cstheme="minorHAnsi"/>
          <w:sz w:val="22"/>
        </w:rPr>
        <w:t xml:space="preserve">to w drugiej połowie br. </w:t>
      </w:r>
      <w:r w:rsidR="006D137D">
        <w:rPr>
          <w:rFonts w:cstheme="minorHAnsi"/>
          <w:sz w:val="22"/>
        </w:rPr>
        <w:t xml:space="preserve">dobrą jakością </w:t>
      </w:r>
      <w:r>
        <w:rPr>
          <w:rFonts w:cstheme="minorHAnsi"/>
          <w:sz w:val="22"/>
        </w:rPr>
        <w:t xml:space="preserve">ich spłat. </w:t>
      </w:r>
      <w:r w:rsidR="00CB5598">
        <w:rPr>
          <w:rFonts w:cstheme="minorHAnsi"/>
          <w:sz w:val="22"/>
        </w:rPr>
        <w:t>Jakość kredytów gotówkowych w pierwszym półroczu ustabilizowała się.</w:t>
      </w:r>
    </w:p>
    <w:p w14:paraId="2DA7721B" w14:textId="77777777" w:rsidR="001153FE" w:rsidRDefault="001153FE" w:rsidP="001D3DE7">
      <w:pPr>
        <w:jc w:val="both"/>
        <w:rPr>
          <w:rFonts w:cstheme="minorHAnsi"/>
          <w:sz w:val="22"/>
        </w:rPr>
      </w:pPr>
    </w:p>
    <w:p w14:paraId="09C9B3E4" w14:textId="7BF10F51" w:rsidR="00D32D8F" w:rsidRPr="005472E2" w:rsidRDefault="005472E2" w:rsidP="00D32D8F">
      <w:pPr>
        <w:jc w:val="both"/>
        <w:rPr>
          <w:rFonts w:cstheme="minorHAnsi"/>
          <w:i/>
          <w:iCs/>
          <w:sz w:val="22"/>
        </w:rPr>
      </w:pPr>
      <w:r>
        <w:rPr>
          <w:rFonts w:cstheme="minorHAnsi"/>
          <w:i/>
          <w:iCs/>
          <w:sz w:val="22"/>
        </w:rPr>
        <w:t xml:space="preserve">- </w:t>
      </w:r>
      <w:r w:rsidR="00D32D8F" w:rsidRPr="005472E2">
        <w:rPr>
          <w:rFonts w:cstheme="minorHAnsi"/>
          <w:i/>
          <w:iCs/>
          <w:sz w:val="22"/>
        </w:rPr>
        <w:t xml:space="preserve">Obecnie widać wyraźnie korelację jakości obsługi kredytu </w:t>
      </w:r>
      <w:r w:rsidR="00E04E58">
        <w:rPr>
          <w:rFonts w:cstheme="minorHAnsi"/>
          <w:i/>
          <w:iCs/>
          <w:sz w:val="22"/>
        </w:rPr>
        <w:t xml:space="preserve">z </w:t>
      </w:r>
      <w:r w:rsidR="00D32D8F" w:rsidRPr="005472E2">
        <w:rPr>
          <w:rFonts w:cstheme="minorHAnsi"/>
          <w:i/>
          <w:iCs/>
          <w:sz w:val="22"/>
        </w:rPr>
        <w:t xml:space="preserve">poziomem </w:t>
      </w:r>
      <w:proofErr w:type="spellStart"/>
      <w:r w:rsidR="00D32D8F" w:rsidRPr="005472E2">
        <w:rPr>
          <w:rFonts w:cstheme="minorHAnsi"/>
          <w:i/>
          <w:iCs/>
          <w:sz w:val="22"/>
        </w:rPr>
        <w:t>scoringu</w:t>
      </w:r>
      <w:proofErr w:type="spellEnd"/>
      <w:r w:rsidR="00D32D8F" w:rsidRPr="005472E2">
        <w:rPr>
          <w:rFonts w:cstheme="minorHAnsi"/>
          <w:i/>
          <w:iCs/>
          <w:sz w:val="22"/>
        </w:rPr>
        <w:t xml:space="preserve"> kredytobiorcy. Podczas gdy w 2022 r. banki przyznawały kredyty gotówkowe osobom o niższej ocenie punktowej, rosła szkodowość. Teraz instytucje finansowe skupiają się na znanych sobie klientach, a szczególne natężenie tego zjawiska występuje w przypadku kredytów gotówkowych. Aż 87% klientów zaciągających ten kredyt to osoby znane w banku udzielającym kredytu, o sprawdzonej wiarygodności kredytowej</w:t>
      </w:r>
      <w:r>
        <w:rPr>
          <w:rFonts w:cstheme="minorHAnsi"/>
          <w:i/>
          <w:iCs/>
          <w:sz w:val="22"/>
        </w:rPr>
        <w:t xml:space="preserve">. Pogłębieniu </w:t>
      </w:r>
      <w:r w:rsidR="00BC2337">
        <w:rPr>
          <w:rFonts w:cstheme="minorHAnsi"/>
          <w:i/>
          <w:iCs/>
          <w:sz w:val="22"/>
        </w:rPr>
        <w:t xml:space="preserve">aktywnego kontaktu </w:t>
      </w:r>
      <w:r>
        <w:rPr>
          <w:rFonts w:cstheme="minorHAnsi"/>
          <w:i/>
          <w:iCs/>
          <w:sz w:val="22"/>
        </w:rPr>
        <w:t xml:space="preserve">ze swoją grupą klientów sprzyjają własne kanały komunikacji banków, m.in. aplikacje. To bezpieczna platforma budowania aktywnej </w:t>
      </w:r>
      <w:r w:rsidR="00BC2337">
        <w:rPr>
          <w:rFonts w:cstheme="minorHAnsi"/>
          <w:i/>
          <w:iCs/>
          <w:sz w:val="22"/>
        </w:rPr>
        <w:t xml:space="preserve">relacji z </w:t>
      </w:r>
      <w:r>
        <w:rPr>
          <w:rFonts w:cstheme="minorHAnsi"/>
          <w:i/>
          <w:iCs/>
          <w:sz w:val="22"/>
        </w:rPr>
        <w:t>klient</w:t>
      </w:r>
      <w:r w:rsidR="00BC2337">
        <w:rPr>
          <w:rFonts w:cstheme="minorHAnsi"/>
          <w:i/>
          <w:iCs/>
          <w:sz w:val="22"/>
        </w:rPr>
        <w:t>em</w:t>
      </w:r>
      <w:r>
        <w:rPr>
          <w:rFonts w:cstheme="minorHAnsi"/>
          <w:i/>
          <w:iCs/>
          <w:sz w:val="22"/>
        </w:rPr>
        <w:t xml:space="preserve"> i pozyskania go tą drogą </w:t>
      </w:r>
      <w:r w:rsidR="00DF193D">
        <w:rPr>
          <w:rFonts w:cstheme="minorHAnsi"/>
          <w:i/>
          <w:iCs/>
          <w:sz w:val="22"/>
        </w:rPr>
        <w:t xml:space="preserve">do korzystania </w:t>
      </w:r>
      <w:r w:rsidR="00E04E58">
        <w:rPr>
          <w:rFonts w:cstheme="minorHAnsi"/>
          <w:i/>
          <w:iCs/>
          <w:sz w:val="22"/>
        </w:rPr>
        <w:t xml:space="preserve">z </w:t>
      </w:r>
      <w:r>
        <w:rPr>
          <w:rFonts w:cstheme="minorHAnsi"/>
          <w:i/>
          <w:iCs/>
          <w:sz w:val="22"/>
        </w:rPr>
        <w:t xml:space="preserve">innych produktów </w:t>
      </w:r>
      <w:r w:rsidR="00DF193D">
        <w:rPr>
          <w:rFonts w:cstheme="minorHAnsi"/>
          <w:i/>
          <w:iCs/>
          <w:sz w:val="22"/>
        </w:rPr>
        <w:t>w swoim banku</w:t>
      </w:r>
      <w:r w:rsidR="00D0710F">
        <w:rPr>
          <w:rFonts w:cstheme="minorHAnsi"/>
          <w:i/>
          <w:iCs/>
          <w:sz w:val="22"/>
        </w:rPr>
        <w:t xml:space="preserve"> </w:t>
      </w:r>
      <w:r w:rsidR="00D0710F" w:rsidRPr="00D0710F">
        <w:rPr>
          <w:rFonts w:cstheme="minorHAnsi"/>
          <w:sz w:val="22"/>
        </w:rPr>
        <w:t xml:space="preserve">– ocenia </w:t>
      </w:r>
      <w:r w:rsidR="007365E1">
        <w:rPr>
          <w:rFonts w:cstheme="minorHAnsi"/>
          <w:sz w:val="22"/>
        </w:rPr>
        <w:t>Sławomir Nosal, lider Zespołu Analiz</w:t>
      </w:r>
      <w:r w:rsidR="00D0710F" w:rsidRPr="0023540D">
        <w:rPr>
          <w:rFonts w:cstheme="minorHAnsi"/>
          <w:sz w:val="22"/>
        </w:rPr>
        <w:t xml:space="preserve"> BI</w:t>
      </w:r>
      <w:r w:rsidR="00D0710F" w:rsidRPr="00D0710F">
        <w:rPr>
          <w:rFonts w:cstheme="minorHAnsi"/>
          <w:sz w:val="22"/>
        </w:rPr>
        <w:t>.</w:t>
      </w:r>
    </w:p>
    <w:p w14:paraId="13CF8A8C" w14:textId="77777777" w:rsidR="00D32D8F" w:rsidRDefault="00D32D8F" w:rsidP="00D32D8F">
      <w:pPr>
        <w:jc w:val="both"/>
        <w:rPr>
          <w:rFonts w:cstheme="minorHAnsi"/>
          <w:sz w:val="22"/>
        </w:rPr>
      </w:pPr>
    </w:p>
    <w:p w14:paraId="3481EEF2" w14:textId="55BFA794" w:rsidR="00550148" w:rsidRDefault="00920982" w:rsidP="001D3DE7">
      <w:p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Niepokoi </w:t>
      </w:r>
      <w:r w:rsidR="001153FE">
        <w:rPr>
          <w:rFonts w:cstheme="minorHAnsi"/>
          <w:sz w:val="22"/>
        </w:rPr>
        <w:t xml:space="preserve">natomiast </w:t>
      </w:r>
      <w:r>
        <w:rPr>
          <w:rFonts w:cstheme="minorHAnsi"/>
          <w:sz w:val="22"/>
        </w:rPr>
        <w:t xml:space="preserve">niekorzystne zjawisko </w:t>
      </w:r>
      <w:r w:rsidR="001153FE">
        <w:rPr>
          <w:rFonts w:cstheme="minorHAnsi"/>
          <w:sz w:val="22"/>
        </w:rPr>
        <w:t xml:space="preserve">kondycji </w:t>
      </w:r>
      <w:r>
        <w:rPr>
          <w:rFonts w:cstheme="minorHAnsi"/>
          <w:sz w:val="22"/>
        </w:rPr>
        <w:t>poż</w:t>
      </w:r>
      <w:r w:rsidR="001153FE">
        <w:rPr>
          <w:rFonts w:cstheme="minorHAnsi"/>
          <w:sz w:val="22"/>
        </w:rPr>
        <w:t>yczek</w:t>
      </w:r>
      <w:r>
        <w:rPr>
          <w:rFonts w:cstheme="minorHAnsi"/>
          <w:sz w:val="22"/>
        </w:rPr>
        <w:t xml:space="preserve"> </w:t>
      </w:r>
      <w:proofErr w:type="spellStart"/>
      <w:r>
        <w:rPr>
          <w:rFonts w:cstheme="minorHAnsi"/>
          <w:sz w:val="22"/>
        </w:rPr>
        <w:t>pozaban</w:t>
      </w:r>
      <w:r w:rsidR="001153FE">
        <w:rPr>
          <w:rFonts w:cstheme="minorHAnsi"/>
          <w:sz w:val="22"/>
        </w:rPr>
        <w:t>k</w:t>
      </w:r>
      <w:r>
        <w:rPr>
          <w:rFonts w:cstheme="minorHAnsi"/>
          <w:sz w:val="22"/>
        </w:rPr>
        <w:t>owych</w:t>
      </w:r>
      <w:proofErr w:type="spellEnd"/>
      <w:r w:rsidR="001153FE">
        <w:rPr>
          <w:rFonts w:cstheme="minorHAnsi"/>
          <w:sz w:val="22"/>
        </w:rPr>
        <w:t>. P</w:t>
      </w:r>
      <w:r>
        <w:rPr>
          <w:rFonts w:cstheme="minorHAnsi"/>
          <w:sz w:val="22"/>
        </w:rPr>
        <w:t>oziom szkodowości wzrósł do 24,3 proc.</w:t>
      </w:r>
      <w:r w:rsidR="00E53E4B">
        <w:rPr>
          <w:rFonts w:cstheme="minorHAnsi"/>
          <w:sz w:val="22"/>
        </w:rPr>
        <w:t xml:space="preserve"> i przerwał okres poprawy jakości, </w:t>
      </w:r>
      <w:r>
        <w:rPr>
          <w:rFonts w:cstheme="minorHAnsi"/>
          <w:sz w:val="22"/>
        </w:rPr>
        <w:t>rozpoczęty</w:t>
      </w:r>
      <w:r w:rsidR="00E53E4B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jeszcze na jesieni 2020 r</w:t>
      </w:r>
      <w:r w:rsidR="001C01B2">
        <w:rPr>
          <w:rFonts w:cstheme="minorHAnsi"/>
          <w:sz w:val="22"/>
        </w:rPr>
        <w:t>.</w:t>
      </w:r>
      <w:r>
        <w:rPr>
          <w:rFonts w:cstheme="minorHAnsi"/>
          <w:sz w:val="22"/>
        </w:rPr>
        <w:t xml:space="preserve"> </w:t>
      </w:r>
    </w:p>
    <w:p w14:paraId="67B708A8" w14:textId="77777777" w:rsidR="000B5DDD" w:rsidRDefault="000B5DDD" w:rsidP="000B5DDD">
      <w:pPr>
        <w:jc w:val="both"/>
        <w:rPr>
          <w:rFonts w:cstheme="minorHAnsi"/>
          <w:sz w:val="22"/>
        </w:rPr>
      </w:pPr>
    </w:p>
    <w:p w14:paraId="601B4DBC" w14:textId="77777777" w:rsidR="00EA12CC" w:rsidRDefault="00EA12CC" w:rsidP="00C46CBE">
      <w:pPr>
        <w:jc w:val="both"/>
        <w:rPr>
          <w:rFonts w:cstheme="minorHAnsi"/>
          <w:b/>
          <w:bCs/>
          <w:sz w:val="22"/>
        </w:rPr>
      </w:pPr>
    </w:p>
    <w:p w14:paraId="20CF4BC2" w14:textId="77777777" w:rsidR="00EA12CC" w:rsidRDefault="00EA12CC" w:rsidP="00C46CBE">
      <w:pPr>
        <w:jc w:val="both"/>
        <w:rPr>
          <w:rFonts w:cstheme="minorHAnsi"/>
          <w:b/>
          <w:bCs/>
          <w:sz w:val="22"/>
        </w:rPr>
      </w:pPr>
    </w:p>
    <w:p w14:paraId="3D8372D8" w14:textId="1282038F" w:rsidR="00C46CBE" w:rsidRDefault="00C46CBE" w:rsidP="00C46CBE">
      <w:pPr>
        <w:jc w:val="both"/>
        <w:rPr>
          <w:rFonts w:cstheme="minorHAnsi"/>
          <w:b/>
          <w:bCs/>
          <w:sz w:val="22"/>
        </w:rPr>
      </w:pPr>
      <w:r>
        <w:rPr>
          <w:rFonts w:cstheme="minorHAnsi"/>
          <w:b/>
          <w:bCs/>
          <w:sz w:val="22"/>
        </w:rPr>
        <w:lastRenderedPageBreak/>
        <w:t xml:space="preserve">Perspektywy rynku </w:t>
      </w:r>
      <w:r w:rsidR="00B03C33">
        <w:rPr>
          <w:rFonts w:cstheme="minorHAnsi"/>
          <w:b/>
          <w:bCs/>
          <w:sz w:val="22"/>
        </w:rPr>
        <w:t xml:space="preserve">kredytowego </w:t>
      </w:r>
      <w:r>
        <w:rPr>
          <w:rFonts w:cstheme="minorHAnsi"/>
          <w:b/>
          <w:bCs/>
          <w:sz w:val="22"/>
        </w:rPr>
        <w:t>w drugim półroczu 2023</w:t>
      </w:r>
    </w:p>
    <w:p w14:paraId="1E3E86EA" w14:textId="77777777" w:rsidR="00C46CBE" w:rsidRDefault="00C46CBE" w:rsidP="00C46CBE">
      <w:pPr>
        <w:jc w:val="both"/>
        <w:rPr>
          <w:rFonts w:cstheme="minorHAnsi"/>
          <w:sz w:val="22"/>
        </w:rPr>
      </w:pPr>
    </w:p>
    <w:p w14:paraId="6397A712" w14:textId="5A32FBE8" w:rsidR="00C46CBE" w:rsidRPr="00C46CBE" w:rsidRDefault="00C46CBE" w:rsidP="00C46CBE">
      <w:p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Na wynik w całym 2023 r., jak również na akcję</w:t>
      </w:r>
      <w:r w:rsidRPr="00C46CBE">
        <w:rPr>
          <w:rFonts w:cstheme="minorHAnsi"/>
          <w:sz w:val="22"/>
        </w:rPr>
        <w:t xml:space="preserve"> kredytow</w:t>
      </w:r>
      <w:r>
        <w:rPr>
          <w:rFonts w:cstheme="minorHAnsi"/>
          <w:sz w:val="22"/>
        </w:rPr>
        <w:t>ą</w:t>
      </w:r>
      <w:r w:rsidRPr="00C46CBE">
        <w:rPr>
          <w:rFonts w:cstheme="minorHAnsi"/>
          <w:sz w:val="22"/>
        </w:rPr>
        <w:t xml:space="preserve"> w II półroczu br</w:t>
      </w:r>
      <w:r>
        <w:rPr>
          <w:rFonts w:cstheme="minorHAnsi"/>
          <w:sz w:val="22"/>
        </w:rPr>
        <w:t>.</w:t>
      </w:r>
      <w:r w:rsidR="00D0710F">
        <w:rPr>
          <w:rFonts w:cstheme="minorHAnsi"/>
          <w:sz w:val="22"/>
        </w:rPr>
        <w:t>,</w:t>
      </w:r>
      <w:r w:rsidRPr="00C46CBE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powinno pozytywnie oddziaływać o</w:t>
      </w:r>
      <w:r w:rsidRPr="00C46CBE">
        <w:rPr>
          <w:rFonts w:cstheme="minorHAnsi"/>
          <w:sz w:val="22"/>
        </w:rPr>
        <w:t xml:space="preserve">toczenie </w:t>
      </w:r>
      <w:r>
        <w:rPr>
          <w:rFonts w:cstheme="minorHAnsi"/>
          <w:sz w:val="22"/>
        </w:rPr>
        <w:t>makro</w:t>
      </w:r>
      <w:r w:rsidRPr="00C46CBE">
        <w:rPr>
          <w:rFonts w:cstheme="minorHAnsi"/>
          <w:sz w:val="22"/>
        </w:rPr>
        <w:t>ekonomiczne</w:t>
      </w:r>
      <w:r>
        <w:rPr>
          <w:rFonts w:cstheme="minorHAnsi"/>
          <w:sz w:val="22"/>
        </w:rPr>
        <w:t xml:space="preserve">. </w:t>
      </w:r>
    </w:p>
    <w:p w14:paraId="58E83185" w14:textId="70F6EC11" w:rsidR="002D7941" w:rsidRPr="002D7941" w:rsidRDefault="00C46CBE" w:rsidP="00D0710F">
      <w:p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Wśród obecnych zjawisk można wyróżnić </w:t>
      </w:r>
      <w:r w:rsidR="00AD1BF9">
        <w:rPr>
          <w:rFonts w:cstheme="minorHAnsi"/>
          <w:sz w:val="22"/>
        </w:rPr>
        <w:t xml:space="preserve">czynniki, które są dobrym prognostykiem w </w:t>
      </w:r>
      <w:r w:rsidR="00AD1BF9" w:rsidRPr="00C46CBE">
        <w:rPr>
          <w:rFonts w:cstheme="minorHAnsi"/>
          <w:sz w:val="22"/>
        </w:rPr>
        <w:t xml:space="preserve">aspekcie </w:t>
      </w:r>
      <w:r w:rsidR="002D7941" w:rsidRPr="002D7941">
        <w:rPr>
          <w:rFonts w:cstheme="minorHAnsi"/>
          <w:sz w:val="22"/>
        </w:rPr>
        <w:t xml:space="preserve">uzyskiwania i zwiększania </w:t>
      </w:r>
      <w:r w:rsidR="00AD1BF9" w:rsidRPr="00C46CBE">
        <w:rPr>
          <w:rFonts w:cstheme="minorHAnsi"/>
          <w:sz w:val="22"/>
        </w:rPr>
        <w:t>zdolności kredytowej</w:t>
      </w:r>
      <w:r w:rsidR="00AD1BF9">
        <w:rPr>
          <w:rFonts w:cstheme="minorHAnsi"/>
          <w:sz w:val="22"/>
        </w:rPr>
        <w:t xml:space="preserve">. Są to </w:t>
      </w:r>
      <w:r>
        <w:rPr>
          <w:rFonts w:cstheme="minorHAnsi"/>
          <w:sz w:val="22"/>
        </w:rPr>
        <w:t>s</w:t>
      </w:r>
      <w:r w:rsidRPr="00C46CBE">
        <w:rPr>
          <w:rFonts w:cstheme="minorHAnsi"/>
          <w:sz w:val="22"/>
        </w:rPr>
        <w:t>tabilizacj</w:t>
      </w:r>
      <w:r w:rsidR="00AD1BF9">
        <w:rPr>
          <w:rFonts w:cstheme="minorHAnsi"/>
          <w:sz w:val="22"/>
        </w:rPr>
        <w:t>a</w:t>
      </w:r>
      <w:r w:rsidRPr="00C46CBE">
        <w:rPr>
          <w:rFonts w:cstheme="minorHAnsi"/>
          <w:sz w:val="22"/>
        </w:rPr>
        <w:t xml:space="preserve"> poziomu stóp procentowych</w:t>
      </w:r>
      <w:r w:rsidR="002D7941">
        <w:rPr>
          <w:rFonts w:cstheme="minorHAnsi"/>
          <w:sz w:val="22"/>
        </w:rPr>
        <w:t xml:space="preserve"> </w:t>
      </w:r>
      <w:r w:rsidR="00AF025D">
        <w:rPr>
          <w:rFonts w:cstheme="minorHAnsi"/>
          <w:sz w:val="22"/>
        </w:rPr>
        <w:br/>
      </w:r>
      <w:r w:rsidR="002D7941">
        <w:rPr>
          <w:rFonts w:cstheme="minorHAnsi"/>
          <w:sz w:val="22"/>
        </w:rPr>
        <w:t xml:space="preserve">i </w:t>
      </w:r>
      <w:r w:rsidR="002D7941" w:rsidRPr="002D7941">
        <w:rPr>
          <w:rFonts w:cstheme="minorHAnsi"/>
          <w:sz w:val="22"/>
        </w:rPr>
        <w:t>oczekiwanie na rozpoczęcie procesu ich obniżania nawet jeszcze na jesieni br.</w:t>
      </w:r>
      <w:r>
        <w:rPr>
          <w:rFonts w:cstheme="minorHAnsi"/>
          <w:sz w:val="22"/>
        </w:rPr>
        <w:t xml:space="preserve">, </w:t>
      </w:r>
      <w:r w:rsidR="00B202C2">
        <w:rPr>
          <w:rFonts w:cstheme="minorHAnsi"/>
          <w:sz w:val="22"/>
        </w:rPr>
        <w:t>widoczny</w:t>
      </w:r>
      <w:r>
        <w:rPr>
          <w:rFonts w:cstheme="minorHAnsi"/>
          <w:sz w:val="22"/>
        </w:rPr>
        <w:t xml:space="preserve"> p</w:t>
      </w:r>
      <w:r w:rsidRPr="00C46CBE">
        <w:rPr>
          <w:rFonts w:cstheme="minorHAnsi"/>
          <w:sz w:val="22"/>
        </w:rPr>
        <w:t xml:space="preserve">roces dezinflacji powodujący, że wzrost wynagrodzeń realnych </w:t>
      </w:r>
      <w:r w:rsidR="002D7941" w:rsidRPr="002D7941">
        <w:rPr>
          <w:rFonts w:cstheme="minorHAnsi"/>
          <w:sz w:val="22"/>
        </w:rPr>
        <w:t xml:space="preserve">jest już dodatni i będzie w kolejnych kwartałach jeszcze się zwiększał, a także historycznie niski poziom bezrobocia. </w:t>
      </w:r>
    </w:p>
    <w:p w14:paraId="7B0BC11B" w14:textId="5EC09049" w:rsidR="00C46CBE" w:rsidRDefault="00C46CBE" w:rsidP="00D0710F">
      <w:pPr>
        <w:jc w:val="both"/>
        <w:rPr>
          <w:rFonts w:cstheme="minorHAnsi"/>
          <w:sz w:val="22"/>
        </w:rPr>
      </w:pPr>
    </w:p>
    <w:p w14:paraId="4FD74EB2" w14:textId="28F5A30C" w:rsidR="009549FD" w:rsidRDefault="00AD1BF9" w:rsidP="00AD1BF9">
      <w:pPr>
        <w:jc w:val="both"/>
        <w:rPr>
          <w:sz w:val="22"/>
        </w:rPr>
      </w:pPr>
      <w:r>
        <w:rPr>
          <w:sz w:val="22"/>
        </w:rPr>
        <w:t>W</w:t>
      </w:r>
      <w:r w:rsidRPr="00957D7F">
        <w:rPr>
          <w:sz w:val="22"/>
        </w:rPr>
        <w:t xml:space="preserve"> zakresie kredytów </w:t>
      </w:r>
      <w:r>
        <w:rPr>
          <w:sz w:val="22"/>
        </w:rPr>
        <w:t>hipotecznych</w:t>
      </w:r>
      <w:r w:rsidRPr="00957D7F">
        <w:rPr>
          <w:sz w:val="22"/>
        </w:rPr>
        <w:t xml:space="preserve"> </w:t>
      </w:r>
      <w:r>
        <w:rPr>
          <w:sz w:val="22"/>
        </w:rPr>
        <w:t>należy spodziewać się dalszego wzrostu akcji kredytowej – wzrostowi liczby i wartości</w:t>
      </w:r>
      <w:r w:rsidRPr="00957D7F">
        <w:rPr>
          <w:sz w:val="22"/>
        </w:rPr>
        <w:t xml:space="preserve"> udzielanych kredytów, towarzyszyć będzie </w:t>
      </w:r>
      <w:r>
        <w:rPr>
          <w:sz w:val="22"/>
        </w:rPr>
        <w:t xml:space="preserve">stopniowy </w:t>
      </w:r>
      <w:r w:rsidRPr="00115D0F">
        <w:rPr>
          <w:sz w:val="22"/>
        </w:rPr>
        <w:t>wzrost średniej kwoty udzielonego kredytu mieszkaniowego.</w:t>
      </w:r>
      <w:r>
        <w:rPr>
          <w:sz w:val="22"/>
        </w:rPr>
        <w:t xml:space="preserve"> </w:t>
      </w:r>
      <w:r w:rsidR="009549FD">
        <w:rPr>
          <w:sz w:val="22"/>
        </w:rPr>
        <w:t xml:space="preserve">Aktywność na rynku kredytów mieszkaniowych pobudzi </w:t>
      </w:r>
      <w:r w:rsidR="002D7941" w:rsidRPr="002D7941">
        <w:rPr>
          <w:sz w:val="22"/>
        </w:rPr>
        <w:t>dodatkowo Program Bezpieczny Kredyt</w:t>
      </w:r>
      <w:r w:rsidR="002D7941">
        <w:rPr>
          <w:sz w:val="22"/>
        </w:rPr>
        <w:t>,</w:t>
      </w:r>
      <w:r w:rsidR="009549FD">
        <w:rPr>
          <w:sz w:val="22"/>
        </w:rPr>
        <w:t xml:space="preserve"> z którego skorzysta</w:t>
      </w:r>
      <w:r w:rsidR="002C067B">
        <w:rPr>
          <w:sz w:val="22"/>
        </w:rPr>
        <w:t>nie</w:t>
      </w:r>
      <w:r w:rsidR="009549FD">
        <w:rPr>
          <w:sz w:val="22"/>
        </w:rPr>
        <w:t xml:space="preserve"> </w:t>
      </w:r>
      <w:r w:rsidR="002C067B">
        <w:rPr>
          <w:sz w:val="22"/>
        </w:rPr>
        <w:t xml:space="preserve">deklaruje </w:t>
      </w:r>
      <w:r w:rsidR="009549FD">
        <w:rPr>
          <w:sz w:val="22"/>
        </w:rPr>
        <w:t xml:space="preserve">28% Polaków - respondentów badania opinii zrealizowanego </w:t>
      </w:r>
      <w:r w:rsidR="002D7941">
        <w:rPr>
          <w:sz w:val="22"/>
        </w:rPr>
        <w:t>na zlecenie BIK</w:t>
      </w:r>
      <w:r w:rsidR="00AF025D">
        <w:rPr>
          <w:sz w:val="22"/>
        </w:rPr>
        <w:t>.</w:t>
      </w:r>
      <w:r w:rsidR="009549FD">
        <w:rPr>
          <w:sz w:val="22"/>
        </w:rPr>
        <w:t xml:space="preserve"> </w:t>
      </w:r>
    </w:p>
    <w:p w14:paraId="4445B36F" w14:textId="77777777" w:rsidR="00AF025D" w:rsidRDefault="00AF025D" w:rsidP="00AD1BF9">
      <w:pPr>
        <w:jc w:val="both"/>
        <w:rPr>
          <w:sz w:val="22"/>
        </w:rPr>
      </w:pPr>
    </w:p>
    <w:p w14:paraId="094E38EC" w14:textId="0EC8EA37" w:rsidR="00AD1BF9" w:rsidRPr="00B202C2" w:rsidRDefault="00AF025D" w:rsidP="00AD1BF9">
      <w:pPr>
        <w:jc w:val="both"/>
        <w:rPr>
          <w:rFonts w:cstheme="minorHAnsi"/>
          <w:sz w:val="22"/>
        </w:rPr>
      </w:pPr>
      <w:r>
        <w:rPr>
          <w:sz w:val="22"/>
        </w:rPr>
        <w:t>Przede wszystkim</w:t>
      </w:r>
      <w:r w:rsidR="009549FD" w:rsidRPr="00B202C2">
        <w:rPr>
          <w:sz w:val="22"/>
        </w:rPr>
        <w:t xml:space="preserve"> jednak wzrost realnych wynagrodzeń oraz liberalizacja wymogów regulacyjnych to dwa główne czynniki, które pozwalają szacować </w:t>
      </w:r>
      <w:r w:rsidR="009F08DE">
        <w:rPr>
          <w:sz w:val="22"/>
        </w:rPr>
        <w:t xml:space="preserve">analitykom BIK </w:t>
      </w:r>
      <w:r w:rsidR="009549FD" w:rsidRPr="00115D0F">
        <w:rPr>
          <w:b/>
          <w:bCs/>
          <w:sz w:val="22"/>
        </w:rPr>
        <w:t>wzrost</w:t>
      </w:r>
      <w:r w:rsidR="00AD1BF9" w:rsidRPr="00115D0F">
        <w:rPr>
          <w:rFonts w:cstheme="minorHAnsi"/>
          <w:b/>
          <w:bCs/>
          <w:sz w:val="22"/>
        </w:rPr>
        <w:t xml:space="preserve"> akcji kredytowej w segmencie kredytów hipotecznych</w:t>
      </w:r>
      <w:r w:rsidR="00AD1BF9" w:rsidRPr="00B202C2">
        <w:rPr>
          <w:rFonts w:cstheme="minorHAnsi"/>
          <w:sz w:val="22"/>
        </w:rPr>
        <w:t xml:space="preserve"> na poziomie </w:t>
      </w:r>
      <w:r w:rsidR="004C046E" w:rsidRPr="00B202C2">
        <w:rPr>
          <w:rFonts w:cstheme="minorHAnsi"/>
          <w:sz w:val="22"/>
        </w:rPr>
        <w:t xml:space="preserve">51,5 </w:t>
      </w:r>
      <w:r w:rsidR="00AD1BF9" w:rsidRPr="00B202C2">
        <w:rPr>
          <w:rFonts w:cstheme="minorHAnsi"/>
          <w:sz w:val="22"/>
        </w:rPr>
        <w:t xml:space="preserve">mld zł – czyli o </w:t>
      </w:r>
      <w:r w:rsidR="004C046E" w:rsidRPr="00B202C2">
        <w:rPr>
          <w:rFonts w:cstheme="minorHAnsi"/>
          <w:sz w:val="22"/>
        </w:rPr>
        <w:t>13,2</w:t>
      </w:r>
      <w:r w:rsidR="00AD1BF9" w:rsidRPr="00B202C2">
        <w:rPr>
          <w:rFonts w:cstheme="minorHAnsi"/>
          <w:sz w:val="22"/>
        </w:rPr>
        <w:t xml:space="preserve"> proc. </w:t>
      </w:r>
      <w:r w:rsidR="004C046E" w:rsidRPr="00B202C2">
        <w:rPr>
          <w:rFonts w:cstheme="minorHAnsi"/>
          <w:sz w:val="22"/>
        </w:rPr>
        <w:t xml:space="preserve">wyższym </w:t>
      </w:r>
      <w:r w:rsidR="00AD1BF9" w:rsidRPr="00B202C2">
        <w:rPr>
          <w:rFonts w:cstheme="minorHAnsi"/>
          <w:sz w:val="22"/>
        </w:rPr>
        <w:t xml:space="preserve">niż w 2022 r. </w:t>
      </w:r>
    </w:p>
    <w:p w14:paraId="7F406C00" w14:textId="77777777" w:rsidR="00B202C2" w:rsidRDefault="00B202C2" w:rsidP="00AD1BF9">
      <w:pPr>
        <w:jc w:val="both"/>
        <w:rPr>
          <w:rFonts w:cstheme="minorHAnsi"/>
          <w:sz w:val="22"/>
        </w:rPr>
      </w:pPr>
    </w:p>
    <w:p w14:paraId="6EA54A02" w14:textId="2C247262" w:rsidR="00612709" w:rsidRDefault="004C046E" w:rsidP="00612709">
      <w:pPr>
        <w:jc w:val="both"/>
        <w:rPr>
          <w:sz w:val="22"/>
        </w:rPr>
      </w:pPr>
      <w:r w:rsidRPr="001465D1">
        <w:rPr>
          <w:rFonts w:cstheme="minorHAnsi"/>
          <w:sz w:val="22"/>
        </w:rPr>
        <w:t xml:space="preserve">Drugie półrocze br. przebiegać będzie pod znakiem </w:t>
      </w:r>
      <w:r w:rsidR="00FF7255" w:rsidRPr="00B202C2">
        <w:rPr>
          <w:rFonts w:cstheme="minorHAnsi"/>
          <w:b/>
          <w:bCs/>
          <w:sz w:val="22"/>
        </w:rPr>
        <w:t xml:space="preserve">dalszego </w:t>
      </w:r>
      <w:r w:rsidR="009549FD" w:rsidRPr="00B202C2">
        <w:rPr>
          <w:rFonts w:cstheme="minorHAnsi"/>
          <w:b/>
          <w:bCs/>
          <w:sz w:val="22"/>
        </w:rPr>
        <w:t>wzrostu</w:t>
      </w:r>
      <w:r w:rsidRPr="00B202C2">
        <w:rPr>
          <w:rFonts w:cstheme="minorHAnsi"/>
          <w:b/>
          <w:bCs/>
          <w:sz w:val="22"/>
        </w:rPr>
        <w:t xml:space="preserve"> w zakresie</w:t>
      </w:r>
      <w:r w:rsidRPr="001465D1">
        <w:rPr>
          <w:rFonts w:cstheme="minorHAnsi"/>
          <w:sz w:val="22"/>
        </w:rPr>
        <w:t xml:space="preserve"> </w:t>
      </w:r>
      <w:r w:rsidRPr="00B202C2">
        <w:rPr>
          <w:rFonts w:cstheme="minorHAnsi"/>
          <w:b/>
          <w:bCs/>
          <w:sz w:val="22"/>
        </w:rPr>
        <w:t>kredytów gotówkowych</w:t>
      </w:r>
      <w:r w:rsidRPr="001465D1">
        <w:rPr>
          <w:rFonts w:cstheme="minorHAnsi"/>
          <w:sz w:val="22"/>
        </w:rPr>
        <w:t xml:space="preserve">. </w:t>
      </w:r>
      <w:r w:rsidR="009549FD" w:rsidRPr="001465D1">
        <w:rPr>
          <w:rFonts w:cstheme="minorHAnsi"/>
          <w:sz w:val="22"/>
        </w:rPr>
        <w:t xml:space="preserve">Apetyt kredytobiorców może </w:t>
      </w:r>
      <w:r w:rsidR="001465D1" w:rsidRPr="001465D1">
        <w:rPr>
          <w:rFonts w:cstheme="minorHAnsi"/>
          <w:sz w:val="22"/>
        </w:rPr>
        <w:t xml:space="preserve">jednak </w:t>
      </w:r>
      <w:r w:rsidR="009549FD" w:rsidRPr="001465D1">
        <w:rPr>
          <w:rFonts w:cstheme="minorHAnsi"/>
          <w:sz w:val="22"/>
        </w:rPr>
        <w:t xml:space="preserve">chłodzić </w:t>
      </w:r>
      <w:r w:rsidRPr="001465D1">
        <w:rPr>
          <w:rFonts w:cstheme="minorHAnsi"/>
          <w:sz w:val="22"/>
        </w:rPr>
        <w:t>ostrożnościowa polityka banków</w:t>
      </w:r>
      <w:r w:rsidR="001465D1" w:rsidRPr="001465D1">
        <w:rPr>
          <w:rFonts w:cstheme="minorHAnsi"/>
          <w:sz w:val="22"/>
        </w:rPr>
        <w:t xml:space="preserve"> co do finansowania nowych klientów.</w:t>
      </w:r>
      <w:r w:rsidR="009549FD" w:rsidRPr="001465D1">
        <w:rPr>
          <w:rFonts w:cstheme="minorHAnsi"/>
          <w:sz w:val="22"/>
        </w:rPr>
        <w:t xml:space="preserve"> Banki bowiem nadal </w:t>
      </w:r>
      <w:r w:rsidRPr="001465D1">
        <w:rPr>
          <w:sz w:val="22"/>
        </w:rPr>
        <w:t>chętniej finansują własn</w:t>
      </w:r>
      <w:r w:rsidR="001465D1" w:rsidRPr="001465D1">
        <w:rPr>
          <w:sz w:val="22"/>
        </w:rPr>
        <w:t>ych</w:t>
      </w:r>
      <w:r w:rsidRPr="001465D1">
        <w:rPr>
          <w:sz w:val="22"/>
        </w:rPr>
        <w:t xml:space="preserve"> klientów</w:t>
      </w:r>
      <w:r w:rsidR="001465D1" w:rsidRPr="001465D1">
        <w:rPr>
          <w:sz w:val="22"/>
        </w:rPr>
        <w:t>,</w:t>
      </w:r>
      <w:r w:rsidR="001465D1" w:rsidRPr="001465D1">
        <w:rPr>
          <w:rFonts w:cstheme="minorHAnsi"/>
          <w:sz w:val="22"/>
        </w:rPr>
        <w:t xml:space="preserve"> ze znaną bankowi historią kredytową oraz sprawdzoną wiarygodnością płatniczą. </w:t>
      </w:r>
      <w:r w:rsidRPr="001465D1">
        <w:rPr>
          <w:rFonts w:cstheme="minorHAnsi"/>
          <w:sz w:val="22"/>
        </w:rPr>
        <w:t xml:space="preserve">Biorąc </w:t>
      </w:r>
      <w:r w:rsidR="00612709" w:rsidRPr="001465D1">
        <w:rPr>
          <w:rFonts w:cstheme="minorHAnsi"/>
          <w:sz w:val="22"/>
        </w:rPr>
        <w:t xml:space="preserve">pod uwagę </w:t>
      </w:r>
      <w:r w:rsidRPr="001465D1">
        <w:rPr>
          <w:rFonts w:cstheme="minorHAnsi"/>
          <w:sz w:val="22"/>
        </w:rPr>
        <w:t xml:space="preserve">te czynniki </w:t>
      </w:r>
      <w:r w:rsidR="002D2105">
        <w:rPr>
          <w:rFonts w:cstheme="minorHAnsi"/>
          <w:sz w:val="22"/>
        </w:rPr>
        <w:t xml:space="preserve">analitycy </w:t>
      </w:r>
      <w:r w:rsidR="00B973AE">
        <w:rPr>
          <w:rFonts w:cstheme="minorHAnsi"/>
          <w:sz w:val="22"/>
        </w:rPr>
        <w:t xml:space="preserve">BIK </w:t>
      </w:r>
      <w:r w:rsidR="00180B92">
        <w:rPr>
          <w:sz w:val="22"/>
        </w:rPr>
        <w:t>prognozuj</w:t>
      </w:r>
      <w:r w:rsidR="002D2105">
        <w:rPr>
          <w:sz w:val="22"/>
        </w:rPr>
        <w:t>ą</w:t>
      </w:r>
      <w:r w:rsidR="00180B92" w:rsidRPr="001465D1">
        <w:rPr>
          <w:sz w:val="22"/>
        </w:rPr>
        <w:t xml:space="preserve"> </w:t>
      </w:r>
      <w:r w:rsidR="00180B92">
        <w:rPr>
          <w:sz w:val="22"/>
        </w:rPr>
        <w:t xml:space="preserve">jednak </w:t>
      </w:r>
      <w:r w:rsidR="009549FD" w:rsidRPr="001465D1">
        <w:rPr>
          <w:sz w:val="22"/>
        </w:rPr>
        <w:t xml:space="preserve">wzrost popytu ze strony kredytobiorców i </w:t>
      </w:r>
      <w:r w:rsidR="00612709">
        <w:rPr>
          <w:sz w:val="22"/>
        </w:rPr>
        <w:t>szacuj</w:t>
      </w:r>
      <w:r w:rsidR="002471A8">
        <w:rPr>
          <w:sz w:val="22"/>
        </w:rPr>
        <w:t>ą</w:t>
      </w:r>
      <w:r w:rsidR="00612709">
        <w:rPr>
          <w:sz w:val="22"/>
        </w:rPr>
        <w:t xml:space="preserve"> wzrost </w:t>
      </w:r>
      <w:r w:rsidR="009549FD" w:rsidRPr="001465D1">
        <w:rPr>
          <w:sz w:val="22"/>
        </w:rPr>
        <w:t xml:space="preserve">akcji kredytowej na poziomie </w:t>
      </w:r>
      <w:r w:rsidR="00612709" w:rsidRPr="00612709">
        <w:rPr>
          <w:sz w:val="22"/>
        </w:rPr>
        <w:t>o 10,3% wyższym niż w 2022 r., tj. na kwotę 71,7 mld zł</w:t>
      </w:r>
      <w:r w:rsidR="002D2105">
        <w:rPr>
          <w:sz w:val="22"/>
        </w:rPr>
        <w:t>.</w:t>
      </w:r>
    </w:p>
    <w:p w14:paraId="031B5037" w14:textId="77777777" w:rsidR="00612709" w:rsidRDefault="00612709" w:rsidP="00612709">
      <w:pPr>
        <w:jc w:val="both"/>
        <w:rPr>
          <w:sz w:val="22"/>
        </w:rPr>
      </w:pPr>
    </w:p>
    <w:p w14:paraId="18EA7739" w14:textId="46DB76B0" w:rsidR="00AD1BF9" w:rsidRDefault="00AD1BF9" w:rsidP="00612709">
      <w:p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Zakładając</w:t>
      </w:r>
      <w:r w:rsidRPr="00547BB4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 xml:space="preserve">dalszy </w:t>
      </w:r>
      <w:r w:rsidRPr="00B202C2">
        <w:rPr>
          <w:rFonts w:cstheme="minorHAnsi"/>
          <w:b/>
          <w:bCs/>
          <w:sz w:val="22"/>
        </w:rPr>
        <w:t>rozwój płatności odroczonych</w:t>
      </w:r>
      <w:r w:rsidRPr="00547BB4">
        <w:rPr>
          <w:rFonts w:cstheme="minorHAnsi"/>
          <w:sz w:val="22"/>
        </w:rPr>
        <w:t xml:space="preserve"> </w:t>
      </w:r>
      <w:r w:rsidR="001465D1">
        <w:rPr>
          <w:rFonts w:cstheme="minorHAnsi"/>
          <w:sz w:val="22"/>
        </w:rPr>
        <w:t>za zakupy w sklepach internetowych</w:t>
      </w:r>
      <w:r w:rsidR="00612709">
        <w:rPr>
          <w:rFonts w:cstheme="minorHAnsi"/>
          <w:sz w:val="22"/>
        </w:rPr>
        <w:t xml:space="preserve">, </w:t>
      </w:r>
      <w:r w:rsidR="00612709" w:rsidRPr="00612709">
        <w:rPr>
          <w:rFonts w:cstheme="minorHAnsi"/>
          <w:sz w:val="22"/>
        </w:rPr>
        <w:t xml:space="preserve">przekształcanych po okresie </w:t>
      </w:r>
      <w:proofErr w:type="spellStart"/>
      <w:r w:rsidR="00612709" w:rsidRPr="00612709">
        <w:rPr>
          <w:rFonts w:cstheme="minorHAnsi"/>
          <w:sz w:val="22"/>
        </w:rPr>
        <w:t>bezodsetkowym</w:t>
      </w:r>
      <w:proofErr w:type="spellEnd"/>
      <w:r w:rsidR="00612709" w:rsidRPr="00612709">
        <w:rPr>
          <w:rFonts w:cstheme="minorHAnsi"/>
          <w:sz w:val="22"/>
        </w:rPr>
        <w:t xml:space="preserve"> w kredyty ratalne </w:t>
      </w:r>
      <w:r w:rsidRPr="00547BB4">
        <w:rPr>
          <w:rFonts w:cstheme="minorHAnsi"/>
          <w:sz w:val="22"/>
        </w:rPr>
        <w:t xml:space="preserve">oraz </w:t>
      </w:r>
      <w:r>
        <w:rPr>
          <w:rFonts w:cstheme="minorHAnsi"/>
          <w:sz w:val="22"/>
        </w:rPr>
        <w:t xml:space="preserve">utrzymanie ofert </w:t>
      </w:r>
      <w:r w:rsidR="001465D1">
        <w:rPr>
          <w:sz w:val="22"/>
        </w:rPr>
        <w:t xml:space="preserve">sklepów stacjonarnych </w:t>
      </w:r>
      <w:r w:rsidR="001465D1">
        <w:rPr>
          <w:rFonts w:cstheme="minorHAnsi"/>
          <w:sz w:val="22"/>
        </w:rPr>
        <w:t xml:space="preserve">na zero procent, </w:t>
      </w:r>
      <w:r w:rsidR="002471A8" w:rsidRPr="002471A8">
        <w:rPr>
          <w:rFonts w:cstheme="minorHAnsi"/>
          <w:b/>
          <w:bCs/>
          <w:sz w:val="22"/>
        </w:rPr>
        <w:t>analitycy</w:t>
      </w:r>
      <w:r w:rsidR="002471A8">
        <w:rPr>
          <w:rFonts w:cstheme="minorHAnsi"/>
          <w:sz w:val="22"/>
        </w:rPr>
        <w:t xml:space="preserve"> </w:t>
      </w:r>
      <w:r w:rsidR="003F0CFF" w:rsidRPr="00B202C2">
        <w:rPr>
          <w:rFonts w:cstheme="minorHAnsi"/>
          <w:b/>
          <w:bCs/>
          <w:sz w:val="22"/>
        </w:rPr>
        <w:t xml:space="preserve">BIK </w:t>
      </w:r>
      <w:r w:rsidR="00180B92" w:rsidRPr="00B202C2">
        <w:rPr>
          <w:rFonts w:cstheme="minorHAnsi"/>
          <w:b/>
          <w:bCs/>
          <w:sz w:val="22"/>
        </w:rPr>
        <w:t>podnos</w:t>
      </w:r>
      <w:r w:rsidR="002471A8">
        <w:rPr>
          <w:rFonts w:cstheme="minorHAnsi"/>
          <w:b/>
          <w:bCs/>
          <w:sz w:val="22"/>
        </w:rPr>
        <w:t>zą</w:t>
      </w:r>
      <w:r w:rsidR="001465D1" w:rsidRPr="00B202C2">
        <w:rPr>
          <w:rFonts w:cstheme="minorHAnsi"/>
          <w:b/>
          <w:bCs/>
          <w:sz w:val="22"/>
        </w:rPr>
        <w:t xml:space="preserve"> prognozę dla kredytów ratalnych</w:t>
      </w:r>
      <w:r w:rsidR="001465D1">
        <w:rPr>
          <w:rFonts w:cstheme="minorHAnsi"/>
          <w:sz w:val="22"/>
        </w:rPr>
        <w:t xml:space="preserve">. W </w:t>
      </w:r>
      <w:r w:rsidRPr="00547BB4">
        <w:rPr>
          <w:rFonts w:cstheme="minorHAnsi"/>
          <w:sz w:val="22"/>
        </w:rPr>
        <w:t xml:space="preserve">2023 r. wartość udzielonych kredytów ratalnych </w:t>
      </w:r>
      <w:r w:rsidR="001465D1">
        <w:rPr>
          <w:rFonts w:cstheme="minorHAnsi"/>
          <w:sz w:val="22"/>
        </w:rPr>
        <w:t>szacuje na</w:t>
      </w:r>
      <w:r>
        <w:rPr>
          <w:rFonts w:cstheme="minorHAnsi"/>
          <w:sz w:val="22"/>
        </w:rPr>
        <w:t xml:space="preserve"> </w:t>
      </w:r>
      <w:r w:rsidR="001465D1">
        <w:rPr>
          <w:rFonts w:cstheme="minorHAnsi"/>
          <w:sz w:val="22"/>
        </w:rPr>
        <w:t>21,1</w:t>
      </w:r>
      <w:r>
        <w:rPr>
          <w:rFonts w:cstheme="minorHAnsi"/>
          <w:sz w:val="22"/>
        </w:rPr>
        <w:t xml:space="preserve"> mld zł, </w:t>
      </w:r>
      <w:r w:rsidR="003F0CFF">
        <w:rPr>
          <w:rFonts w:cstheme="minorHAnsi"/>
          <w:sz w:val="22"/>
        </w:rPr>
        <w:t xml:space="preserve">tj. </w:t>
      </w:r>
      <w:r w:rsidR="001465D1">
        <w:rPr>
          <w:rFonts w:cstheme="minorHAnsi"/>
          <w:sz w:val="22"/>
        </w:rPr>
        <w:t xml:space="preserve">16,6% </w:t>
      </w:r>
      <w:r>
        <w:rPr>
          <w:rFonts w:cstheme="minorHAnsi"/>
          <w:sz w:val="22"/>
        </w:rPr>
        <w:t xml:space="preserve">więcej </w:t>
      </w:r>
      <w:r w:rsidRPr="00547BB4">
        <w:rPr>
          <w:rFonts w:cstheme="minorHAnsi"/>
          <w:sz w:val="22"/>
        </w:rPr>
        <w:t xml:space="preserve">w </w:t>
      </w:r>
      <w:r>
        <w:rPr>
          <w:rFonts w:cstheme="minorHAnsi"/>
          <w:sz w:val="22"/>
        </w:rPr>
        <w:t>relacji</w:t>
      </w:r>
      <w:r w:rsidRPr="00547BB4">
        <w:rPr>
          <w:rFonts w:cstheme="minorHAnsi"/>
          <w:sz w:val="22"/>
        </w:rPr>
        <w:t xml:space="preserve"> do ubiegłego roku</w:t>
      </w:r>
      <w:r w:rsidR="003F0CFF">
        <w:rPr>
          <w:rFonts w:cstheme="minorHAnsi"/>
          <w:sz w:val="22"/>
        </w:rPr>
        <w:t>.</w:t>
      </w:r>
      <w:r>
        <w:rPr>
          <w:rFonts w:cstheme="minorHAnsi"/>
          <w:sz w:val="22"/>
        </w:rPr>
        <w:t xml:space="preserve"> </w:t>
      </w:r>
    </w:p>
    <w:p w14:paraId="4DBBF9AA" w14:textId="77777777" w:rsidR="00612709" w:rsidRDefault="00612709" w:rsidP="001D3DE7">
      <w:pPr>
        <w:jc w:val="both"/>
        <w:rPr>
          <w:rFonts w:cstheme="minorHAnsi"/>
          <w:sz w:val="22"/>
        </w:rPr>
      </w:pPr>
    </w:p>
    <w:p w14:paraId="27C22DCB" w14:textId="5BEA7CA0" w:rsidR="00920982" w:rsidRDefault="00612709" w:rsidP="00612709">
      <w:pPr>
        <w:jc w:val="center"/>
        <w:rPr>
          <w:rFonts w:cstheme="minorHAnsi"/>
          <w:sz w:val="22"/>
        </w:rPr>
      </w:pPr>
      <w:r>
        <w:rPr>
          <w:rFonts w:cstheme="minorHAnsi"/>
          <w:sz w:val="22"/>
        </w:rPr>
        <w:t>***</w:t>
      </w:r>
    </w:p>
    <w:p w14:paraId="7690AB7A" w14:textId="77777777" w:rsidR="00612709" w:rsidRDefault="00612709" w:rsidP="00612709">
      <w:pPr>
        <w:jc w:val="both"/>
        <w:rPr>
          <w:sz w:val="22"/>
        </w:rPr>
      </w:pPr>
      <w:r w:rsidRPr="0079419B">
        <w:rPr>
          <w:sz w:val="22"/>
        </w:rPr>
        <w:t xml:space="preserve">Aktualne informacje o rynku kredytowym publikowane są w sekcji </w:t>
      </w:r>
      <w:hyperlink r:id="rId9" w:history="1">
        <w:r w:rsidRPr="0079419B">
          <w:rPr>
            <w:rStyle w:val="Hipercze"/>
            <w:sz w:val="22"/>
          </w:rPr>
          <w:t>Analizy rynkowe BIK</w:t>
        </w:r>
      </w:hyperlink>
      <w:r w:rsidRPr="0079419B">
        <w:rPr>
          <w:sz w:val="22"/>
        </w:rPr>
        <w:t xml:space="preserve">. </w:t>
      </w:r>
    </w:p>
    <w:p w14:paraId="2CECD6B1" w14:textId="77777777" w:rsidR="006946B3" w:rsidRDefault="006946B3" w:rsidP="00612709">
      <w:pPr>
        <w:jc w:val="both"/>
        <w:rPr>
          <w:sz w:val="22"/>
        </w:rPr>
      </w:pPr>
    </w:p>
    <w:p w14:paraId="174AC284" w14:textId="55052A6B" w:rsidR="006946B3" w:rsidRPr="006946B3" w:rsidRDefault="006946B3" w:rsidP="00612709">
      <w:pPr>
        <w:jc w:val="both"/>
        <w:rPr>
          <w:szCs w:val="20"/>
        </w:rPr>
      </w:pPr>
      <w:r w:rsidRPr="006946B3">
        <w:rPr>
          <w:szCs w:val="20"/>
        </w:rPr>
        <w:t xml:space="preserve">Źródło: Badanie opinii, pt. </w:t>
      </w:r>
      <w:r w:rsidR="008F7562">
        <w:rPr>
          <w:szCs w:val="20"/>
        </w:rPr>
        <w:t>„</w:t>
      </w:r>
      <w:r w:rsidRPr="006946B3">
        <w:rPr>
          <w:szCs w:val="20"/>
        </w:rPr>
        <w:t>Zobowiązania kredytowe Polaków</w:t>
      </w:r>
      <w:r w:rsidR="008F7562">
        <w:rPr>
          <w:szCs w:val="20"/>
        </w:rPr>
        <w:t>”</w:t>
      </w:r>
      <w:r w:rsidRPr="006946B3">
        <w:rPr>
          <w:szCs w:val="20"/>
        </w:rPr>
        <w:t>, zrealizowane na zlecenie BIK przez Quality Watch, lipiec 2023 r.</w:t>
      </w:r>
      <w:r>
        <w:rPr>
          <w:szCs w:val="20"/>
        </w:rPr>
        <w:t xml:space="preserve">, CAWI, N 1085. </w:t>
      </w:r>
    </w:p>
    <w:p w14:paraId="270F5996" w14:textId="77777777" w:rsidR="00612709" w:rsidRPr="00263BB5" w:rsidRDefault="00612709" w:rsidP="00612709">
      <w:pPr>
        <w:jc w:val="both"/>
        <w:rPr>
          <w:sz w:val="22"/>
        </w:rPr>
      </w:pPr>
    </w:p>
    <w:p w14:paraId="12ECA97C" w14:textId="77777777" w:rsidR="00612709" w:rsidRPr="00D61CB3" w:rsidRDefault="00612709" w:rsidP="00612709">
      <w:pPr>
        <w:spacing w:line="240" w:lineRule="auto"/>
        <w:jc w:val="both"/>
        <w:rPr>
          <w:rFonts w:cstheme="minorHAnsi"/>
          <w:color w:val="595959"/>
          <w:sz w:val="16"/>
          <w:szCs w:val="16"/>
        </w:rPr>
      </w:pPr>
      <w:r w:rsidRPr="00D61CB3">
        <w:rPr>
          <w:rFonts w:cstheme="minorHAnsi"/>
          <w:b/>
          <w:bCs/>
          <w:color w:val="595959"/>
          <w:sz w:val="16"/>
          <w:szCs w:val="16"/>
        </w:rPr>
        <w:t xml:space="preserve">Biuro Informacji Kredytowej S.A. </w:t>
      </w:r>
      <w:r w:rsidRPr="00D61CB3">
        <w:rPr>
          <w:rFonts w:cstheme="minorHAnsi"/>
          <w:color w:val="595959"/>
          <w:sz w:val="16"/>
          <w:szCs w:val="16"/>
        </w:rPr>
        <w:t xml:space="preserve">wspiera bezpieczeństwo </w:t>
      </w:r>
      <w:bookmarkStart w:id="2" w:name="_Hlk103870080"/>
      <w:r w:rsidRPr="00D61CB3">
        <w:rPr>
          <w:rFonts w:cstheme="minorHAnsi"/>
          <w:color w:val="595959"/>
          <w:sz w:val="16"/>
          <w:szCs w:val="16"/>
        </w:rPr>
        <w:t>instytucji finansowych i ich klientów</w:t>
      </w:r>
      <w:bookmarkEnd w:id="2"/>
      <w:r w:rsidRPr="00D61CB3">
        <w:rPr>
          <w:rFonts w:cstheme="minorHAnsi"/>
          <w:color w:val="595959"/>
          <w:sz w:val="16"/>
          <w:szCs w:val="16"/>
        </w:rPr>
        <w:t xml:space="preserve">, udostępniając bezpieczny system wymiany informacji kredytowych i gospodarczych oraz nowatorskie rozwiązania </w:t>
      </w:r>
      <w:proofErr w:type="spellStart"/>
      <w:r w:rsidRPr="00D61CB3">
        <w:rPr>
          <w:rFonts w:cstheme="minorHAnsi"/>
          <w:color w:val="595959"/>
          <w:sz w:val="16"/>
          <w:szCs w:val="16"/>
        </w:rPr>
        <w:t>antyfraudowe</w:t>
      </w:r>
      <w:proofErr w:type="spellEnd"/>
      <w:r w:rsidRPr="00D61CB3">
        <w:rPr>
          <w:bCs/>
          <w:color w:val="595959"/>
          <w:sz w:val="16"/>
          <w:szCs w:val="16"/>
        </w:rPr>
        <w:t>.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Jako jedyne biuro kredytowe w Polsce, poprzez internetowy portal </w:t>
      </w:r>
      <w:hyperlink r:id="rId10" w:history="1">
        <w:r w:rsidRPr="00D61CB3">
          <w:rPr>
            <w:rStyle w:val="Hipercze"/>
            <w:rFonts w:cstheme="minorHAnsi"/>
            <w:bCs/>
            <w:sz w:val="16"/>
            <w:szCs w:val="16"/>
          </w:rPr>
          <w:t>www.bik.pl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oraz aplikację mobilną </w:t>
      </w:r>
      <w:hyperlink r:id="rId11" w:history="1">
        <w:r w:rsidRPr="00D61CB3">
          <w:rPr>
            <w:rStyle w:val="Hipercze"/>
            <w:rFonts w:cstheme="minorHAnsi"/>
            <w:bCs/>
            <w:sz w:val="16"/>
            <w:szCs w:val="16"/>
          </w:rPr>
          <w:t>Mój BIK</w:t>
        </w:r>
      </w:hyperlink>
      <w:r w:rsidRPr="00D61CB3">
        <w:rPr>
          <w:rStyle w:val="Hipercze"/>
          <w:rFonts w:cstheme="minorHAnsi"/>
          <w:bCs/>
          <w:sz w:val="16"/>
          <w:szCs w:val="16"/>
        </w:rPr>
        <w:t>,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umożliwia klientom indywidualnym monitorowanie własnej historii kredytowej, a dzięki </w:t>
      </w:r>
      <w:hyperlink r:id="rId12" w:history="1">
        <w:r w:rsidRPr="00D61CB3">
          <w:rPr>
            <w:rStyle w:val="Hipercze"/>
            <w:rFonts w:cstheme="minorHAnsi"/>
            <w:bCs/>
            <w:sz w:val="16"/>
            <w:szCs w:val="16"/>
          </w:rPr>
          <w:t>Alertom BIK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ostrzega przed każdą próbą wyłudzenia kredytu. Systemowe rozwiązania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antyfraudowe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w portfolio BIK to: Platforma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Antyfraudowa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BIK, Platforma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Blockchain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, Platforma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Cyber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Fraud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Detection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oraz Platforma Biometrii Behawioralnej. BIK aktywnie wspiera innowacje, stąd idea powołania p</w:t>
      </w:r>
      <w:r w:rsidRPr="00D61CB3">
        <w:rPr>
          <w:rFonts w:cstheme="minorHAnsi"/>
          <w:color w:val="595959"/>
          <w:sz w:val="16"/>
          <w:szCs w:val="16"/>
        </w:rPr>
        <w:t xml:space="preserve">iaskownicy technologicznej </w:t>
      </w:r>
      <w:hyperlink r:id="rId13" w:history="1">
        <w:r w:rsidRPr="00D61CB3">
          <w:rPr>
            <w:rStyle w:val="Hipercze"/>
            <w:rFonts w:cstheme="minorHAnsi"/>
            <w:sz w:val="16"/>
            <w:szCs w:val="16"/>
          </w:rPr>
          <w:t>BIK HUB</w:t>
        </w:r>
      </w:hyperlink>
      <w:r w:rsidRPr="00D61CB3">
        <w:rPr>
          <w:rFonts w:cstheme="minorHAnsi"/>
          <w:color w:val="595959"/>
          <w:sz w:val="16"/>
          <w:szCs w:val="16"/>
        </w:rPr>
        <w:t xml:space="preserve">, adresowanej do przedsiębiorców z sektora finansów, a także innych segmentów rynku, startupów, </w:t>
      </w:r>
      <w:proofErr w:type="spellStart"/>
      <w:r w:rsidRPr="00D61CB3">
        <w:rPr>
          <w:rFonts w:cstheme="minorHAnsi"/>
          <w:color w:val="595959"/>
          <w:sz w:val="16"/>
          <w:szCs w:val="16"/>
        </w:rPr>
        <w:t>fintechów</w:t>
      </w:r>
      <w:proofErr w:type="spellEnd"/>
      <w:r w:rsidRPr="00D61CB3">
        <w:rPr>
          <w:rFonts w:cstheme="minorHAnsi"/>
          <w:color w:val="595959"/>
          <w:sz w:val="16"/>
          <w:szCs w:val="16"/>
        </w:rPr>
        <w:t xml:space="preserve">. 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BIK gromadzi i udostępnia dane o historii kredytowej klientów indywidualnych i przedsiębiorców z całego rynku kredytowego, oraz dane z obszaru pożyczek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pozabankowych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>. Baza BIK zawiera informacje o 1</w:t>
      </w:r>
      <w:r>
        <w:rPr>
          <w:rFonts w:cstheme="minorHAnsi"/>
          <w:bCs/>
          <w:color w:val="595959"/>
          <w:sz w:val="16"/>
          <w:szCs w:val="16"/>
        </w:rPr>
        <w:t>77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mln rachunków należących do 25 mln klientów indywidualnych oraz </w:t>
      </w:r>
      <w:r>
        <w:rPr>
          <w:rFonts w:cstheme="minorHAnsi"/>
          <w:bCs/>
          <w:color w:val="595959"/>
          <w:sz w:val="16"/>
          <w:szCs w:val="16"/>
        </w:rPr>
        <w:t>5,5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mln firm, w tym o </w:t>
      </w:r>
      <w:r>
        <w:rPr>
          <w:rFonts w:cstheme="minorHAnsi"/>
          <w:bCs/>
          <w:color w:val="595959"/>
          <w:sz w:val="16"/>
          <w:szCs w:val="16"/>
        </w:rPr>
        <w:t>1,8 mln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mikroprzedsiębiorców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prowadzących działalność gospodarczą. BIK posiada najwyższe kompetencje w zakresie </w:t>
      </w:r>
      <w:hyperlink r:id="rId14" w:history="1">
        <w:r w:rsidRPr="00D61CB3">
          <w:rPr>
            <w:rStyle w:val="Hipercze"/>
            <w:rFonts w:cstheme="minorHAnsi"/>
            <w:bCs/>
            <w:sz w:val="16"/>
            <w:szCs w:val="16"/>
          </w:rPr>
          <w:t>Analiz rynkowych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i nowoczesnych technologii. Łączy cechy nowoczesnej firmy technologicznej z </w:t>
      </w:r>
      <w:bookmarkStart w:id="3" w:name="_Hlk103869313"/>
      <w:r w:rsidRPr="00D61CB3">
        <w:rPr>
          <w:rFonts w:cstheme="minorHAnsi"/>
          <w:bCs/>
          <w:color w:val="595959"/>
          <w:sz w:val="16"/>
          <w:szCs w:val="16"/>
        </w:rPr>
        <w:t>atrybutami instytucji zaufania publicznego</w:t>
      </w:r>
      <w:bookmarkEnd w:id="3"/>
      <w:r w:rsidRPr="00D61CB3">
        <w:rPr>
          <w:rFonts w:cstheme="minorHAnsi"/>
          <w:bCs/>
          <w:color w:val="595959"/>
          <w:sz w:val="16"/>
          <w:szCs w:val="16"/>
        </w:rPr>
        <w:t>. Od kilkunastu lat BIK jest aktywnym członkiem międzynarodowego Stowarzyszenia ACCIS, zrzeszającego największą grupę rejestrów kredytowych na świeci</w:t>
      </w:r>
      <w:r>
        <w:rPr>
          <w:rFonts w:cstheme="minorHAnsi"/>
          <w:bCs/>
          <w:color w:val="595959"/>
          <w:sz w:val="16"/>
          <w:szCs w:val="16"/>
        </w:rPr>
        <w:t xml:space="preserve">e. </w:t>
      </w:r>
    </w:p>
    <w:p w14:paraId="1C2EB34B" w14:textId="77777777" w:rsidR="00612709" w:rsidRDefault="00612709" w:rsidP="00612709">
      <w:pPr>
        <w:spacing w:line="240" w:lineRule="auto"/>
        <w:jc w:val="both"/>
        <w:rPr>
          <w:b/>
          <w:bCs/>
          <w:color w:val="595959"/>
          <w:sz w:val="16"/>
          <w:szCs w:val="16"/>
        </w:rPr>
      </w:pPr>
    </w:p>
    <w:p w14:paraId="46A11565" w14:textId="77777777" w:rsidR="00612709" w:rsidRPr="00C06041" w:rsidRDefault="00612709" w:rsidP="00612709">
      <w:pPr>
        <w:spacing w:line="240" w:lineRule="auto"/>
        <w:jc w:val="both"/>
        <w:rPr>
          <w:bCs/>
          <w:color w:val="595959"/>
          <w:sz w:val="16"/>
          <w:szCs w:val="16"/>
        </w:rPr>
      </w:pPr>
      <w:r w:rsidRPr="00C06041">
        <w:rPr>
          <w:bCs/>
          <w:color w:val="595959"/>
          <w:sz w:val="16"/>
          <w:szCs w:val="16"/>
        </w:rPr>
        <w:lastRenderedPageBreak/>
        <w:t xml:space="preserve"> </w:t>
      </w:r>
    </w:p>
    <w:p w14:paraId="260D6ED5" w14:textId="77777777" w:rsidR="00612709" w:rsidRPr="007F7455" w:rsidRDefault="00612709" w:rsidP="00612709">
      <w:pPr>
        <w:rPr>
          <w:rFonts w:cstheme="minorHAnsi"/>
          <w:b/>
          <w:color w:val="595959"/>
          <w:sz w:val="16"/>
          <w:szCs w:val="16"/>
        </w:rPr>
      </w:pPr>
      <w:r w:rsidRPr="007F7455">
        <w:rPr>
          <w:rFonts w:cstheme="minorHAnsi"/>
          <w:b/>
          <w:color w:val="595959"/>
          <w:sz w:val="16"/>
          <w:szCs w:val="16"/>
        </w:rPr>
        <w:t>Kontakt dla mediów:</w:t>
      </w:r>
    </w:p>
    <w:p w14:paraId="6C61AA82" w14:textId="77777777" w:rsidR="00612709" w:rsidRPr="007F7455" w:rsidRDefault="00612709" w:rsidP="00612709">
      <w:pPr>
        <w:rPr>
          <w:rFonts w:cstheme="minorHAnsi"/>
          <w:bCs/>
          <w:color w:val="595959"/>
          <w:sz w:val="16"/>
          <w:szCs w:val="16"/>
        </w:rPr>
      </w:pPr>
      <w:r w:rsidRPr="007F7455">
        <w:rPr>
          <w:rFonts w:cstheme="minorHAnsi"/>
          <w:bCs/>
          <w:color w:val="595959"/>
          <w:sz w:val="16"/>
          <w:szCs w:val="16"/>
        </w:rPr>
        <w:t>Aleksandra Stankiewicz-Billewicz</w:t>
      </w:r>
    </w:p>
    <w:p w14:paraId="79D721DA" w14:textId="77777777" w:rsidR="00612709" w:rsidRPr="007F7455" w:rsidRDefault="00612709" w:rsidP="00612709">
      <w:pPr>
        <w:rPr>
          <w:rFonts w:cstheme="minorHAnsi"/>
          <w:bCs/>
          <w:color w:val="595959"/>
          <w:sz w:val="16"/>
          <w:szCs w:val="16"/>
        </w:rPr>
      </w:pPr>
      <w:r w:rsidRPr="007F7455">
        <w:rPr>
          <w:rFonts w:cstheme="minorHAnsi"/>
          <w:bCs/>
          <w:color w:val="595959"/>
          <w:sz w:val="16"/>
          <w:szCs w:val="16"/>
        </w:rPr>
        <w:t xml:space="preserve">Biuro prasowe BIK </w:t>
      </w:r>
    </w:p>
    <w:p w14:paraId="4D3AA64D" w14:textId="77777777" w:rsidR="00612709" w:rsidRPr="007F7455" w:rsidRDefault="00612709" w:rsidP="00612709">
      <w:pPr>
        <w:rPr>
          <w:rFonts w:cstheme="minorHAnsi"/>
          <w:bCs/>
          <w:color w:val="595959"/>
          <w:sz w:val="16"/>
          <w:szCs w:val="16"/>
        </w:rPr>
      </w:pPr>
      <w:r w:rsidRPr="007F7455">
        <w:rPr>
          <w:rFonts w:cstheme="minorHAnsi"/>
          <w:bCs/>
          <w:color w:val="595959"/>
          <w:sz w:val="16"/>
          <w:szCs w:val="16"/>
        </w:rPr>
        <w:t>kom.:  + 48 512 164 131</w:t>
      </w:r>
    </w:p>
    <w:p w14:paraId="5E0AA66C" w14:textId="77777777" w:rsidR="00612709" w:rsidRPr="007F7455" w:rsidRDefault="00000000" w:rsidP="00612709">
      <w:pPr>
        <w:rPr>
          <w:rFonts w:cstheme="minorHAnsi"/>
          <w:bCs/>
          <w:color w:val="595959"/>
          <w:sz w:val="16"/>
          <w:szCs w:val="16"/>
        </w:rPr>
      </w:pPr>
      <w:hyperlink r:id="rId15" w:history="1">
        <w:r w:rsidR="00612709" w:rsidRPr="004E4DE0">
          <w:rPr>
            <w:rStyle w:val="Hipercze"/>
            <w:rFonts w:cstheme="minorHAnsi"/>
            <w:bCs/>
            <w:sz w:val="16"/>
            <w:szCs w:val="16"/>
          </w:rPr>
          <w:t>aleksandra.stankiewicz-billewicz@bik.pl</w:t>
        </w:r>
      </w:hyperlink>
      <w:r w:rsidR="00612709">
        <w:rPr>
          <w:rFonts w:cstheme="minorHAnsi"/>
          <w:bCs/>
          <w:color w:val="595959"/>
          <w:sz w:val="16"/>
          <w:szCs w:val="16"/>
        </w:rPr>
        <w:t xml:space="preserve"> </w:t>
      </w:r>
      <w:r w:rsidR="00612709" w:rsidRPr="007F7455">
        <w:rPr>
          <w:rFonts w:cstheme="minorHAnsi"/>
          <w:bCs/>
          <w:color w:val="595959"/>
          <w:sz w:val="16"/>
          <w:szCs w:val="16"/>
        </w:rPr>
        <w:t xml:space="preserve"> </w:t>
      </w:r>
    </w:p>
    <w:bookmarkEnd w:id="0"/>
    <w:p w14:paraId="560EDD88" w14:textId="77777777" w:rsidR="001465D1" w:rsidRDefault="001465D1" w:rsidP="001D3DE7">
      <w:pPr>
        <w:jc w:val="both"/>
        <w:rPr>
          <w:rFonts w:cstheme="minorHAnsi"/>
          <w:sz w:val="22"/>
        </w:rPr>
      </w:pPr>
    </w:p>
    <w:sectPr w:rsidR="001465D1" w:rsidSect="00B96E78">
      <w:headerReference w:type="even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7" w:right="1133" w:bottom="1417" w:left="1417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73D7E" w14:textId="77777777" w:rsidR="00E06BB5" w:rsidRDefault="00E06BB5" w:rsidP="00866834">
      <w:r>
        <w:separator/>
      </w:r>
    </w:p>
    <w:p w14:paraId="7EAEE8F4" w14:textId="77777777" w:rsidR="00E06BB5" w:rsidRDefault="00E06BB5"/>
  </w:endnote>
  <w:endnote w:type="continuationSeparator" w:id="0">
    <w:p w14:paraId="0A04F2CE" w14:textId="77777777" w:rsidR="00E06BB5" w:rsidRDefault="00E06BB5" w:rsidP="00866834">
      <w:r>
        <w:continuationSeparator/>
      </w:r>
    </w:p>
    <w:p w14:paraId="7AE3866C" w14:textId="77777777" w:rsidR="00E06BB5" w:rsidRDefault="00E06B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280C" w14:textId="77777777" w:rsidR="00CE03AC" w:rsidRDefault="00CE03AC"/>
  <w:p w14:paraId="742445CC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4DDC" w14:textId="2F913D2A" w:rsidR="00996627" w:rsidRPr="00725618" w:rsidRDefault="00996627" w:rsidP="00996627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7CE0507" wp14:editId="71E445B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1" name="MSIPCMae2e4f7784f71ceaa8fba6f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65B25C" w14:textId="77777777" w:rsidR="00996627" w:rsidRPr="00162D9C" w:rsidRDefault="00996627" w:rsidP="00996627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162D9C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E0507" id="_x0000_t202" coordsize="21600,21600" o:spt="202" path="m,l,21600r21600,l21600,xe">
              <v:stroke joinstyle="miter"/>
              <v:path gradientshapeok="t" o:connecttype="rect"/>
            </v:shapetype>
            <v:shape id="MSIPCMae2e4f7784f71ceaa8fba6f2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DGXc2A4QAAAAsBAAAPAAAAZHJzL2Rvd25yZXYueG1sTI/BTsMwEETvSPyDtUhc&#10;KuqkFWkb4lQVUk9ICAoSVzdekoh4HWKndfl6Nic47sxodl6xjbYTJxx860hBOk9AIFXOtFQreH/b&#10;361B+KDJ6M4RKrigh215fVXo3LgzveLpEGrBJeRzraAJoc+l9FWDVvu565HY+3SD1YHPoZZm0Gcu&#10;t51cJEkmrW6JPzS6x8cGq6/DaBXMfmy1fFrtFx8vz99j3K1ml00clbq9ibsHEAFj+AvDNJ+nQ8mb&#10;jm4k40WngEECq1maMMHkp5skA3GctPvlGmRZyP8M5S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xl3NgOEAAAALAQAADwAAAAAAAAAAAAAAAABxBAAAZHJzL2Rvd25yZXYueG1sUEsF&#10;BgAAAAAEAAQA8wAAAH8FAAAAAA==&#10;" o:allowincell="f" filled="f" stroked="f" strokeweight=".5pt">
              <v:textbox inset=",0,20pt,0">
                <w:txbxContent>
                  <w:p w14:paraId="4565B25C" w14:textId="77777777" w:rsidR="00996627" w:rsidRPr="00162D9C" w:rsidRDefault="00996627" w:rsidP="00996627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162D9C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25618">
      <w:t xml:space="preserve"> </w:t>
    </w:r>
  </w:p>
  <w:p w14:paraId="474FD3FA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5D7891">
      <w:rPr>
        <w:noProof/>
      </w:rPr>
      <w:t>2</w:t>
    </w:r>
    <w:r>
      <w:fldChar w:fldCharType="end"/>
    </w:r>
    <w:r>
      <w:t>/</w:t>
    </w:r>
    <w:r w:rsidR="0002470B">
      <w:rPr>
        <w:noProof/>
      </w:rPr>
      <w:fldChar w:fldCharType="begin"/>
    </w:r>
    <w:r w:rsidR="0002470B">
      <w:rPr>
        <w:noProof/>
      </w:rPr>
      <w:instrText>NUMPAGES  \* Arabic  \* MERGEFORMAT</w:instrText>
    </w:r>
    <w:r w:rsidR="0002470B">
      <w:rPr>
        <w:noProof/>
      </w:rPr>
      <w:fldChar w:fldCharType="separate"/>
    </w:r>
    <w:r w:rsidR="005D7891">
      <w:rPr>
        <w:noProof/>
      </w:rPr>
      <w:t>3</w:t>
    </w:r>
    <w:r w:rsidR="0002470B">
      <w:rPr>
        <w:noProof/>
      </w:rPr>
      <w:fldChar w:fldCharType="end"/>
    </w:r>
  </w:p>
  <w:p w14:paraId="5C83FC9A" w14:textId="77777777" w:rsidR="00996627" w:rsidRDefault="00996627" w:rsidP="00996627">
    <w:pPr>
      <w:pStyle w:val="BIK-Stopka"/>
    </w:pPr>
  </w:p>
  <w:p w14:paraId="4E7E9788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BFD1" w14:textId="423454D1" w:rsidR="00CC4824" w:rsidRPr="00725618" w:rsidRDefault="002D190A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FD1FBA8" wp14:editId="32C1D5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31449c585d7d74ca738652a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61514" w14:textId="5CC9AA30" w:rsidR="002D190A" w:rsidRPr="002D190A" w:rsidRDefault="002D190A" w:rsidP="002D190A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2D190A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1FBA8" id="_x0000_t202" coordsize="21600,21600" o:spt="202" path="m,l,21600r21600,l21600,xe">
              <v:stroke joinstyle="miter"/>
              <v:path gradientshapeok="t" o:connecttype="rect"/>
            </v:shapetype>
            <v:shape id="MSIPCMa31449c585d7d74ca738652a" o:spid="_x0000_s1027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24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vN5OJlEraULGi4Zo+kkz/G2&#10;PbvNXt8DynKIL8TyZMbkoM6mdKBfUd7L2A5DzHBsWtLt2bwPvZLxeXCxXKYklJVlYW02lsfSEbQI&#10;7Uv3ypw94R+QuUc4q4sV72joc3u4l/sAskkcRYB7OE+4oyQTdafnEzX/9p6yro988QsAAP//AwBQ&#10;SwMEFAAGAAgAAAAhAJ2oR+jhAAAACwEAAA8AAABkcnMvZG93bnJldi54bWxMj8FOwzAQRO9I/IO1&#10;SFwqaqcVSRviVBVST0iIFqRe3XhJIuJ1iJ3W5etxTnDcmdHsm2ITTMfOOLjWkoRkLoAhVVa3VEv4&#10;eN89rIA5r0irzhJKuKKDTXl7U6hc2wvt8XzwNYsl5HIlofG+zzl3VYNGubntkaL3aQejfDyHmutB&#10;XWK56fhCiJQb1VL80Kgenxusvg6jkTD7MdXyJdstjm+v32PYZrPrOoxS3t+F7RMwj8H/hWHCj+hQ&#10;RqaTHUk71kmIQ3xU00RkwCY/WYsU2GnSHpcZ8LLg/zeUvwAAAP//AwBQSwECLQAUAAYACAAAACEA&#10;toM4kv4AAADhAQAAEwAAAAAAAAAAAAAAAAAAAAAAW0NvbnRlbnRfVHlwZXNdLnhtbFBLAQItABQA&#10;BgAIAAAAIQA4/SH/1gAAAJQBAAALAAAAAAAAAAAAAAAAAC8BAABfcmVscy8ucmVsc1BLAQItABQA&#10;BgAIAAAAIQAQW424GQIAACwEAAAOAAAAAAAAAAAAAAAAAC4CAABkcnMvZTJvRG9jLnhtbFBLAQIt&#10;ABQABgAIAAAAIQCdqEfo4QAAAAsBAAAPAAAAAAAAAAAAAAAAAHMEAABkcnMvZG93bnJldi54bWxQ&#10;SwUGAAAAAAQABADzAAAAgQUAAAAA&#10;" o:allowincell="f" filled="f" stroked="f" strokeweight=".5pt">
              <v:textbox inset=",0,20pt,0">
                <w:txbxContent>
                  <w:p w14:paraId="27961514" w14:textId="5CC9AA30" w:rsidR="002D190A" w:rsidRPr="002D190A" w:rsidRDefault="002D190A" w:rsidP="002D190A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2D190A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824" w:rsidRPr="00725618">
      <w:t xml:space="preserve"> </w:t>
    </w:r>
  </w:p>
  <w:p w14:paraId="71ADC024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5D7891">
      <w:rPr>
        <w:noProof/>
      </w:rPr>
      <w:t>1</w:t>
    </w:r>
    <w:r>
      <w:fldChar w:fldCharType="end"/>
    </w:r>
    <w:r>
      <w:t>/</w:t>
    </w:r>
    <w:r w:rsidR="00EE176C">
      <w:rPr>
        <w:noProof/>
      </w:rPr>
      <w:fldChar w:fldCharType="begin"/>
    </w:r>
    <w:r w:rsidR="00EE176C">
      <w:rPr>
        <w:noProof/>
      </w:rPr>
      <w:instrText>NUMPAGES  \* Arabic  \* MERGEFORMAT</w:instrText>
    </w:r>
    <w:r w:rsidR="00EE176C">
      <w:rPr>
        <w:noProof/>
      </w:rPr>
      <w:fldChar w:fldCharType="separate"/>
    </w:r>
    <w:r w:rsidR="005D7891">
      <w:rPr>
        <w:noProof/>
      </w:rPr>
      <w:t>3</w:t>
    </w:r>
    <w:r w:rsidR="00EE176C">
      <w:rPr>
        <w:noProof/>
      </w:rPr>
      <w:fldChar w:fldCharType="end"/>
    </w:r>
  </w:p>
  <w:p w14:paraId="31B111CD" w14:textId="77777777" w:rsidR="00CC4824" w:rsidRDefault="00CC4824" w:rsidP="00CC4824">
    <w:pPr>
      <w:pStyle w:val="BIK-Stopka"/>
    </w:pPr>
  </w:p>
  <w:p w14:paraId="7104AE86" w14:textId="77777777" w:rsidR="00CC4824" w:rsidRPr="00C15FB1" w:rsidRDefault="00CC4824" w:rsidP="00CC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FD067" w14:textId="77777777" w:rsidR="00E06BB5" w:rsidRDefault="00E06BB5" w:rsidP="00866834">
      <w:r>
        <w:separator/>
      </w:r>
    </w:p>
    <w:p w14:paraId="5E2ADDC0" w14:textId="77777777" w:rsidR="00E06BB5" w:rsidRDefault="00E06BB5"/>
  </w:footnote>
  <w:footnote w:type="continuationSeparator" w:id="0">
    <w:p w14:paraId="229DAD23" w14:textId="77777777" w:rsidR="00E06BB5" w:rsidRDefault="00E06BB5" w:rsidP="00866834">
      <w:r>
        <w:continuationSeparator/>
      </w:r>
    </w:p>
    <w:p w14:paraId="1607D60F" w14:textId="77777777" w:rsidR="00E06BB5" w:rsidRDefault="00E06B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59B9" w14:textId="77777777" w:rsidR="00CE03AC" w:rsidRDefault="00CE03AC"/>
  <w:p w14:paraId="53450052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CF8A" w14:textId="77777777" w:rsidR="004A2397" w:rsidRDefault="004A2397" w:rsidP="004A2397"/>
  <w:p w14:paraId="45E3B451" w14:textId="77777777" w:rsidR="004A2397" w:rsidRDefault="004A2397" w:rsidP="004A2397"/>
  <w:p w14:paraId="70FD9885" w14:textId="77777777" w:rsidR="004A2397" w:rsidRDefault="004A2397" w:rsidP="004A2397"/>
  <w:p w14:paraId="2DB1DCD4" w14:textId="77777777" w:rsidR="004A2397" w:rsidRDefault="004A2397" w:rsidP="004A2397"/>
  <w:p w14:paraId="68E99EC7" w14:textId="77777777" w:rsidR="004A2397" w:rsidRDefault="004A2397" w:rsidP="004A2397"/>
  <w:p w14:paraId="0EB99FA6" w14:textId="77777777" w:rsidR="004A2397" w:rsidRDefault="004A2397" w:rsidP="004A2397"/>
  <w:p w14:paraId="498A0862" w14:textId="4F7082E7" w:rsidR="004A2397" w:rsidRDefault="004A2397" w:rsidP="004A2397"/>
  <w:p w14:paraId="2A5AA698" w14:textId="77777777" w:rsidR="004A2397" w:rsidRDefault="004A2397" w:rsidP="004A2397"/>
  <w:p w14:paraId="7459BE45" w14:textId="022E694B" w:rsidR="00A7543E" w:rsidRDefault="008B4DBE" w:rsidP="004A2397">
    <w:r>
      <w:rPr>
        <w:noProof/>
        <w:lang w:eastAsia="pl-PL"/>
      </w:rPr>
      <w:drawing>
        <wp:anchor distT="0" distB="702310" distL="114300" distR="114300" simplePos="0" relativeHeight="251654144" behindDoc="0" locked="1" layoutInCell="0" allowOverlap="0" wp14:anchorId="33ED7646" wp14:editId="3FFDDB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21440" cy="1120320"/>
          <wp:effectExtent l="0" t="0" r="7620" b="381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D03A42"/>
    <w:multiLevelType w:val="hybridMultilevel"/>
    <w:tmpl w:val="033EC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458011B"/>
    <w:multiLevelType w:val="hybridMultilevel"/>
    <w:tmpl w:val="18A0102A"/>
    <w:lvl w:ilvl="0" w:tplc="674401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20D8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0291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1864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3E66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C3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B23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207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8A5A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E4415D0"/>
    <w:multiLevelType w:val="hybridMultilevel"/>
    <w:tmpl w:val="1F520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36AAB"/>
    <w:multiLevelType w:val="hybridMultilevel"/>
    <w:tmpl w:val="033ECB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503325">
    <w:abstractNumId w:val="9"/>
  </w:num>
  <w:num w:numId="2" w16cid:durableId="1528063078">
    <w:abstractNumId w:val="8"/>
  </w:num>
  <w:num w:numId="3" w16cid:durableId="848523292">
    <w:abstractNumId w:val="3"/>
  </w:num>
  <w:num w:numId="4" w16cid:durableId="342778653">
    <w:abstractNumId w:val="2"/>
  </w:num>
  <w:num w:numId="5" w16cid:durableId="23559305">
    <w:abstractNumId w:val="1"/>
  </w:num>
  <w:num w:numId="6" w16cid:durableId="372002419">
    <w:abstractNumId w:val="0"/>
  </w:num>
  <w:num w:numId="7" w16cid:durableId="942566613">
    <w:abstractNumId w:val="7"/>
  </w:num>
  <w:num w:numId="8" w16cid:durableId="1593009547">
    <w:abstractNumId w:val="6"/>
  </w:num>
  <w:num w:numId="9" w16cid:durableId="96876301">
    <w:abstractNumId w:val="5"/>
  </w:num>
  <w:num w:numId="10" w16cid:durableId="1563833334">
    <w:abstractNumId w:val="4"/>
  </w:num>
  <w:num w:numId="11" w16cid:durableId="958341419">
    <w:abstractNumId w:val="16"/>
  </w:num>
  <w:num w:numId="12" w16cid:durableId="403070983">
    <w:abstractNumId w:val="11"/>
  </w:num>
  <w:num w:numId="13" w16cid:durableId="1161504403">
    <w:abstractNumId w:val="15"/>
  </w:num>
  <w:num w:numId="14" w16cid:durableId="1942181626">
    <w:abstractNumId w:val="13"/>
  </w:num>
  <w:num w:numId="15" w16cid:durableId="1741976596">
    <w:abstractNumId w:val="12"/>
  </w:num>
  <w:num w:numId="16" w16cid:durableId="1760590772">
    <w:abstractNumId w:val="10"/>
  </w:num>
  <w:num w:numId="17" w16cid:durableId="21115365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40"/>
    <w:rsid w:val="00001491"/>
    <w:rsid w:val="00010682"/>
    <w:rsid w:val="0001284E"/>
    <w:rsid w:val="000133E5"/>
    <w:rsid w:val="00013465"/>
    <w:rsid w:val="00013A4A"/>
    <w:rsid w:val="00015381"/>
    <w:rsid w:val="00016952"/>
    <w:rsid w:val="0002470B"/>
    <w:rsid w:val="0002596B"/>
    <w:rsid w:val="00031A6C"/>
    <w:rsid w:val="00034859"/>
    <w:rsid w:val="00036506"/>
    <w:rsid w:val="000407B1"/>
    <w:rsid w:val="00047469"/>
    <w:rsid w:val="0005166C"/>
    <w:rsid w:val="00051E38"/>
    <w:rsid w:val="00052187"/>
    <w:rsid w:val="000657BF"/>
    <w:rsid w:val="00070141"/>
    <w:rsid w:val="00070438"/>
    <w:rsid w:val="00071530"/>
    <w:rsid w:val="00072440"/>
    <w:rsid w:val="00072781"/>
    <w:rsid w:val="000744C6"/>
    <w:rsid w:val="00077647"/>
    <w:rsid w:val="00080F31"/>
    <w:rsid w:val="0009048B"/>
    <w:rsid w:val="00091B54"/>
    <w:rsid w:val="0009355F"/>
    <w:rsid w:val="000A2C98"/>
    <w:rsid w:val="000A5502"/>
    <w:rsid w:val="000A6F07"/>
    <w:rsid w:val="000A6FCC"/>
    <w:rsid w:val="000A7817"/>
    <w:rsid w:val="000B0502"/>
    <w:rsid w:val="000B0755"/>
    <w:rsid w:val="000B185C"/>
    <w:rsid w:val="000B2866"/>
    <w:rsid w:val="000B335D"/>
    <w:rsid w:val="000B4453"/>
    <w:rsid w:val="000B5DDD"/>
    <w:rsid w:val="000C3236"/>
    <w:rsid w:val="000C34DB"/>
    <w:rsid w:val="000C40F7"/>
    <w:rsid w:val="000C4489"/>
    <w:rsid w:val="000C729C"/>
    <w:rsid w:val="000D073E"/>
    <w:rsid w:val="000D3F4C"/>
    <w:rsid w:val="000D5993"/>
    <w:rsid w:val="000D7BEE"/>
    <w:rsid w:val="000E3070"/>
    <w:rsid w:val="000E3C74"/>
    <w:rsid w:val="000F069D"/>
    <w:rsid w:val="000F570C"/>
    <w:rsid w:val="000F7B08"/>
    <w:rsid w:val="00100D95"/>
    <w:rsid w:val="0010126B"/>
    <w:rsid w:val="00101978"/>
    <w:rsid w:val="0010407D"/>
    <w:rsid w:val="001149A6"/>
    <w:rsid w:val="001153FE"/>
    <w:rsid w:val="00115D0F"/>
    <w:rsid w:val="00121DC3"/>
    <w:rsid w:val="001225CA"/>
    <w:rsid w:val="00123D02"/>
    <w:rsid w:val="001266A3"/>
    <w:rsid w:val="001273A4"/>
    <w:rsid w:val="0013027F"/>
    <w:rsid w:val="001336D3"/>
    <w:rsid w:val="001354FA"/>
    <w:rsid w:val="00135BB9"/>
    <w:rsid w:val="001379B7"/>
    <w:rsid w:val="00137D36"/>
    <w:rsid w:val="001427ED"/>
    <w:rsid w:val="00142F8A"/>
    <w:rsid w:val="0014308C"/>
    <w:rsid w:val="0014528E"/>
    <w:rsid w:val="001465D1"/>
    <w:rsid w:val="00147113"/>
    <w:rsid w:val="00155A47"/>
    <w:rsid w:val="0015633F"/>
    <w:rsid w:val="00162D9C"/>
    <w:rsid w:val="00164B66"/>
    <w:rsid w:val="001661AF"/>
    <w:rsid w:val="001718BB"/>
    <w:rsid w:val="00171AC4"/>
    <w:rsid w:val="0017208F"/>
    <w:rsid w:val="00174407"/>
    <w:rsid w:val="0017730C"/>
    <w:rsid w:val="00180B92"/>
    <w:rsid w:val="00182956"/>
    <w:rsid w:val="00183759"/>
    <w:rsid w:val="00184906"/>
    <w:rsid w:val="00185B94"/>
    <w:rsid w:val="001872A7"/>
    <w:rsid w:val="00190F97"/>
    <w:rsid w:val="00192AD1"/>
    <w:rsid w:val="001972B1"/>
    <w:rsid w:val="001A01EF"/>
    <w:rsid w:val="001A1682"/>
    <w:rsid w:val="001A1B2B"/>
    <w:rsid w:val="001A5770"/>
    <w:rsid w:val="001B029A"/>
    <w:rsid w:val="001B043C"/>
    <w:rsid w:val="001B0DC8"/>
    <w:rsid w:val="001C00C8"/>
    <w:rsid w:val="001C01B2"/>
    <w:rsid w:val="001C1497"/>
    <w:rsid w:val="001C1DEA"/>
    <w:rsid w:val="001C2BED"/>
    <w:rsid w:val="001C48BD"/>
    <w:rsid w:val="001C587F"/>
    <w:rsid w:val="001D253F"/>
    <w:rsid w:val="001D3DE7"/>
    <w:rsid w:val="001D4869"/>
    <w:rsid w:val="001E3517"/>
    <w:rsid w:val="001E4E47"/>
    <w:rsid w:val="001F153F"/>
    <w:rsid w:val="001F2A08"/>
    <w:rsid w:val="001F597F"/>
    <w:rsid w:val="001F6BED"/>
    <w:rsid w:val="002025A1"/>
    <w:rsid w:val="00216444"/>
    <w:rsid w:val="00216907"/>
    <w:rsid w:val="00216995"/>
    <w:rsid w:val="00216E6E"/>
    <w:rsid w:val="00220AEE"/>
    <w:rsid w:val="0022264D"/>
    <w:rsid w:val="002269FF"/>
    <w:rsid w:val="0023120A"/>
    <w:rsid w:val="00231524"/>
    <w:rsid w:val="00232CF8"/>
    <w:rsid w:val="00234412"/>
    <w:rsid w:val="0023511B"/>
    <w:rsid w:val="0023540D"/>
    <w:rsid w:val="002358E9"/>
    <w:rsid w:val="002379EF"/>
    <w:rsid w:val="002436C3"/>
    <w:rsid w:val="00246544"/>
    <w:rsid w:val="002471A8"/>
    <w:rsid w:val="00251D5F"/>
    <w:rsid w:val="00252B24"/>
    <w:rsid w:val="00255E34"/>
    <w:rsid w:val="00261864"/>
    <w:rsid w:val="00262505"/>
    <w:rsid w:val="00263BB5"/>
    <w:rsid w:val="0027026C"/>
    <w:rsid w:val="00270B98"/>
    <w:rsid w:val="00271B37"/>
    <w:rsid w:val="00273C2B"/>
    <w:rsid w:val="00275BBC"/>
    <w:rsid w:val="00276BFD"/>
    <w:rsid w:val="00280F4A"/>
    <w:rsid w:val="00281392"/>
    <w:rsid w:val="0028592D"/>
    <w:rsid w:val="00294169"/>
    <w:rsid w:val="002971C2"/>
    <w:rsid w:val="002A198F"/>
    <w:rsid w:val="002A60EE"/>
    <w:rsid w:val="002B1D2D"/>
    <w:rsid w:val="002B3EAC"/>
    <w:rsid w:val="002B3FE4"/>
    <w:rsid w:val="002B491D"/>
    <w:rsid w:val="002C067B"/>
    <w:rsid w:val="002C206E"/>
    <w:rsid w:val="002C3CDB"/>
    <w:rsid w:val="002C4576"/>
    <w:rsid w:val="002D190A"/>
    <w:rsid w:val="002D1CE5"/>
    <w:rsid w:val="002D2105"/>
    <w:rsid w:val="002D3C7D"/>
    <w:rsid w:val="002D48BE"/>
    <w:rsid w:val="002D745D"/>
    <w:rsid w:val="002D7941"/>
    <w:rsid w:val="002D7DAF"/>
    <w:rsid w:val="002E1B65"/>
    <w:rsid w:val="002E2235"/>
    <w:rsid w:val="002E3E55"/>
    <w:rsid w:val="002E68B9"/>
    <w:rsid w:val="002F1502"/>
    <w:rsid w:val="002F2B2E"/>
    <w:rsid w:val="002F2D97"/>
    <w:rsid w:val="002F39DD"/>
    <w:rsid w:val="002F4540"/>
    <w:rsid w:val="002F4B18"/>
    <w:rsid w:val="002F7017"/>
    <w:rsid w:val="00300DB3"/>
    <w:rsid w:val="003017E1"/>
    <w:rsid w:val="00301E1C"/>
    <w:rsid w:val="00303BC4"/>
    <w:rsid w:val="00307106"/>
    <w:rsid w:val="003075C6"/>
    <w:rsid w:val="0031142A"/>
    <w:rsid w:val="00312391"/>
    <w:rsid w:val="00315358"/>
    <w:rsid w:val="0031648A"/>
    <w:rsid w:val="003164D9"/>
    <w:rsid w:val="0031694C"/>
    <w:rsid w:val="00320C5B"/>
    <w:rsid w:val="00331554"/>
    <w:rsid w:val="00331B27"/>
    <w:rsid w:val="00334494"/>
    <w:rsid w:val="00335F9F"/>
    <w:rsid w:val="003361EF"/>
    <w:rsid w:val="00341795"/>
    <w:rsid w:val="003446F2"/>
    <w:rsid w:val="00346C00"/>
    <w:rsid w:val="003509C2"/>
    <w:rsid w:val="003522EA"/>
    <w:rsid w:val="00352872"/>
    <w:rsid w:val="003541EB"/>
    <w:rsid w:val="00355424"/>
    <w:rsid w:val="0035787B"/>
    <w:rsid w:val="0036490A"/>
    <w:rsid w:val="00364977"/>
    <w:rsid w:val="00372135"/>
    <w:rsid w:val="00380658"/>
    <w:rsid w:val="003839D6"/>
    <w:rsid w:val="003847B0"/>
    <w:rsid w:val="003853CC"/>
    <w:rsid w:val="00387C34"/>
    <w:rsid w:val="003901F9"/>
    <w:rsid w:val="0039037F"/>
    <w:rsid w:val="003A0E17"/>
    <w:rsid w:val="003A1144"/>
    <w:rsid w:val="003A6B00"/>
    <w:rsid w:val="003C1AA1"/>
    <w:rsid w:val="003C5672"/>
    <w:rsid w:val="003C79A3"/>
    <w:rsid w:val="003D277C"/>
    <w:rsid w:val="003D286C"/>
    <w:rsid w:val="003D2D7E"/>
    <w:rsid w:val="003E1BEB"/>
    <w:rsid w:val="003F0CFF"/>
    <w:rsid w:val="003F4BA3"/>
    <w:rsid w:val="003F64AF"/>
    <w:rsid w:val="00405881"/>
    <w:rsid w:val="00413DA9"/>
    <w:rsid w:val="00414487"/>
    <w:rsid w:val="00417650"/>
    <w:rsid w:val="004216FB"/>
    <w:rsid w:val="00421FA2"/>
    <w:rsid w:val="00426517"/>
    <w:rsid w:val="004335ED"/>
    <w:rsid w:val="00440C5C"/>
    <w:rsid w:val="00441797"/>
    <w:rsid w:val="00442A8E"/>
    <w:rsid w:val="004463B6"/>
    <w:rsid w:val="00451F91"/>
    <w:rsid w:val="00452E8D"/>
    <w:rsid w:val="004563EB"/>
    <w:rsid w:val="00456A13"/>
    <w:rsid w:val="00464740"/>
    <w:rsid w:val="004768FC"/>
    <w:rsid w:val="0047746F"/>
    <w:rsid w:val="00477548"/>
    <w:rsid w:val="00480324"/>
    <w:rsid w:val="0048408C"/>
    <w:rsid w:val="00490399"/>
    <w:rsid w:val="0049251C"/>
    <w:rsid w:val="004A1138"/>
    <w:rsid w:val="004A2397"/>
    <w:rsid w:val="004A3600"/>
    <w:rsid w:val="004A6E0A"/>
    <w:rsid w:val="004B116E"/>
    <w:rsid w:val="004B2319"/>
    <w:rsid w:val="004B5795"/>
    <w:rsid w:val="004B672F"/>
    <w:rsid w:val="004C022C"/>
    <w:rsid w:val="004C046E"/>
    <w:rsid w:val="004C0AD7"/>
    <w:rsid w:val="004C17A7"/>
    <w:rsid w:val="004C29EC"/>
    <w:rsid w:val="004C2FBB"/>
    <w:rsid w:val="004C4026"/>
    <w:rsid w:val="004C44D3"/>
    <w:rsid w:val="004C4C22"/>
    <w:rsid w:val="004C756A"/>
    <w:rsid w:val="004D6326"/>
    <w:rsid w:val="004E1CA1"/>
    <w:rsid w:val="004E6E7F"/>
    <w:rsid w:val="004E7CE1"/>
    <w:rsid w:val="004F00FD"/>
    <w:rsid w:val="004F3871"/>
    <w:rsid w:val="004F5805"/>
    <w:rsid w:val="004F5815"/>
    <w:rsid w:val="004F638C"/>
    <w:rsid w:val="004F719E"/>
    <w:rsid w:val="0050297C"/>
    <w:rsid w:val="005032D8"/>
    <w:rsid w:val="00507682"/>
    <w:rsid w:val="00507F2B"/>
    <w:rsid w:val="005163AE"/>
    <w:rsid w:val="00520456"/>
    <w:rsid w:val="00521B0C"/>
    <w:rsid w:val="005220A2"/>
    <w:rsid w:val="00526CDD"/>
    <w:rsid w:val="0053382B"/>
    <w:rsid w:val="00534126"/>
    <w:rsid w:val="005377DC"/>
    <w:rsid w:val="00541A22"/>
    <w:rsid w:val="00541CDA"/>
    <w:rsid w:val="00543D89"/>
    <w:rsid w:val="0054409B"/>
    <w:rsid w:val="005450F2"/>
    <w:rsid w:val="005468AD"/>
    <w:rsid w:val="005472E2"/>
    <w:rsid w:val="00547BB4"/>
    <w:rsid w:val="00550148"/>
    <w:rsid w:val="00551F06"/>
    <w:rsid w:val="00553FBC"/>
    <w:rsid w:val="00555088"/>
    <w:rsid w:val="00556715"/>
    <w:rsid w:val="0056116B"/>
    <w:rsid w:val="00577E50"/>
    <w:rsid w:val="00581993"/>
    <w:rsid w:val="005842F8"/>
    <w:rsid w:val="00584732"/>
    <w:rsid w:val="005852FF"/>
    <w:rsid w:val="00590159"/>
    <w:rsid w:val="00595B7C"/>
    <w:rsid w:val="005A0EEF"/>
    <w:rsid w:val="005A205A"/>
    <w:rsid w:val="005A65ED"/>
    <w:rsid w:val="005B4E73"/>
    <w:rsid w:val="005B6789"/>
    <w:rsid w:val="005C0301"/>
    <w:rsid w:val="005C0F42"/>
    <w:rsid w:val="005C39DD"/>
    <w:rsid w:val="005C5F68"/>
    <w:rsid w:val="005D030A"/>
    <w:rsid w:val="005D06D0"/>
    <w:rsid w:val="005D1495"/>
    <w:rsid w:val="005D2FEA"/>
    <w:rsid w:val="005D7891"/>
    <w:rsid w:val="005E5F8E"/>
    <w:rsid w:val="005F0A9A"/>
    <w:rsid w:val="005F4817"/>
    <w:rsid w:val="005F5D7A"/>
    <w:rsid w:val="005F74B8"/>
    <w:rsid w:val="006102EC"/>
    <w:rsid w:val="00612709"/>
    <w:rsid w:val="0061285D"/>
    <w:rsid w:val="00620D7B"/>
    <w:rsid w:val="0062205D"/>
    <w:rsid w:val="00625B1C"/>
    <w:rsid w:val="006352E1"/>
    <w:rsid w:val="00637C84"/>
    <w:rsid w:val="0064002F"/>
    <w:rsid w:val="00644A0E"/>
    <w:rsid w:val="00652510"/>
    <w:rsid w:val="00652B03"/>
    <w:rsid w:val="00653046"/>
    <w:rsid w:val="0065491E"/>
    <w:rsid w:val="0065792E"/>
    <w:rsid w:val="00657B6A"/>
    <w:rsid w:val="00661E64"/>
    <w:rsid w:val="00662269"/>
    <w:rsid w:val="006661E9"/>
    <w:rsid w:val="00673B10"/>
    <w:rsid w:val="00674254"/>
    <w:rsid w:val="006747BD"/>
    <w:rsid w:val="0068438B"/>
    <w:rsid w:val="00685450"/>
    <w:rsid w:val="0068698E"/>
    <w:rsid w:val="0068716D"/>
    <w:rsid w:val="006946B3"/>
    <w:rsid w:val="006A2C5F"/>
    <w:rsid w:val="006A4EC3"/>
    <w:rsid w:val="006A65EC"/>
    <w:rsid w:val="006A6B2C"/>
    <w:rsid w:val="006A7148"/>
    <w:rsid w:val="006B339C"/>
    <w:rsid w:val="006B7D8F"/>
    <w:rsid w:val="006C3E1C"/>
    <w:rsid w:val="006C49BA"/>
    <w:rsid w:val="006C4F1D"/>
    <w:rsid w:val="006D04FE"/>
    <w:rsid w:val="006D137D"/>
    <w:rsid w:val="006D2EFB"/>
    <w:rsid w:val="006D4BD3"/>
    <w:rsid w:val="006D6DE5"/>
    <w:rsid w:val="006E2E88"/>
    <w:rsid w:val="006E30FE"/>
    <w:rsid w:val="006E34DC"/>
    <w:rsid w:val="006E4643"/>
    <w:rsid w:val="006E4D96"/>
    <w:rsid w:val="006E5990"/>
    <w:rsid w:val="006E6223"/>
    <w:rsid w:val="006F09D5"/>
    <w:rsid w:val="006F0FA9"/>
    <w:rsid w:val="006F4BB6"/>
    <w:rsid w:val="006F72EF"/>
    <w:rsid w:val="00700729"/>
    <w:rsid w:val="0070349D"/>
    <w:rsid w:val="007042E5"/>
    <w:rsid w:val="007051F8"/>
    <w:rsid w:val="00705F1E"/>
    <w:rsid w:val="00707AD0"/>
    <w:rsid w:val="007122F9"/>
    <w:rsid w:val="007128AE"/>
    <w:rsid w:val="00713E63"/>
    <w:rsid w:val="007145A5"/>
    <w:rsid w:val="00715695"/>
    <w:rsid w:val="0071737D"/>
    <w:rsid w:val="007226B7"/>
    <w:rsid w:val="00722908"/>
    <w:rsid w:val="0072379F"/>
    <w:rsid w:val="007249DD"/>
    <w:rsid w:val="00725618"/>
    <w:rsid w:val="00726877"/>
    <w:rsid w:val="00730126"/>
    <w:rsid w:val="00732832"/>
    <w:rsid w:val="00733587"/>
    <w:rsid w:val="0073442F"/>
    <w:rsid w:val="0073466F"/>
    <w:rsid w:val="00734744"/>
    <w:rsid w:val="007365E1"/>
    <w:rsid w:val="0073720C"/>
    <w:rsid w:val="0074162C"/>
    <w:rsid w:val="00742058"/>
    <w:rsid w:val="00742BA0"/>
    <w:rsid w:val="00744BD5"/>
    <w:rsid w:val="00746703"/>
    <w:rsid w:val="00746764"/>
    <w:rsid w:val="00747C30"/>
    <w:rsid w:val="00764AD8"/>
    <w:rsid w:val="0077193D"/>
    <w:rsid w:val="0077272F"/>
    <w:rsid w:val="00773BD6"/>
    <w:rsid w:val="00777163"/>
    <w:rsid w:val="00777AED"/>
    <w:rsid w:val="00777B1B"/>
    <w:rsid w:val="00787755"/>
    <w:rsid w:val="00791034"/>
    <w:rsid w:val="00791BD7"/>
    <w:rsid w:val="00794B24"/>
    <w:rsid w:val="00795992"/>
    <w:rsid w:val="007A002C"/>
    <w:rsid w:val="007A098A"/>
    <w:rsid w:val="007A1B69"/>
    <w:rsid w:val="007A2D8F"/>
    <w:rsid w:val="007A5787"/>
    <w:rsid w:val="007B58FC"/>
    <w:rsid w:val="007B6884"/>
    <w:rsid w:val="007D0B3B"/>
    <w:rsid w:val="007D31BE"/>
    <w:rsid w:val="007D6A16"/>
    <w:rsid w:val="007D7A4E"/>
    <w:rsid w:val="007E23D8"/>
    <w:rsid w:val="007E463E"/>
    <w:rsid w:val="007E5C6A"/>
    <w:rsid w:val="007E692B"/>
    <w:rsid w:val="007F06DA"/>
    <w:rsid w:val="007F43B1"/>
    <w:rsid w:val="00805DF6"/>
    <w:rsid w:val="00806733"/>
    <w:rsid w:val="00806C2E"/>
    <w:rsid w:val="00813711"/>
    <w:rsid w:val="008209AF"/>
    <w:rsid w:val="008218E3"/>
    <w:rsid w:val="00821F16"/>
    <w:rsid w:val="00822F2C"/>
    <w:rsid w:val="00825511"/>
    <w:rsid w:val="00825DF2"/>
    <w:rsid w:val="0082656E"/>
    <w:rsid w:val="008301AA"/>
    <w:rsid w:val="0083379A"/>
    <w:rsid w:val="0083709D"/>
    <w:rsid w:val="0084042D"/>
    <w:rsid w:val="0084088B"/>
    <w:rsid w:val="00841A2A"/>
    <w:rsid w:val="0084396A"/>
    <w:rsid w:val="0084566F"/>
    <w:rsid w:val="00846B95"/>
    <w:rsid w:val="00852766"/>
    <w:rsid w:val="008537F7"/>
    <w:rsid w:val="00854A6B"/>
    <w:rsid w:val="00854B7B"/>
    <w:rsid w:val="008612DD"/>
    <w:rsid w:val="00866834"/>
    <w:rsid w:val="008678A4"/>
    <w:rsid w:val="00867CB5"/>
    <w:rsid w:val="00872D28"/>
    <w:rsid w:val="00873CF9"/>
    <w:rsid w:val="00881712"/>
    <w:rsid w:val="00884A35"/>
    <w:rsid w:val="008910EA"/>
    <w:rsid w:val="008917A1"/>
    <w:rsid w:val="008967BD"/>
    <w:rsid w:val="00896DEF"/>
    <w:rsid w:val="00897945"/>
    <w:rsid w:val="00897BC4"/>
    <w:rsid w:val="008A0898"/>
    <w:rsid w:val="008A281A"/>
    <w:rsid w:val="008A42FB"/>
    <w:rsid w:val="008A6EB6"/>
    <w:rsid w:val="008B1BA9"/>
    <w:rsid w:val="008B2062"/>
    <w:rsid w:val="008B30AC"/>
    <w:rsid w:val="008B4DBE"/>
    <w:rsid w:val="008C1729"/>
    <w:rsid w:val="008C6F81"/>
    <w:rsid w:val="008C75DD"/>
    <w:rsid w:val="008D2CF3"/>
    <w:rsid w:val="008D377A"/>
    <w:rsid w:val="008E04B2"/>
    <w:rsid w:val="008E44F2"/>
    <w:rsid w:val="008E5483"/>
    <w:rsid w:val="008E5EB2"/>
    <w:rsid w:val="008E7AEF"/>
    <w:rsid w:val="008F123D"/>
    <w:rsid w:val="008F209D"/>
    <w:rsid w:val="008F4D1F"/>
    <w:rsid w:val="008F6B32"/>
    <w:rsid w:val="008F7562"/>
    <w:rsid w:val="00900529"/>
    <w:rsid w:val="00900D1F"/>
    <w:rsid w:val="00905262"/>
    <w:rsid w:val="009052A4"/>
    <w:rsid w:val="00910872"/>
    <w:rsid w:val="009148F8"/>
    <w:rsid w:val="00914B33"/>
    <w:rsid w:val="009154F2"/>
    <w:rsid w:val="00920982"/>
    <w:rsid w:val="0092387C"/>
    <w:rsid w:val="00924145"/>
    <w:rsid w:val="00925A30"/>
    <w:rsid w:val="00926C33"/>
    <w:rsid w:val="009327DA"/>
    <w:rsid w:val="00932D5D"/>
    <w:rsid w:val="00933A79"/>
    <w:rsid w:val="009423F7"/>
    <w:rsid w:val="00943829"/>
    <w:rsid w:val="00947069"/>
    <w:rsid w:val="00950B7A"/>
    <w:rsid w:val="00954066"/>
    <w:rsid w:val="009549FD"/>
    <w:rsid w:val="00954F60"/>
    <w:rsid w:val="00957B13"/>
    <w:rsid w:val="00957D7F"/>
    <w:rsid w:val="00964B09"/>
    <w:rsid w:val="0097096E"/>
    <w:rsid w:val="00970D51"/>
    <w:rsid w:val="00975E58"/>
    <w:rsid w:val="00980CDA"/>
    <w:rsid w:val="0098583A"/>
    <w:rsid w:val="00985CB7"/>
    <w:rsid w:val="009878BD"/>
    <w:rsid w:val="00990DD6"/>
    <w:rsid w:val="00992310"/>
    <w:rsid w:val="00996627"/>
    <w:rsid w:val="00996665"/>
    <w:rsid w:val="009A1CEE"/>
    <w:rsid w:val="009A342F"/>
    <w:rsid w:val="009A73B5"/>
    <w:rsid w:val="009B0E2B"/>
    <w:rsid w:val="009B4312"/>
    <w:rsid w:val="009B44E9"/>
    <w:rsid w:val="009B4B80"/>
    <w:rsid w:val="009B75D2"/>
    <w:rsid w:val="009C0766"/>
    <w:rsid w:val="009C0A0B"/>
    <w:rsid w:val="009C56EE"/>
    <w:rsid w:val="009C6129"/>
    <w:rsid w:val="009D2B0D"/>
    <w:rsid w:val="009D3E46"/>
    <w:rsid w:val="009D49B0"/>
    <w:rsid w:val="009D4C4D"/>
    <w:rsid w:val="009D60E2"/>
    <w:rsid w:val="009D6176"/>
    <w:rsid w:val="009D6A70"/>
    <w:rsid w:val="009D75D3"/>
    <w:rsid w:val="009E3DF6"/>
    <w:rsid w:val="009E45CE"/>
    <w:rsid w:val="009E4A7E"/>
    <w:rsid w:val="009F08DE"/>
    <w:rsid w:val="009F4BCD"/>
    <w:rsid w:val="009F5B2B"/>
    <w:rsid w:val="009F64ED"/>
    <w:rsid w:val="00A11066"/>
    <w:rsid w:val="00A11219"/>
    <w:rsid w:val="00A137A8"/>
    <w:rsid w:val="00A21181"/>
    <w:rsid w:val="00A24EEC"/>
    <w:rsid w:val="00A25BAF"/>
    <w:rsid w:val="00A3057A"/>
    <w:rsid w:val="00A329B7"/>
    <w:rsid w:val="00A331E9"/>
    <w:rsid w:val="00A350A7"/>
    <w:rsid w:val="00A36F46"/>
    <w:rsid w:val="00A4087C"/>
    <w:rsid w:val="00A4363C"/>
    <w:rsid w:val="00A447FD"/>
    <w:rsid w:val="00A455C6"/>
    <w:rsid w:val="00A50C8D"/>
    <w:rsid w:val="00A60509"/>
    <w:rsid w:val="00A612D8"/>
    <w:rsid w:val="00A627E0"/>
    <w:rsid w:val="00A66E1F"/>
    <w:rsid w:val="00A6713B"/>
    <w:rsid w:val="00A677E4"/>
    <w:rsid w:val="00A72BE7"/>
    <w:rsid w:val="00A741E5"/>
    <w:rsid w:val="00A7543E"/>
    <w:rsid w:val="00A7583D"/>
    <w:rsid w:val="00A77836"/>
    <w:rsid w:val="00A8018E"/>
    <w:rsid w:val="00A82827"/>
    <w:rsid w:val="00A85D65"/>
    <w:rsid w:val="00A86E11"/>
    <w:rsid w:val="00A87FFE"/>
    <w:rsid w:val="00A90BB6"/>
    <w:rsid w:val="00A94C25"/>
    <w:rsid w:val="00A96EB5"/>
    <w:rsid w:val="00A9727B"/>
    <w:rsid w:val="00AA1576"/>
    <w:rsid w:val="00AA436B"/>
    <w:rsid w:val="00AA46D3"/>
    <w:rsid w:val="00AA4FB6"/>
    <w:rsid w:val="00AA6F0C"/>
    <w:rsid w:val="00AB0657"/>
    <w:rsid w:val="00AB44FD"/>
    <w:rsid w:val="00AB504A"/>
    <w:rsid w:val="00AB6344"/>
    <w:rsid w:val="00AB7F02"/>
    <w:rsid w:val="00AC2258"/>
    <w:rsid w:val="00AC22BD"/>
    <w:rsid w:val="00AC3FC0"/>
    <w:rsid w:val="00AC7FEC"/>
    <w:rsid w:val="00AD0B64"/>
    <w:rsid w:val="00AD0E09"/>
    <w:rsid w:val="00AD112C"/>
    <w:rsid w:val="00AD1BF9"/>
    <w:rsid w:val="00AD2CE8"/>
    <w:rsid w:val="00AD3E35"/>
    <w:rsid w:val="00AD5125"/>
    <w:rsid w:val="00AD5F97"/>
    <w:rsid w:val="00AD63A3"/>
    <w:rsid w:val="00AE01C0"/>
    <w:rsid w:val="00AE025A"/>
    <w:rsid w:val="00AE1D11"/>
    <w:rsid w:val="00AE3601"/>
    <w:rsid w:val="00AE67A6"/>
    <w:rsid w:val="00AE7D12"/>
    <w:rsid w:val="00AF025D"/>
    <w:rsid w:val="00AF0C3C"/>
    <w:rsid w:val="00AF1456"/>
    <w:rsid w:val="00AF3176"/>
    <w:rsid w:val="00B010F5"/>
    <w:rsid w:val="00B03C33"/>
    <w:rsid w:val="00B04A18"/>
    <w:rsid w:val="00B12B8A"/>
    <w:rsid w:val="00B1741D"/>
    <w:rsid w:val="00B179DA"/>
    <w:rsid w:val="00B202C2"/>
    <w:rsid w:val="00B21D57"/>
    <w:rsid w:val="00B252BE"/>
    <w:rsid w:val="00B25FB0"/>
    <w:rsid w:val="00B26ABA"/>
    <w:rsid w:val="00B35B63"/>
    <w:rsid w:val="00B419BB"/>
    <w:rsid w:val="00B4202D"/>
    <w:rsid w:val="00B51C7B"/>
    <w:rsid w:val="00B5238E"/>
    <w:rsid w:val="00B54CA8"/>
    <w:rsid w:val="00B56575"/>
    <w:rsid w:val="00B60E67"/>
    <w:rsid w:val="00B61F8A"/>
    <w:rsid w:val="00B65DDC"/>
    <w:rsid w:val="00B67916"/>
    <w:rsid w:val="00B70F4F"/>
    <w:rsid w:val="00B7120C"/>
    <w:rsid w:val="00B747D3"/>
    <w:rsid w:val="00B833F0"/>
    <w:rsid w:val="00B85ED1"/>
    <w:rsid w:val="00B86769"/>
    <w:rsid w:val="00B921E7"/>
    <w:rsid w:val="00B94B93"/>
    <w:rsid w:val="00B96E78"/>
    <w:rsid w:val="00B973AE"/>
    <w:rsid w:val="00B976FD"/>
    <w:rsid w:val="00BA2C0D"/>
    <w:rsid w:val="00BA2DE8"/>
    <w:rsid w:val="00BB3391"/>
    <w:rsid w:val="00BB4A80"/>
    <w:rsid w:val="00BB7102"/>
    <w:rsid w:val="00BB75B6"/>
    <w:rsid w:val="00BC2337"/>
    <w:rsid w:val="00BC55AC"/>
    <w:rsid w:val="00BC564A"/>
    <w:rsid w:val="00BC6ABB"/>
    <w:rsid w:val="00BD3BDC"/>
    <w:rsid w:val="00BD5534"/>
    <w:rsid w:val="00BD6260"/>
    <w:rsid w:val="00BD6AE4"/>
    <w:rsid w:val="00BE1303"/>
    <w:rsid w:val="00BE2B4E"/>
    <w:rsid w:val="00BE3A2F"/>
    <w:rsid w:val="00BE4F5C"/>
    <w:rsid w:val="00BF191F"/>
    <w:rsid w:val="00BF194F"/>
    <w:rsid w:val="00BF482E"/>
    <w:rsid w:val="00BF7242"/>
    <w:rsid w:val="00C00D06"/>
    <w:rsid w:val="00C03EBD"/>
    <w:rsid w:val="00C056AB"/>
    <w:rsid w:val="00C06041"/>
    <w:rsid w:val="00C158E2"/>
    <w:rsid w:val="00C15FB1"/>
    <w:rsid w:val="00C208FB"/>
    <w:rsid w:val="00C22D2A"/>
    <w:rsid w:val="00C2522A"/>
    <w:rsid w:val="00C25E6E"/>
    <w:rsid w:val="00C25F3F"/>
    <w:rsid w:val="00C26640"/>
    <w:rsid w:val="00C277A7"/>
    <w:rsid w:val="00C36B08"/>
    <w:rsid w:val="00C44C19"/>
    <w:rsid w:val="00C46CBE"/>
    <w:rsid w:val="00C47889"/>
    <w:rsid w:val="00C5064F"/>
    <w:rsid w:val="00C573A5"/>
    <w:rsid w:val="00C57C5D"/>
    <w:rsid w:val="00C633BF"/>
    <w:rsid w:val="00C64491"/>
    <w:rsid w:val="00C65A4E"/>
    <w:rsid w:val="00C65BD2"/>
    <w:rsid w:val="00C663AC"/>
    <w:rsid w:val="00C74378"/>
    <w:rsid w:val="00C8339D"/>
    <w:rsid w:val="00C83670"/>
    <w:rsid w:val="00C90F0F"/>
    <w:rsid w:val="00C93922"/>
    <w:rsid w:val="00CA48FA"/>
    <w:rsid w:val="00CA530B"/>
    <w:rsid w:val="00CA59D7"/>
    <w:rsid w:val="00CA60CD"/>
    <w:rsid w:val="00CB4DA7"/>
    <w:rsid w:val="00CB5598"/>
    <w:rsid w:val="00CB5C08"/>
    <w:rsid w:val="00CC4824"/>
    <w:rsid w:val="00CC493E"/>
    <w:rsid w:val="00CC7DE4"/>
    <w:rsid w:val="00CD113F"/>
    <w:rsid w:val="00CD1847"/>
    <w:rsid w:val="00CD1F75"/>
    <w:rsid w:val="00CD2F5C"/>
    <w:rsid w:val="00CD3939"/>
    <w:rsid w:val="00CE03AC"/>
    <w:rsid w:val="00CE4250"/>
    <w:rsid w:val="00CE6D54"/>
    <w:rsid w:val="00CF3E86"/>
    <w:rsid w:val="00CF51E1"/>
    <w:rsid w:val="00CF7ECD"/>
    <w:rsid w:val="00D005B3"/>
    <w:rsid w:val="00D06A82"/>
    <w:rsid w:val="00D06D36"/>
    <w:rsid w:val="00D070E2"/>
    <w:rsid w:val="00D0710F"/>
    <w:rsid w:val="00D141CD"/>
    <w:rsid w:val="00D1550C"/>
    <w:rsid w:val="00D15F60"/>
    <w:rsid w:val="00D16362"/>
    <w:rsid w:val="00D17C4A"/>
    <w:rsid w:val="00D23E01"/>
    <w:rsid w:val="00D244E2"/>
    <w:rsid w:val="00D32992"/>
    <w:rsid w:val="00D32D8F"/>
    <w:rsid w:val="00D33E10"/>
    <w:rsid w:val="00D35DC2"/>
    <w:rsid w:val="00D35F51"/>
    <w:rsid w:val="00D37160"/>
    <w:rsid w:val="00D40690"/>
    <w:rsid w:val="00D4236C"/>
    <w:rsid w:val="00D42905"/>
    <w:rsid w:val="00D4355E"/>
    <w:rsid w:val="00D446D7"/>
    <w:rsid w:val="00D44783"/>
    <w:rsid w:val="00D46C47"/>
    <w:rsid w:val="00D47367"/>
    <w:rsid w:val="00D47796"/>
    <w:rsid w:val="00D47BA0"/>
    <w:rsid w:val="00D53BDC"/>
    <w:rsid w:val="00D628DE"/>
    <w:rsid w:val="00D628F5"/>
    <w:rsid w:val="00D6359F"/>
    <w:rsid w:val="00D70309"/>
    <w:rsid w:val="00D716DA"/>
    <w:rsid w:val="00D73C65"/>
    <w:rsid w:val="00D7752A"/>
    <w:rsid w:val="00D85799"/>
    <w:rsid w:val="00D87624"/>
    <w:rsid w:val="00D90D4D"/>
    <w:rsid w:val="00D913EA"/>
    <w:rsid w:val="00D92A09"/>
    <w:rsid w:val="00DA4146"/>
    <w:rsid w:val="00DA56A8"/>
    <w:rsid w:val="00DA6E81"/>
    <w:rsid w:val="00DA7420"/>
    <w:rsid w:val="00DB312F"/>
    <w:rsid w:val="00DB54EC"/>
    <w:rsid w:val="00DC2C2F"/>
    <w:rsid w:val="00DC698D"/>
    <w:rsid w:val="00DC759A"/>
    <w:rsid w:val="00DC7EA7"/>
    <w:rsid w:val="00DD02D6"/>
    <w:rsid w:val="00DD4313"/>
    <w:rsid w:val="00DD60D6"/>
    <w:rsid w:val="00DD77D2"/>
    <w:rsid w:val="00DE08B4"/>
    <w:rsid w:val="00DE2663"/>
    <w:rsid w:val="00DE2CE1"/>
    <w:rsid w:val="00DE42E7"/>
    <w:rsid w:val="00DF193D"/>
    <w:rsid w:val="00DF52F5"/>
    <w:rsid w:val="00DF5D50"/>
    <w:rsid w:val="00E03125"/>
    <w:rsid w:val="00E04E58"/>
    <w:rsid w:val="00E05CE5"/>
    <w:rsid w:val="00E06BB5"/>
    <w:rsid w:val="00E07623"/>
    <w:rsid w:val="00E07D82"/>
    <w:rsid w:val="00E10FC5"/>
    <w:rsid w:val="00E11802"/>
    <w:rsid w:val="00E11C40"/>
    <w:rsid w:val="00E1262C"/>
    <w:rsid w:val="00E12E34"/>
    <w:rsid w:val="00E134A6"/>
    <w:rsid w:val="00E134C5"/>
    <w:rsid w:val="00E14964"/>
    <w:rsid w:val="00E16ED6"/>
    <w:rsid w:val="00E17AF7"/>
    <w:rsid w:val="00E17E67"/>
    <w:rsid w:val="00E20CD9"/>
    <w:rsid w:val="00E224F9"/>
    <w:rsid w:val="00E23BC8"/>
    <w:rsid w:val="00E26720"/>
    <w:rsid w:val="00E279F6"/>
    <w:rsid w:val="00E339B5"/>
    <w:rsid w:val="00E34618"/>
    <w:rsid w:val="00E34BAD"/>
    <w:rsid w:val="00E372CB"/>
    <w:rsid w:val="00E401D6"/>
    <w:rsid w:val="00E43084"/>
    <w:rsid w:val="00E44B44"/>
    <w:rsid w:val="00E5343C"/>
    <w:rsid w:val="00E53739"/>
    <w:rsid w:val="00E53D73"/>
    <w:rsid w:val="00E53E4B"/>
    <w:rsid w:val="00E550DF"/>
    <w:rsid w:val="00E556B5"/>
    <w:rsid w:val="00E55B0E"/>
    <w:rsid w:val="00E562EB"/>
    <w:rsid w:val="00E62BFF"/>
    <w:rsid w:val="00E65516"/>
    <w:rsid w:val="00E65E4F"/>
    <w:rsid w:val="00E7212F"/>
    <w:rsid w:val="00E72CC9"/>
    <w:rsid w:val="00E74362"/>
    <w:rsid w:val="00E80641"/>
    <w:rsid w:val="00E8077A"/>
    <w:rsid w:val="00E81E48"/>
    <w:rsid w:val="00E86BFC"/>
    <w:rsid w:val="00E86ED1"/>
    <w:rsid w:val="00E93A3E"/>
    <w:rsid w:val="00EA12CC"/>
    <w:rsid w:val="00EA3A41"/>
    <w:rsid w:val="00EA5C69"/>
    <w:rsid w:val="00EC22AD"/>
    <w:rsid w:val="00EC3CB8"/>
    <w:rsid w:val="00EC4B0E"/>
    <w:rsid w:val="00EC5E34"/>
    <w:rsid w:val="00EC7B6F"/>
    <w:rsid w:val="00ED34ED"/>
    <w:rsid w:val="00EE176C"/>
    <w:rsid w:val="00EE373A"/>
    <w:rsid w:val="00EE493C"/>
    <w:rsid w:val="00EF3CDE"/>
    <w:rsid w:val="00EF7C37"/>
    <w:rsid w:val="00F00843"/>
    <w:rsid w:val="00F04772"/>
    <w:rsid w:val="00F1234F"/>
    <w:rsid w:val="00F12476"/>
    <w:rsid w:val="00F13AAC"/>
    <w:rsid w:val="00F13DDF"/>
    <w:rsid w:val="00F21E8C"/>
    <w:rsid w:val="00F23D30"/>
    <w:rsid w:val="00F260AF"/>
    <w:rsid w:val="00F26ECD"/>
    <w:rsid w:val="00F323D1"/>
    <w:rsid w:val="00F46B22"/>
    <w:rsid w:val="00F50F2E"/>
    <w:rsid w:val="00F55224"/>
    <w:rsid w:val="00F5640F"/>
    <w:rsid w:val="00F63136"/>
    <w:rsid w:val="00F6686D"/>
    <w:rsid w:val="00F76F29"/>
    <w:rsid w:val="00F8282B"/>
    <w:rsid w:val="00F82D3F"/>
    <w:rsid w:val="00F8380F"/>
    <w:rsid w:val="00F85535"/>
    <w:rsid w:val="00F876B5"/>
    <w:rsid w:val="00F90611"/>
    <w:rsid w:val="00F9078C"/>
    <w:rsid w:val="00F93E07"/>
    <w:rsid w:val="00F95D20"/>
    <w:rsid w:val="00FA196A"/>
    <w:rsid w:val="00FB1A13"/>
    <w:rsid w:val="00FB22E4"/>
    <w:rsid w:val="00FB22EA"/>
    <w:rsid w:val="00FB31CA"/>
    <w:rsid w:val="00FC3DE2"/>
    <w:rsid w:val="00FC4D83"/>
    <w:rsid w:val="00FD52BA"/>
    <w:rsid w:val="00FE493E"/>
    <w:rsid w:val="00FF362A"/>
    <w:rsid w:val="00FF5E3A"/>
    <w:rsid w:val="00FF6EC4"/>
    <w:rsid w:val="00FF7255"/>
    <w:rsid w:val="00FF7672"/>
    <w:rsid w:val="00FF7838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0310F"/>
  <w15:docId w15:val="{56A0A1BC-FB1D-4527-BD38-EDB0EEC4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263B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BB5"/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BB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8C"/>
    <w:rPr>
      <w:rFonts w:ascii="Tahoma" w:hAnsi="Tahoma" w:cs="Tahoma"/>
      <w:color w:val="161616"/>
      <w:sz w:val="16"/>
      <w:szCs w:val="16"/>
    </w:rPr>
  </w:style>
  <w:style w:type="paragraph" w:styleId="Poprawka">
    <w:name w:val="Revision"/>
    <w:hidden/>
    <w:uiPriority w:val="99"/>
    <w:semiHidden/>
    <w:rsid w:val="00EA3A41"/>
    <w:pPr>
      <w:spacing w:after="0" w:line="240" w:lineRule="auto"/>
    </w:pPr>
    <w:rPr>
      <w:color w:val="161616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0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0F2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0F2"/>
    <w:rPr>
      <w:b/>
      <w:bCs/>
      <w:color w:val="161616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66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38E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38E"/>
    <w:rPr>
      <w:color w:val="161616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38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A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0100">
          <w:marLeft w:val="86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0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khub.pl/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bik.pl/klienci-indywidualni/alerty-bik?utm_source=gazeta.pl&amp;utm_medium=artykul&amp;utm_campaign=alert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k.pl/moj-bi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leksandra.stankiewicz-billewicz@bik.pl" TargetMode="External"/><Relationship Id="rId10" Type="http://schemas.openxmlformats.org/officeDocument/2006/relationships/hyperlink" Target="http://www.bik.pl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media.bik.pl/analizy-rynkowe" TargetMode="External"/><Relationship Id="rId14" Type="http://schemas.openxmlformats.org/officeDocument/2006/relationships/hyperlink" Target="https://media.bik.pl/analizy-rynkow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C25827CA-5AD7-4777-ACD6-C5B16CCF16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F45B12-A078-4087-B7F0-A5BDB6E1BE8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2411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BIK S.A.</Company>
  <LinksUpToDate>false</LinksUpToDate>
  <CharactersWithSpaces>16845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Krzyśpiak Katarzyna</dc:creator>
  <cp:lastModifiedBy>Stankiewicz-Billewicz Aleksandra</cp:lastModifiedBy>
  <cp:revision>3</cp:revision>
  <cp:lastPrinted>2023-01-23T20:14:00Z</cp:lastPrinted>
  <dcterms:created xsi:type="dcterms:W3CDTF">2023-07-26T14:19:00Z</dcterms:created>
  <dcterms:modified xsi:type="dcterms:W3CDTF">2023-07-26T15:28:00Z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47a98884-07cc-4311-9b83-7c4c77d0d957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2023-01-25T16:01:21Z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fe9a6952-187b-410b-9746-0564cac59874</vt:lpwstr>
  </property>
  <property fmtid="{D5CDD505-2E9C-101B-9397-08002B2CF9AE}" pid="13" name="MSIP_Label_1391a466-f120-4668-a5e5-7af4d8a99d82_ContentBits">
    <vt:lpwstr>2</vt:lpwstr>
  </property>
</Properties>
</file>