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BD9C" w14:textId="7FBDCFDE" w:rsidR="004D6628" w:rsidRPr="00861E50" w:rsidRDefault="004B5755">
      <w:pPr>
        <w:rPr>
          <w:b/>
          <w:bCs/>
        </w:rPr>
      </w:pPr>
      <w:r w:rsidRPr="00861E50">
        <w:rPr>
          <w:b/>
          <w:bCs/>
        </w:rPr>
        <w:t>Do 2030</w:t>
      </w:r>
      <w:r w:rsidR="00861E50">
        <w:rPr>
          <w:b/>
          <w:bCs/>
        </w:rPr>
        <w:t xml:space="preserve"> r.</w:t>
      </w:r>
      <w:r w:rsidRPr="00861E50">
        <w:rPr>
          <w:b/>
          <w:bCs/>
        </w:rPr>
        <w:t xml:space="preserve"> </w:t>
      </w:r>
      <w:r w:rsidR="00A54E7C" w:rsidRPr="00861E50">
        <w:rPr>
          <w:b/>
          <w:bCs/>
        </w:rPr>
        <w:t>rynek sztucznej</w:t>
      </w:r>
      <w:r w:rsidRPr="00861E50">
        <w:rPr>
          <w:b/>
          <w:bCs/>
        </w:rPr>
        <w:t xml:space="preserve"> inteligencj</w:t>
      </w:r>
      <w:r w:rsidR="00A54E7C" w:rsidRPr="00861E50">
        <w:rPr>
          <w:b/>
          <w:bCs/>
        </w:rPr>
        <w:t>i</w:t>
      </w:r>
      <w:r w:rsidRPr="00861E50">
        <w:rPr>
          <w:b/>
          <w:bCs/>
        </w:rPr>
        <w:t xml:space="preserve"> do zarządzania ryzykiem wzro</w:t>
      </w:r>
      <w:r w:rsidR="00A54E7C" w:rsidRPr="00861E50">
        <w:rPr>
          <w:b/>
          <w:bCs/>
        </w:rPr>
        <w:t>śnie</w:t>
      </w:r>
      <w:r w:rsidRPr="00861E50">
        <w:rPr>
          <w:b/>
          <w:bCs/>
        </w:rPr>
        <w:t xml:space="preserve"> 6-krotnie</w:t>
      </w:r>
    </w:p>
    <w:p w14:paraId="5E6B5C5B" w14:textId="77777777" w:rsidR="004B5755" w:rsidRDefault="004B5755"/>
    <w:p w14:paraId="6AEF16EA" w14:textId="0C86DBC4" w:rsidR="004B5755" w:rsidRPr="00882E2E" w:rsidRDefault="00982C06" w:rsidP="0030153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82E2E">
        <w:rPr>
          <w:b/>
          <w:bCs/>
        </w:rPr>
        <w:t>Już ponad połowa przedsiębiorców korzysta ze sztucznej inteligencji w codziennej działalności, wynika z raportu McKinsey</w:t>
      </w:r>
      <w:r w:rsidR="00AA2BCD" w:rsidRPr="00882E2E">
        <w:rPr>
          <w:b/>
          <w:bCs/>
        </w:rPr>
        <w:t>.</w:t>
      </w:r>
    </w:p>
    <w:p w14:paraId="017E8F77" w14:textId="636E57FD" w:rsidR="00AA2BCD" w:rsidRPr="00882E2E" w:rsidRDefault="00AA2BCD" w:rsidP="0030153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82E2E">
        <w:rPr>
          <w:b/>
          <w:bCs/>
        </w:rPr>
        <w:t xml:space="preserve">O zaletach sztucznej inteligencji w prowadzeniu firmy świadczy m.in. </w:t>
      </w:r>
      <w:r w:rsidR="00882E2E">
        <w:rPr>
          <w:b/>
          <w:bCs/>
        </w:rPr>
        <w:t xml:space="preserve">fakt, że do końca dekady łączna wartość rynku AI do zarządzania ryzykiem ma wzrosnąć do rekordowego poziomu </w:t>
      </w:r>
      <w:r w:rsidR="00301530">
        <w:rPr>
          <w:b/>
          <w:bCs/>
        </w:rPr>
        <w:t>68,5 mld USD w skali globalnej, donosi SkyQuest.</w:t>
      </w:r>
    </w:p>
    <w:p w14:paraId="1A4DA761" w14:textId="363F8955" w:rsidR="007130C6" w:rsidRPr="00882E2E" w:rsidRDefault="007130C6" w:rsidP="0030153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82E2E">
        <w:rPr>
          <w:b/>
          <w:bCs/>
        </w:rPr>
        <w:t>Wsparcie, jakie AI oferuje w obszarze zarządzania ryzykiem nie ucieka uwadze ubezpieczycieli. Firmy, które skutecznie korzystają z tych narz</w:t>
      </w:r>
      <w:r w:rsidR="00882E2E" w:rsidRPr="00882E2E">
        <w:rPr>
          <w:b/>
          <w:bCs/>
        </w:rPr>
        <w:t>ędzi</w:t>
      </w:r>
      <w:r w:rsidR="003C5149">
        <w:rPr>
          <w:b/>
          <w:bCs/>
        </w:rPr>
        <w:t>,</w:t>
      </w:r>
      <w:r w:rsidR="00882E2E" w:rsidRPr="00882E2E">
        <w:rPr>
          <w:b/>
          <w:bCs/>
        </w:rPr>
        <w:t xml:space="preserve"> mogą liczyć na lepsze warunki ubezpieczenia.</w:t>
      </w:r>
    </w:p>
    <w:p w14:paraId="7F63AF3E" w14:textId="77777777" w:rsidR="004B5755" w:rsidRDefault="004B5755"/>
    <w:p w14:paraId="3CA4D80E" w14:textId="6F9CEC1A" w:rsidR="003050AB" w:rsidRDefault="00A86D84" w:rsidP="001F30E4">
      <w:pPr>
        <w:jc w:val="both"/>
      </w:pPr>
      <w:r>
        <w:t xml:space="preserve">Firmy nie szczędzą wydatków na </w:t>
      </w:r>
      <w:r w:rsidR="004B747D">
        <w:t>sztuczną inteligencję</w:t>
      </w:r>
      <w:r>
        <w:t xml:space="preserve">. Według </w:t>
      </w:r>
      <w:r w:rsidR="00581608">
        <w:t>raportu</w:t>
      </w:r>
      <w:r>
        <w:t xml:space="preserve"> McKinsey </w:t>
      </w:r>
      <w:r w:rsidR="003E3847">
        <w:t>„</w:t>
      </w:r>
      <w:r w:rsidR="00380DA0" w:rsidRPr="00380DA0">
        <w:t>The state of AI in 2022</w:t>
      </w:r>
      <w:r w:rsidR="003E3847">
        <w:t>”</w:t>
      </w:r>
      <w:r w:rsidR="00380DA0">
        <w:t xml:space="preserve"> już ponad 52% przedsiębiorców na świecie przeznacza 5% lub więcej</w:t>
      </w:r>
      <w:r w:rsidR="00AA6E31">
        <w:t xml:space="preserve"> ze</w:t>
      </w:r>
      <w:r w:rsidR="00380DA0">
        <w:t xml:space="preserve"> swoich budżetów IT na </w:t>
      </w:r>
      <w:r w:rsidR="009E0012">
        <w:t xml:space="preserve">rozwój sztucznej inteligencji. Co więcej, 63% </w:t>
      </w:r>
      <w:r w:rsidR="00581608">
        <w:t>firm planuje zwiększyć swoje wydatki w tym obszarze w najbliższych latach. Wgląd w skalę inwestycji daj</w:t>
      </w:r>
      <w:r w:rsidR="00455B3B">
        <w:t xml:space="preserve">ą z kolei dane </w:t>
      </w:r>
      <w:r w:rsidR="0024279D">
        <w:t xml:space="preserve">SkyQuest Technology Group, </w:t>
      </w:r>
      <w:r w:rsidR="00B37871">
        <w:t>według których</w:t>
      </w:r>
      <w:r w:rsidR="002D2641">
        <w:t xml:space="preserve"> </w:t>
      </w:r>
      <w:r w:rsidR="00F64EAF">
        <w:t>rynek samych tylko</w:t>
      </w:r>
      <w:r w:rsidR="00B37871">
        <w:t xml:space="preserve"> narzędzi AI do zarządzania ryzykiem</w:t>
      </w:r>
      <w:r w:rsidR="002D2641">
        <w:t xml:space="preserve"> </w:t>
      </w:r>
      <w:r w:rsidR="002365B0">
        <w:t xml:space="preserve">ma wzrosnąć do 2030 r. sześciokrotnie w porównaniu z 2022 r. </w:t>
      </w:r>
      <w:r w:rsidR="002D2641">
        <w:t xml:space="preserve">– do poziomu </w:t>
      </w:r>
      <w:r w:rsidR="0024777F">
        <w:t>6</w:t>
      </w:r>
      <w:r w:rsidR="001F30E4">
        <w:t>8,5 mld USD w skali globalnej.</w:t>
      </w:r>
    </w:p>
    <w:p w14:paraId="4749527E" w14:textId="77777777" w:rsidR="004B5755" w:rsidRDefault="004B5755"/>
    <w:p w14:paraId="78A37D05" w14:textId="71698A04" w:rsidR="00123BCD" w:rsidRDefault="00EA5E08" w:rsidP="005E3952">
      <w:pPr>
        <w:jc w:val="both"/>
      </w:pPr>
      <w:r>
        <w:t>–</w:t>
      </w:r>
      <w:r w:rsidR="00722DEE">
        <w:t xml:space="preserve"> </w:t>
      </w:r>
      <w:r w:rsidR="006133D8" w:rsidRPr="00EA5E08">
        <w:rPr>
          <w:i/>
          <w:iCs/>
        </w:rPr>
        <w:t xml:space="preserve">Skala spodziewanych inwestycji </w:t>
      </w:r>
      <w:r w:rsidR="00123BCD" w:rsidRPr="00EA5E08">
        <w:rPr>
          <w:i/>
          <w:iCs/>
        </w:rPr>
        <w:t xml:space="preserve">firm </w:t>
      </w:r>
      <w:r w:rsidR="006133D8" w:rsidRPr="00EA5E08">
        <w:rPr>
          <w:i/>
          <w:iCs/>
        </w:rPr>
        <w:t xml:space="preserve">w </w:t>
      </w:r>
      <w:r w:rsidR="00A07CC1" w:rsidRPr="00EA5E08">
        <w:rPr>
          <w:i/>
          <w:iCs/>
        </w:rPr>
        <w:t xml:space="preserve">narzędzia </w:t>
      </w:r>
      <w:r w:rsidR="00E167B5" w:rsidRPr="00EA5E08">
        <w:rPr>
          <w:i/>
          <w:iCs/>
        </w:rPr>
        <w:t>wspierające zarządzanie ryzykiem</w:t>
      </w:r>
      <w:r w:rsidR="004C082E" w:rsidRPr="00EA5E08">
        <w:rPr>
          <w:i/>
          <w:iCs/>
        </w:rPr>
        <w:t xml:space="preserve">, </w:t>
      </w:r>
      <w:r w:rsidR="00270004" w:rsidRPr="00EA5E08">
        <w:rPr>
          <w:i/>
          <w:iCs/>
        </w:rPr>
        <w:t>zapobieganie awariom oraz</w:t>
      </w:r>
      <w:r w:rsidR="004C082E" w:rsidRPr="00EA5E08">
        <w:rPr>
          <w:i/>
          <w:iCs/>
        </w:rPr>
        <w:t xml:space="preserve"> minimalizację skutków</w:t>
      </w:r>
      <w:r w:rsidR="00270004" w:rsidRPr="00EA5E08">
        <w:rPr>
          <w:i/>
          <w:iCs/>
        </w:rPr>
        <w:t xml:space="preserve"> inny</w:t>
      </w:r>
      <w:r w:rsidR="004C082E" w:rsidRPr="00EA5E08">
        <w:rPr>
          <w:i/>
          <w:iCs/>
        </w:rPr>
        <w:t>ch</w:t>
      </w:r>
      <w:r w:rsidR="00270004" w:rsidRPr="00EA5E08">
        <w:rPr>
          <w:i/>
          <w:iCs/>
        </w:rPr>
        <w:t xml:space="preserve"> nieprzewidziany</w:t>
      </w:r>
      <w:r w:rsidR="004C082E" w:rsidRPr="00EA5E08">
        <w:rPr>
          <w:i/>
          <w:iCs/>
        </w:rPr>
        <w:t>ch</w:t>
      </w:r>
      <w:r w:rsidR="00270004" w:rsidRPr="00EA5E08">
        <w:rPr>
          <w:i/>
          <w:iCs/>
        </w:rPr>
        <w:t xml:space="preserve"> zdarze</w:t>
      </w:r>
      <w:r w:rsidR="004C082E" w:rsidRPr="00EA5E08">
        <w:rPr>
          <w:i/>
          <w:iCs/>
        </w:rPr>
        <w:t>ń</w:t>
      </w:r>
      <w:r w:rsidR="00270004" w:rsidRPr="00EA5E08">
        <w:rPr>
          <w:i/>
          <w:iCs/>
        </w:rPr>
        <w:t xml:space="preserve"> wcale mnie nie dziwi. </w:t>
      </w:r>
      <w:r w:rsidR="004C082E" w:rsidRPr="00EA5E08">
        <w:rPr>
          <w:i/>
          <w:iCs/>
        </w:rPr>
        <w:t xml:space="preserve">W końcu </w:t>
      </w:r>
      <w:r w:rsidR="005E3952" w:rsidRPr="00EA5E08">
        <w:rPr>
          <w:i/>
          <w:iCs/>
        </w:rPr>
        <w:t xml:space="preserve">skutki pożarów, zjawisk pogodowych, złej konserwacji i awarii maszyn znajdują się w pierwszej piątce najkosztowniejszych szkód wskazanych w globalnej analizie </w:t>
      </w:r>
      <w:r w:rsidR="0043499D" w:rsidRPr="00EA5E08">
        <w:rPr>
          <w:i/>
          <w:iCs/>
        </w:rPr>
        <w:t xml:space="preserve">ubezpieczeń korporacyjnych przygotowanej przez </w:t>
      </w:r>
      <w:r w:rsidR="005E3952" w:rsidRPr="00EA5E08">
        <w:rPr>
          <w:i/>
          <w:iCs/>
        </w:rPr>
        <w:t>Allianz. Łącznie pochłonęły one połowę wartości odszkodowań wypłaconych w ostatnich pięciu latach.</w:t>
      </w:r>
      <w:r w:rsidR="00D640E1" w:rsidRPr="00EA5E08">
        <w:rPr>
          <w:i/>
          <w:iCs/>
        </w:rPr>
        <w:t xml:space="preserve"> </w:t>
      </w:r>
      <w:r w:rsidR="00373799" w:rsidRPr="00EA5E08">
        <w:rPr>
          <w:i/>
          <w:iCs/>
        </w:rPr>
        <w:t xml:space="preserve">Warto też zauważyć, że nie tylko przedsiębiorcy inwestują w AI do zarządzania ryzykiem. Również rynek ubezpieczeń </w:t>
      </w:r>
      <w:r w:rsidR="003452C4" w:rsidRPr="00EA5E08">
        <w:rPr>
          <w:i/>
          <w:iCs/>
        </w:rPr>
        <w:t xml:space="preserve">intensywnie korzysta z tych rozwiązań. Skoro </w:t>
      </w:r>
      <w:r w:rsidR="00184C26" w:rsidRPr="00EA5E08">
        <w:rPr>
          <w:i/>
          <w:iCs/>
        </w:rPr>
        <w:t xml:space="preserve">zatem eksperci od </w:t>
      </w:r>
      <w:r w:rsidR="00084E95">
        <w:rPr>
          <w:i/>
          <w:iCs/>
        </w:rPr>
        <w:t xml:space="preserve">oceny </w:t>
      </w:r>
      <w:r w:rsidR="00184C26" w:rsidRPr="00EA5E08">
        <w:rPr>
          <w:i/>
          <w:iCs/>
        </w:rPr>
        <w:t xml:space="preserve">ryzyka </w:t>
      </w:r>
      <w:r w:rsidR="00D7756A" w:rsidRPr="00EA5E08">
        <w:rPr>
          <w:i/>
          <w:iCs/>
        </w:rPr>
        <w:t>chętnie z nich korzystają, to tym bardziej powinni zwrócić na nie uwagę przedsiębiorcy</w:t>
      </w:r>
      <w:r>
        <w:rPr>
          <w:i/>
          <w:iCs/>
        </w:rPr>
        <w:t xml:space="preserve">. Zwłaszcza że </w:t>
      </w:r>
      <w:r w:rsidR="008741B1">
        <w:rPr>
          <w:i/>
          <w:iCs/>
        </w:rPr>
        <w:t>wpływają one wymiernie na budżet firmy, także w wydatkach na ubezpieczenia</w:t>
      </w:r>
      <w:r w:rsidR="00D7756A">
        <w:t xml:space="preserve"> – zauważa Mateusz Bartoszcze,</w:t>
      </w:r>
      <w:r>
        <w:t xml:space="preserve"> </w:t>
      </w:r>
      <w:r w:rsidRPr="00EA5E08">
        <w:t>broker ubezpieczeniowy, Z-ca Dyrektora Oddziału Kraków EIB SA.</w:t>
      </w:r>
    </w:p>
    <w:p w14:paraId="7B84C5D0" w14:textId="77777777" w:rsidR="00123BCD" w:rsidRDefault="00123BCD"/>
    <w:p w14:paraId="06D52E37" w14:textId="4DFEBF14" w:rsidR="00722DEE" w:rsidRDefault="008741B1">
      <w:r>
        <w:t xml:space="preserve">Według wspomnianego już raportu McKinsey, </w:t>
      </w:r>
      <w:r w:rsidR="00D53433" w:rsidRPr="00D53433">
        <w:t>43% firm zauważyło, że korzystanie z AI do zarządzania ryzykiem obniżyło ich koszty, a 48% odnotowało wzrost zysków z tego tytułu.</w:t>
      </w:r>
    </w:p>
    <w:p w14:paraId="1EEE2FA7" w14:textId="77777777" w:rsidR="00722DEE" w:rsidRDefault="00722DEE"/>
    <w:p w14:paraId="25BF8F9D" w14:textId="4DC15A35" w:rsidR="005B11A7" w:rsidRPr="00861E50" w:rsidRDefault="00861E50" w:rsidP="005B11A7">
      <w:pPr>
        <w:rPr>
          <w:b/>
          <w:bCs/>
        </w:rPr>
      </w:pPr>
      <w:r w:rsidRPr="00861E50">
        <w:rPr>
          <w:b/>
          <w:bCs/>
        </w:rPr>
        <w:t xml:space="preserve">Jak sztuczna </w:t>
      </w:r>
      <w:r w:rsidR="005B11A7" w:rsidRPr="00861E50">
        <w:rPr>
          <w:b/>
          <w:bCs/>
        </w:rPr>
        <w:t>inteligencja pomaga zarządzać ryzykiem</w:t>
      </w:r>
      <w:r w:rsidRPr="00861E50">
        <w:rPr>
          <w:b/>
          <w:bCs/>
        </w:rPr>
        <w:t>?</w:t>
      </w:r>
    </w:p>
    <w:p w14:paraId="7A9A2C88" w14:textId="42EC0B53" w:rsidR="00861E50" w:rsidRDefault="008F24CD" w:rsidP="0063443B">
      <w:pPr>
        <w:jc w:val="both"/>
      </w:pPr>
      <w:r>
        <w:t xml:space="preserve">Rozwiązania korzystające z AI mogą </w:t>
      </w:r>
      <w:r w:rsidR="00B54DCF">
        <w:t>wspomagać każde</w:t>
      </w:r>
      <w:r w:rsidR="00FD6847">
        <w:t xml:space="preserve"> etap procesu zarządzania ryzykiem</w:t>
      </w:r>
      <w:r w:rsidR="00C23A7E">
        <w:t xml:space="preserve">, czyli ułatwić identyfikację ryzyk, ich pomiar, sterowanie oraz monitorowanie i kontrolę. </w:t>
      </w:r>
      <w:r w:rsidR="00E22593">
        <w:t xml:space="preserve">Jak to </w:t>
      </w:r>
      <w:r w:rsidR="0063443B">
        <w:t xml:space="preserve">może </w:t>
      </w:r>
      <w:r w:rsidR="00E22593">
        <w:t>wygląda</w:t>
      </w:r>
      <w:r w:rsidR="0063443B">
        <w:t>ć</w:t>
      </w:r>
      <w:r w:rsidR="00E22593">
        <w:t xml:space="preserve"> w praktyce?</w:t>
      </w:r>
    </w:p>
    <w:p w14:paraId="6E790ACF" w14:textId="77777777" w:rsidR="00E22593" w:rsidRDefault="00E22593" w:rsidP="005B11A7"/>
    <w:p w14:paraId="11E6F04E" w14:textId="1813CE95" w:rsidR="00E22593" w:rsidRDefault="00D70A65" w:rsidP="007810F8">
      <w:pPr>
        <w:jc w:val="both"/>
      </w:pPr>
      <w:r w:rsidRPr="0063443B">
        <w:rPr>
          <w:b/>
          <w:bCs/>
        </w:rPr>
        <w:t>Identyfikacja i ocena ryzyk</w:t>
      </w:r>
      <w:r>
        <w:t xml:space="preserve"> – </w:t>
      </w:r>
      <w:r w:rsidR="00B21B67">
        <w:t xml:space="preserve">sztuczna inteligencja może szybko </w:t>
      </w:r>
      <w:r w:rsidR="00BD1F48">
        <w:t xml:space="preserve">usystematyzować wszystkie czynniki, które mają wpływ na działalność firmy, zestawić je z potencjalnymi zagrożeniami i </w:t>
      </w:r>
      <w:r w:rsidR="000C51A2">
        <w:t xml:space="preserve">w efekcie wytypować główne ryzyka, z którymi musi zmierzyć się </w:t>
      </w:r>
      <w:r w:rsidR="00D55FA5">
        <w:t>przedsiębiorstwo</w:t>
      </w:r>
      <w:r w:rsidR="000C51A2">
        <w:t>.</w:t>
      </w:r>
    </w:p>
    <w:p w14:paraId="4659804E" w14:textId="77777777" w:rsidR="00D70A65" w:rsidRDefault="00D70A65" w:rsidP="005B11A7"/>
    <w:p w14:paraId="69C513B6" w14:textId="0134E919" w:rsidR="00E530AD" w:rsidRDefault="00783D5E" w:rsidP="001F483D">
      <w:pPr>
        <w:jc w:val="both"/>
      </w:pPr>
      <w:r w:rsidRPr="0063443B">
        <w:rPr>
          <w:b/>
          <w:bCs/>
        </w:rPr>
        <w:t>Predykacja i pomiar</w:t>
      </w:r>
      <w:r>
        <w:t xml:space="preserve"> – </w:t>
      </w:r>
      <w:r w:rsidR="004B36B2">
        <w:t xml:space="preserve">na bazie danych historycznych AI może przygotować szacunek </w:t>
      </w:r>
      <w:r w:rsidR="00CA1626">
        <w:t>ewentualności wystąpienia poszczególnych zdarzeń</w:t>
      </w:r>
      <w:r w:rsidR="00873A42">
        <w:t xml:space="preserve">, </w:t>
      </w:r>
      <w:r w:rsidR="00E530AD">
        <w:t xml:space="preserve">ocenić ich wagę i skalę wpływu na funkcjonowanie firmy. </w:t>
      </w:r>
      <w:r w:rsidR="00873A42">
        <w:t xml:space="preserve">Te dane </w:t>
      </w:r>
      <w:r w:rsidR="00DC2D69">
        <w:t>są kluczowe do ułożenia skutecznego planu zarządzania ryzykiem.</w:t>
      </w:r>
    </w:p>
    <w:p w14:paraId="06F09391" w14:textId="77777777" w:rsidR="00783D5E" w:rsidRDefault="00783D5E" w:rsidP="005B11A7"/>
    <w:p w14:paraId="0580F26B" w14:textId="30F36E78" w:rsidR="00783D5E" w:rsidRDefault="009A63E6" w:rsidP="001F483D">
      <w:pPr>
        <w:jc w:val="both"/>
      </w:pPr>
      <w:r w:rsidRPr="0063443B">
        <w:rPr>
          <w:b/>
          <w:bCs/>
        </w:rPr>
        <w:t>Monitoring i kontrola</w:t>
      </w:r>
      <w:r>
        <w:t xml:space="preserve"> – </w:t>
      </w:r>
      <w:r w:rsidR="00DC2D69">
        <w:t xml:space="preserve">sztuczna inteligencja może na bieżąco monitorować stan </w:t>
      </w:r>
      <w:r w:rsidR="00922A5B">
        <w:t>mienia firmowego czy poszczególnych zabezpieczeń</w:t>
      </w:r>
      <w:r w:rsidR="007F7380">
        <w:t>, np. przeciwpożarowych</w:t>
      </w:r>
      <w:r w:rsidR="00B160A6">
        <w:t xml:space="preserve"> lub kontrolować</w:t>
      </w:r>
      <w:r w:rsidR="002A2151">
        <w:t xml:space="preserve"> procesy produkcji i stan parku maszynowego</w:t>
      </w:r>
      <w:r w:rsidR="00922A5B">
        <w:t xml:space="preserve">. Jednym z głównych zadań AI w tym obszarze, z którego chętnie korzystają firmy, jest </w:t>
      </w:r>
      <w:r w:rsidR="003D336C">
        <w:t xml:space="preserve">ocena zużycia materiałów i komponentów maszyn. Kiedy zbliża się moment krytyczny, kiedy wzrasta ryzyko awarii, </w:t>
      </w:r>
      <w:r w:rsidR="005C76D0">
        <w:t>narzędzie wydaje alert, który pozwala zaplanować konserwację</w:t>
      </w:r>
      <w:r w:rsidR="007F7380">
        <w:t xml:space="preserve"> czy przegląd.</w:t>
      </w:r>
    </w:p>
    <w:p w14:paraId="2C0B3FA7" w14:textId="77777777" w:rsidR="009A63E6" w:rsidRDefault="009A63E6" w:rsidP="005B11A7"/>
    <w:p w14:paraId="7EB9DDB0" w14:textId="319A338D" w:rsidR="00FD6847" w:rsidRDefault="00A06726" w:rsidP="00A06726">
      <w:pPr>
        <w:jc w:val="both"/>
      </w:pPr>
      <w:r>
        <w:t>–</w:t>
      </w:r>
      <w:r w:rsidR="009A63E6">
        <w:t xml:space="preserve"> </w:t>
      </w:r>
      <w:r w:rsidR="00200EDE" w:rsidRPr="005A172A">
        <w:rPr>
          <w:i/>
          <w:iCs/>
        </w:rPr>
        <w:t>Nie możemy też zapominać o istotnej roli, jaką AI może odegrać</w:t>
      </w:r>
      <w:r w:rsidR="00632323" w:rsidRPr="005A172A">
        <w:rPr>
          <w:i/>
          <w:iCs/>
        </w:rPr>
        <w:t xml:space="preserve"> w momencie</w:t>
      </w:r>
      <w:r w:rsidR="002A2151">
        <w:rPr>
          <w:i/>
          <w:iCs/>
        </w:rPr>
        <w:t xml:space="preserve"> wychwycenia nieprawidłowych parametrów, takich jak np. drgania, temperatura, przejrzystość powietrza</w:t>
      </w:r>
      <w:r w:rsidR="00632323" w:rsidRPr="005A172A">
        <w:rPr>
          <w:i/>
          <w:iCs/>
        </w:rPr>
        <w:t xml:space="preserve">, </w:t>
      </w:r>
      <w:r w:rsidR="002A2151">
        <w:rPr>
          <w:i/>
          <w:iCs/>
        </w:rPr>
        <w:t xml:space="preserve">jak i </w:t>
      </w:r>
      <w:r w:rsidR="00314F21">
        <w:rPr>
          <w:i/>
          <w:iCs/>
        </w:rPr>
        <w:t xml:space="preserve">kiedy </w:t>
      </w:r>
      <w:r w:rsidR="00632323" w:rsidRPr="005A172A">
        <w:rPr>
          <w:i/>
          <w:iCs/>
        </w:rPr>
        <w:t xml:space="preserve">dojdzie już do ziszczenia wytypowanych ryzyk. Automatyzacja procesu reakcji, </w:t>
      </w:r>
      <w:r w:rsidR="006A18F4" w:rsidRPr="005A172A">
        <w:rPr>
          <w:i/>
          <w:iCs/>
        </w:rPr>
        <w:t xml:space="preserve">jak np. natychmiastowe powiadomienie odpowiednich służb ratunkowych, </w:t>
      </w:r>
      <w:r w:rsidR="00EF5D44" w:rsidRPr="005A172A">
        <w:rPr>
          <w:i/>
          <w:iCs/>
        </w:rPr>
        <w:t xml:space="preserve">często decyduje o rozmiarze potencjalnych szkód i strat. Minimalizuje zatem czas powrotu do </w:t>
      </w:r>
      <w:r w:rsidRPr="005A172A">
        <w:rPr>
          <w:i/>
          <w:iCs/>
        </w:rPr>
        <w:t xml:space="preserve">codziennego funkcjonowania po incydentach. </w:t>
      </w:r>
      <w:r w:rsidR="005F7314" w:rsidRPr="005A172A">
        <w:rPr>
          <w:i/>
          <w:iCs/>
        </w:rPr>
        <w:t xml:space="preserve">Trzeba </w:t>
      </w:r>
      <w:r w:rsidRPr="005A172A">
        <w:rPr>
          <w:i/>
          <w:iCs/>
        </w:rPr>
        <w:t>także</w:t>
      </w:r>
      <w:r w:rsidR="005F7314" w:rsidRPr="005A172A">
        <w:rPr>
          <w:i/>
          <w:iCs/>
        </w:rPr>
        <w:t xml:space="preserve"> pamiętać o tym, że o jakości działania sztucznej inteligencji decyduje to, jakie i ile danych </w:t>
      </w:r>
      <w:r w:rsidR="000C1D18" w:rsidRPr="005A172A">
        <w:rPr>
          <w:i/>
          <w:iCs/>
        </w:rPr>
        <w:t xml:space="preserve">do </w:t>
      </w:r>
      <w:r w:rsidR="000C1D18" w:rsidRPr="005A172A">
        <w:rPr>
          <w:i/>
          <w:iCs/>
        </w:rPr>
        <w:lastRenderedPageBreak/>
        <w:t>przetworzeni</w:t>
      </w:r>
      <w:r w:rsidR="00411D30">
        <w:rPr>
          <w:i/>
          <w:iCs/>
        </w:rPr>
        <w:t>a</w:t>
      </w:r>
      <w:r w:rsidR="000C1D18" w:rsidRPr="005A172A">
        <w:rPr>
          <w:i/>
          <w:iCs/>
        </w:rPr>
        <w:t xml:space="preserve"> jej „wgramy”. W końcu mimo określenia „inteligencja”, narzędzia te </w:t>
      </w:r>
      <w:r w:rsidR="00F33CDA" w:rsidRPr="005A172A">
        <w:rPr>
          <w:i/>
          <w:iCs/>
        </w:rPr>
        <w:t xml:space="preserve">analizują wyłącznie te informacje, które jej przekażemy. Prowadzona przez nie analiza nie wyjdzie poza ściśle określony katalog danych, który ma za zadanie monitorować. Zatem, im więcej uwagi poświęcimy </w:t>
      </w:r>
      <w:r w:rsidR="00200EDE" w:rsidRPr="005A172A">
        <w:rPr>
          <w:i/>
          <w:iCs/>
        </w:rPr>
        <w:t>scenariuszom potencjalnych zdarzeń,</w:t>
      </w:r>
      <w:r w:rsidR="005A172A">
        <w:rPr>
          <w:i/>
          <w:iCs/>
        </w:rPr>
        <w:t xml:space="preserve"> które zaprogramujemy,</w:t>
      </w:r>
      <w:r w:rsidR="00200EDE" w:rsidRPr="005A172A">
        <w:rPr>
          <w:i/>
          <w:iCs/>
        </w:rPr>
        <w:t xml:space="preserve"> tym lepiej AI będzie pełniła swoją funkcję</w:t>
      </w:r>
      <w:r w:rsidR="00200EDE">
        <w:t xml:space="preserve"> – mówi Mateusz Bartoszcze z EIB SA.</w:t>
      </w:r>
      <w:r w:rsidR="000C1D18">
        <w:t xml:space="preserve"> </w:t>
      </w:r>
    </w:p>
    <w:p w14:paraId="1320EAA4" w14:textId="77777777" w:rsidR="000C1D18" w:rsidRDefault="000C1D18" w:rsidP="005B11A7"/>
    <w:p w14:paraId="634A7EE6" w14:textId="769BC5BB" w:rsidR="00861E50" w:rsidRPr="000E0890" w:rsidRDefault="00CA6A16" w:rsidP="005B11A7">
      <w:pPr>
        <w:rPr>
          <w:b/>
          <w:bCs/>
        </w:rPr>
      </w:pPr>
      <w:r w:rsidRPr="000E0890">
        <w:rPr>
          <w:b/>
          <w:bCs/>
        </w:rPr>
        <w:t>AI wpływa również na ubezpieczenie firmy</w:t>
      </w:r>
    </w:p>
    <w:p w14:paraId="27071972" w14:textId="15B93326" w:rsidR="005B11A7" w:rsidRDefault="009A63E6" w:rsidP="00D21586">
      <w:pPr>
        <w:jc w:val="both"/>
      </w:pPr>
      <w:r>
        <w:t>Jak widać, zaangażowanie sztucznej inteligencji w p</w:t>
      </w:r>
      <w:r w:rsidR="00E5432C">
        <w:t>roces zarządzania ryzykiem może mieć istotny wpływ na liczbę zdarzeń i rozmiar szkód, które powod</w:t>
      </w:r>
      <w:r w:rsidR="000E0890">
        <w:t>ują. Dlatego korzystanie z tych rozwiązań może też mieć</w:t>
      </w:r>
      <w:r w:rsidR="00534DB0">
        <w:t xml:space="preserve"> </w:t>
      </w:r>
      <w:r w:rsidR="00FC4637">
        <w:t xml:space="preserve">istotne znaczenie dla ochrony ubezpieczeniowej. W końcu skoro ryzyko jest mniejsze, szkody rzadsze i mniej kosztowne, to ubezpieczyciele są skłonni zaoferować firmie bardziej atrakcyjne warunki ochrony, zarówno </w:t>
      </w:r>
      <w:r w:rsidR="0013059C">
        <w:t xml:space="preserve">co do zakresu polisy, jak i jej ceny. </w:t>
      </w:r>
    </w:p>
    <w:p w14:paraId="4ADAE925" w14:textId="2C6478C8" w:rsidR="000E0890" w:rsidRDefault="000E0890"/>
    <w:p w14:paraId="607EB7F9" w14:textId="19418275" w:rsidR="001836F4" w:rsidRDefault="003605D0" w:rsidP="003605D0">
      <w:pPr>
        <w:jc w:val="both"/>
      </w:pPr>
      <w:r>
        <w:t>–</w:t>
      </w:r>
      <w:r w:rsidR="001836F4">
        <w:t xml:space="preserve"> </w:t>
      </w:r>
      <w:r w:rsidR="00272EFF" w:rsidRPr="00272EFF">
        <w:rPr>
          <w:i/>
          <w:iCs/>
        </w:rPr>
        <w:t>Towarzystwa ubezpieczeń przychylnie patrzą na firmy korzystające ze sztucznej inteligencji do wspierania procesów zarządzania ryzykiem. Ponadto, zarówno ubezpieczyciel</w:t>
      </w:r>
      <w:r w:rsidR="00411D30">
        <w:rPr>
          <w:i/>
          <w:iCs/>
        </w:rPr>
        <w:t>e</w:t>
      </w:r>
      <w:r w:rsidR="00272EFF" w:rsidRPr="00272EFF">
        <w:rPr>
          <w:i/>
          <w:iCs/>
        </w:rPr>
        <w:t xml:space="preserve">, jak i brokerzy, coraz częściej oferują klientom korporacyjnym dodatkowe wsparcie w ramach systemów monitorujących i predykcyjnych na bazie AI. Zgoda firmy na wykorzystanie sugerowanych rozwiązań pozwala czasem na zmniejszenie składki, szczególnie gdy korzystamy z rozwiązań telemetrycznych. Czasem jest wręcz kluczowa do zawarcia umowy ubezpieczenia, jeśli mamy do czynienia z ryzykiem początkowo nieakceptowalnym przez towarzystwo ubezpieczeń </w:t>
      </w:r>
      <w:r>
        <w:t>–</w:t>
      </w:r>
      <w:r w:rsidR="00B62082">
        <w:t xml:space="preserve"> mówi </w:t>
      </w:r>
      <w:r>
        <w:t>Mateusz Bartoszcze z EIB SA.</w:t>
      </w:r>
    </w:p>
    <w:p w14:paraId="46EE40C1" w14:textId="77777777" w:rsidR="00CA6A16" w:rsidRDefault="00CA6A16"/>
    <w:p w14:paraId="4F8C2D2E" w14:textId="436831E7" w:rsidR="0020349A" w:rsidRDefault="0020349A" w:rsidP="0020349A">
      <w:pPr>
        <w:jc w:val="right"/>
      </w:pPr>
      <w:r>
        <w:t>Źródło: EIB SA.</w:t>
      </w:r>
    </w:p>
    <w:sectPr w:rsidR="002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72562"/>
    <w:multiLevelType w:val="hybridMultilevel"/>
    <w:tmpl w:val="B6DCB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52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55"/>
    <w:rsid w:val="000025E7"/>
    <w:rsid w:val="00084E95"/>
    <w:rsid w:val="00087C1C"/>
    <w:rsid w:val="000C1D18"/>
    <w:rsid w:val="000C51A2"/>
    <w:rsid w:val="000E0890"/>
    <w:rsid w:val="00123BCD"/>
    <w:rsid w:val="0013059C"/>
    <w:rsid w:val="001836F4"/>
    <w:rsid w:val="00184C26"/>
    <w:rsid w:val="001D57A3"/>
    <w:rsid w:val="001F30E4"/>
    <w:rsid w:val="001F483D"/>
    <w:rsid w:val="00200EDE"/>
    <w:rsid w:val="0020349A"/>
    <w:rsid w:val="002365B0"/>
    <w:rsid w:val="00240C25"/>
    <w:rsid w:val="0024279D"/>
    <w:rsid w:val="0024777F"/>
    <w:rsid w:val="00270004"/>
    <w:rsid w:val="00272EFF"/>
    <w:rsid w:val="002A2151"/>
    <w:rsid w:val="002D2641"/>
    <w:rsid w:val="00301530"/>
    <w:rsid w:val="003050AB"/>
    <w:rsid w:val="00314F21"/>
    <w:rsid w:val="00322DF9"/>
    <w:rsid w:val="003452C4"/>
    <w:rsid w:val="003605D0"/>
    <w:rsid w:val="00373799"/>
    <w:rsid w:val="00380DA0"/>
    <w:rsid w:val="003C5149"/>
    <w:rsid w:val="003D336C"/>
    <w:rsid w:val="003E3847"/>
    <w:rsid w:val="00411D30"/>
    <w:rsid w:val="0043499D"/>
    <w:rsid w:val="00455B3B"/>
    <w:rsid w:val="004B36B2"/>
    <w:rsid w:val="004B5755"/>
    <w:rsid w:val="004B747D"/>
    <w:rsid w:val="004C082E"/>
    <w:rsid w:val="004D24AC"/>
    <w:rsid w:val="004D6628"/>
    <w:rsid w:val="004F01C4"/>
    <w:rsid w:val="00504216"/>
    <w:rsid w:val="00534DB0"/>
    <w:rsid w:val="00581608"/>
    <w:rsid w:val="005A172A"/>
    <w:rsid w:val="005B11A7"/>
    <w:rsid w:val="005B290E"/>
    <w:rsid w:val="005C76D0"/>
    <w:rsid w:val="005E3952"/>
    <w:rsid w:val="005F7314"/>
    <w:rsid w:val="006133D8"/>
    <w:rsid w:val="00632323"/>
    <w:rsid w:val="0063443B"/>
    <w:rsid w:val="00683034"/>
    <w:rsid w:val="006A18F4"/>
    <w:rsid w:val="006B1FB5"/>
    <w:rsid w:val="00712F30"/>
    <w:rsid w:val="007130C6"/>
    <w:rsid w:val="00722DEE"/>
    <w:rsid w:val="007810F8"/>
    <w:rsid w:val="00783D5E"/>
    <w:rsid w:val="007F7380"/>
    <w:rsid w:val="0084395F"/>
    <w:rsid w:val="00861E50"/>
    <w:rsid w:val="00873A42"/>
    <w:rsid w:val="008741B1"/>
    <w:rsid w:val="00882E2E"/>
    <w:rsid w:val="008F24CD"/>
    <w:rsid w:val="009021BF"/>
    <w:rsid w:val="00905FD3"/>
    <w:rsid w:val="00917B41"/>
    <w:rsid w:val="00922A5B"/>
    <w:rsid w:val="00936FE5"/>
    <w:rsid w:val="00963CC7"/>
    <w:rsid w:val="00982C06"/>
    <w:rsid w:val="00994ACA"/>
    <w:rsid w:val="009A63E6"/>
    <w:rsid w:val="009B103B"/>
    <w:rsid w:val="009E0012"/>
    <w:rsid w:val="00A026D0"/>
    <w:rsid w:val="00A06726"/>
    <w:rsid w:val="00A07CC1"/>
    <w:rsid w:val="00A54E7C"/>
    <w:rsid w:val="00A76BD2"/>
    <w:rsid w:val="00A86D84"/>
    <w:rsid w:val="00AA2BCD"/>
    <w:rsid w:val="00AA6E31"/>
    <w:rsid w:val="00AB6D6D"/>
    <w:rsid w:val="00B160A6"/>
    <w:rsid w:val="00B21B67"/>
    <w:rsid w:val="00B37871"/>
    <w:rsid w:val="00B54DCF"/>
    <w:rsid w:val="00B62082"/>
    <w:rsid w:val="00BD1F48"/>
    <w:rsid w:val="00C156C0"/>
    <w:rsid w:val="00C23A7E"/>
    <w:rsid w:val="00C377EE"/>
    <w:rsid w:val="00C6165A"/>
    <w:rsid w:val="00CA1626"/>
    <w:rsid w:val="00CA3BAC"/>
    <w:rsid w:val="00CA6A16"/>
    <w:rsid w:val="00CE6585"/>
    <w:rsid w:val="00D21586"/>
    <w:rsid w:val="00D53433"/>
    <w:rsid w:val="00D55FA5"/>
    <w:rsid w:val="00D640E1"/>
    <w:rsid w:val="00D70A65"/>
    <w:rsid w:val="00D7756A"/>
    <w:rsid w:val="00DC2D69"/>
    <w:rsid w:val="00DF20DB"/>
    <w:rsid w:val="00E167B5"/>
    <w:rsid w:val="00E22593"/>
    <w:rsid w:val="00E30172"/>
    <w:rsid w:val="00E37A36"/>
    <w:rsid w:val="00E530AD"/>
    <w:rsid w:val="00E5432C"/>
    <w:rsid w:val="00E6556C"/>
    <w:rsid w:val="00E92598"/>
    <w:rsid w:val="00EA5E08"/>
    <w:rsid w:val="00EF5D44"/>
    <w:rsid w:val="00F33CDA"/>
    <w:rsid w:val="00F36227"/>
    <w:rsid w:val="00F64EAF"/>
    <w:rsid w:val="00FC4637"/>
    <w:rsid w:val="00F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6AB9"/>
  <w15:chartTrackingRefBased/>
  <w15:docId w15:val="{91D74D64-8137-46DC-9E24-9585CBEF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D2"/>
    <w:pPr>
      <w:spacing w:after="0" w:line="240" w:lineRule="auto"/>
    </w:pPr>
    <w:rPr>
      <w:rFonts w:ascii="Tahoma" w:hAnsi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0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7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7C1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7C1C"/>
    <w:rPr>
      <w:rFonts w:ascii="Tahoma" w:hAnsi="Tahom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C1C"/>
    <w:rPr>
      <w:rFonts w:ascii="Tahoma" w:hAnsi="Tahoma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51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E6556C"/>
    <w:pPr>
      <w:spacing w:after="0" w:line="240" w:lineRule="auto"/>
    </w:pPr>
    <w:rPr>
      <w:rFonts w:ascii="Tahoma" w:hAnsi="Tahoma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IP_Do 2030 wydatki na sztuczną inteligencję do zarządzania ryzykiem wzrosną 6-krotnie</dc:title>
  <dc:subject/>
  <dc:creator>EIB SA</dc:creator>
  <cp:keywords/>
  <dc:description/>
  <cp:lastModifiedBy>Tomasz Luty</cp:lastModifiedBy>
  <cp:revision>6</cp:revision>
  <dcterms:created xsi:type="dcterms:W3CDTF">2023-07-28T06:37:00Z</dcterms:created>
  <dcterms:modified xsi:type="dcterms:W3CDTF">2023-07-28T08:01:00Z</dcterms:modified>
</cp:coreProperties>
</file>