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C383" w14:textId="0047AFBE" w:rsidR="00D824D3" w:rsidRPr="00224D91" w:rsidRDefault="00F65CEF">
      <w:pPr>
        <w:tabs>
          <w:tab w:val="left" w:pos="905"/>
          <w:tab w:val="right" w:pos="9298"/>
        </w:tabs>
        <w:spacing w:after="0" w:line="360" w:lineRule="auto"/>
        <w:jc w:val="right"/>
        <w:rPr>
          <w:rFonts w:ascii="Tahoma" w:eastAsia="Tahoma" w:hAnsi="Tahoma" w:cs="Tahoma"/>
          <w:color w:val="808080"/>
          <w:sz w:val="20"/>
          <w:szCs w:val="20"/>
        </w:rPr>
      </w:pPr>
      <w:r>
        <w:rPr>
          <w:rFonts w:ascii="Tahoma" w:hAnsi="Tahoma"/>
          <w:color w:val="808080"/>
          <w:sz w:val="20"/>
        </w:rPr>
        <w:tab/>
      </w:r>
      <w:r>
        <w:rPr>
          <w:rFonts w:ascii="Tahoma" w:hAnsi="Tahoma"/>
          <w:color w:val="808080"/>
          <w:sz w:val="20"/>
        </w:rPr>
        <w:tab/>
        <w:t>Warsaw, 26 July 2023</w:t>
      </w:r>
    </w:p>
    <w:p w14:paraId="09B71CDC" w14:textId="77D19649" w:rsidR="00D824D3" w:rsidRDefault="00B63B5B">
      <w:pPr>
        <w:spacing w:line="360" w:lineRule="auto"/>
        <w:jc w:val="center"/>
        <w:rPr>
          <w:rFonts w:ascii="Tahoma" w:eastAsia="Tahoma" w:hAnsi="Tahoma" w:cs="Tahoma"/>
          <w:b/>
          <w:color w:val="FFC000"/>
        </w:rPr>
      </w:pPr>
      <w:r>
        <w:rPr>
          <w:noProof/>
        </w:rPr>
        <w:drawing>
          <wp:anchor distT="0" distB="0" distL="114300" distR="114300" simplePos="0" relativeHeight="251658240" behindDoc="0" locked="0" layoutInCell="1" hidden="0" allowOverlap="1" wp14:anchorId="2629EEB8" wp14:editId="2D5C56E0">
            <wp:simplePos x="0" y="0"/>
            <wp:positionH relativeFrom="column">
              <wp:posOffset>4765040</wp:posOffset>
            </wp:positionH>
            <wp:positionV relativeFrom="paragraph">
              <wp:posOffset>27305</wp:posOffset>
            </wp:positionV>
            <wp:extent cx="290830" cy="290830"/>
            <wp:effectExtent l="0" t="0" r="0" b="0"/>
            <wp:wrapNone/>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0830" cy="2908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1035CC" wp14:editId="09ECC946">
            <wp:simplePos x="0" y="0"/>
            <wp:positionH relativeFrom="column">
              <wp:posOffset>4370705</wp:posOffset>
            </wp:positionH>
            <wp:positionV relativeFrom="paragraph">
              <wp:posOffset>27305</wp:posOffset>
            </wp:positionV>
            <wp:extent cx="262890" cy="262890"/>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2890" cy="2628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BF24723" wp14:editId="789FF934">
            <wp:simplePos x="0" y="0"/>
            <wp:positionH relativeFrom="column">
              <wp:posOffset>5180965</wp:posOffset>
            </wp:positionH>
            <wp:positionV relativeFrom="paragraph">
              <wp:posOffset>41275</wp:posOffset>
            </wp:positionV>
            <wp:extent cx="248920" cy="248920"/>
            <wp:effectExtent l="0" t="0" r="0" b="0"/>
            <wp:wrapNone/>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48920" cy="248920"/>
                    </a:xfrm>
                    <a:prstGeom prst="rect">
                      <a:avLst/>
                    </a:prstGeom>
                    <a:ln/>
                  </pic:spPr>
                </pic:pic>
              </a:graphicData>
            </a:graphic>
          </wp:anchor>
        </w:drawing>
      </w:r>
    </w:p>
    <w:tbl>
      <w:tblPr>
        <w:tblStyle w:val="a8"/>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253"/>
        <w:gridCol w:w="3024"/>
      </w:tblGrid>
      <w:tr w:rsidR="00D824D3" w:rsidRPr="00775CAB" w14:paraId="18FE4A91" w14:textId="77777777" w:rsidTr="00EA1E5B">
        <w:tc>
          <w:tcPr>
            <w:tcW w:w="7253" w:type="dxa"/>
          </w:tcPr>
          <w:p w14:paraId="50DAD41A" w14:textId="5A044020" w:rsidR="00D824D3" w:rsidRPr="00C02D68" w:rsidRDefault="00F65CEF">
            <w:pPr>
              <w:spacing w:line="360" w:lineRule="auto"/>
              <w:rPr>
                <w:rFonts w:ascii="Tahoma" w:eastAsia="Tahoma" w:hAnsi="Tahoma" w:cs="Tahoma"/>
                <w:bCs/>
                <w:color w:val="7F7F7F"/>
                <w:sz w:val="24"/>
                <w:szCs w:val="24"/>
              </w:rPr>
            </w:pPr>
            <w:r>
              <w:rPr>
                <w:rFonts w:ascii="Tahoma" w:hAnsi="Tahoma"/>
                <w:color w:val="7F7F7F"/>
                <w:sz w:val="24"/>
              </w:rPr>
              <w:t xml:space="preserve">#financialresults </w:t>
            </w:r>
          </w:p>
          <w:p w14:paraId="7607BB6A" w14:textId="77777777" w:rsidR="00D824D3" w:rsidRPr="00C02D68" w:rsidRDefault="00D824D3">
            <w:pPr>
              <w:spacing w:line="360" w:lineRule="auto"/>
              <w:jc w:val="both"/>
              <w:rPr>
                <w:rFonts w:ascii="Tahoma" w:eastAsia="Tahoma" w:hAnsi="Tahoma" w:cs="Tahoma"/>
                <w:bCs/>
                <w:color w:val="7F7F7F"/>
                <w:sz w:val="24"/>
                <w:szCs w:val="24"/>
              </w:rPr>
            </w:pPr>
          </w:p>
          <w:p w14:paraId="4A1154D9" w14:textId="77777777" w:rsidR="00224D91" w:rsidRPr="00C02D68" w:rsidRDefault="00224D91" w:rsidP="00224D91">
            <w:pPr>
              <w:pBdr>
                <w:top w:val="nil"/>
                <w:left w:val="nil"/>
                <w:bottom w:val="nil"/>
                <w:right w:val="nil"/>
                <w:between w:val="nil"/>
              </w:pBdr>
              <w:spacing w:line="360" w:lineRule="auto"/>
              <w:jc w:val="center"/>
              <w:rPr>
                <w:rFonts w:ascii="Tahoma" w:eastAsia="Tahoma" w:hAnsi="Tahoma" w:cs="Tahoma"/>
                <w:b/>
                <w:color w:val="7F7F7F" w:themeColor="text1" w:themeTint="80"/>
              </w:rPr>
            </w:pPr>
            <w:r>
              <w:rPr>
                <w:rFonts w:ascii="Tahoma" w:hAnsi="Tahoma"/>
                <w:b/>
                <w:color w:val="7F7F7F" w:themeColor="text1" w:themeTint="80"/>
              </w:rPr>
              <w:t>Comment by President of the Management Board of Budimex SA</w:t>
            </w:r>
          </w:p>
          <w:p w14:paraId="15F0EE83" w14:textId="77777777" w:rsidR="00224D91" w:rsidRPr="00C02D68" w:rsidRDefault="00224D91" w:rsidP="00224D91">
            <w:pPr>
              <w:pBdr>
                <w:top w:val="nil"/>
                <w:left w:val="nil"/>
                <w:bottom w:val="nil"/>
                <w:right w:val="nil"/>
                <w:between w:val="nil"/>
              </w:pBdr>
              <w:spacing w:line="360" w:lineRule="auto"/>
              <w:jc w:val="center"/>
              <w:rPr>
                <w:rFonts w:ascii="Tahoma" w:eastAsia="Tahoma" w:hAnsi="Tahoma" w:cs="Tahoma"/>
                <w:b/>
                <w:color w:val="7F7F7F" w:themeColor="text1" w:themeTint="80"/>
              </w:rPr>
            </w:pPr>
            <w:r>
              <w:rPr>
                <w:rFonts w:ascii="Tahoma" w:hAnsi="Tahoma"/>
                <w:b/>
                <w:color w:val="7F7F7F" w:themeColor="text1" w:themeTint="80"/>
              </w:rPr>
              <w:t>Artur Popko</w:t>
            </w:r>
          </w:p>
          <w:p w14:paraId="1F08E350" w14:textId="527EFF1C" w:rsidR="009A2A41" w:rsidRPr="00D51FBF" w:rsidRDefault="00224D91" w:rsidP="00224D91">
            <w:pPr>
              <w:pBdr>
                <w:top w:val="nil"/>
                <w:left w:val="nil"/>
                <w:bottom w:val="nil"/>
                <w:right w:val="nil"/>
                <w:between w:val="nil"/>
              </w:pBdr>
              <w:spacing w:line="360" w:lineRule="auto"/>
              <w:jc w:val="center"/>
              <w:rPr>
                <w:rFonts w:ascii="Tahoma" w:eastAsia="Tahoma" w:hAnsi="Tahoma" w:cs="Tahoma"/>
                <w:b/>
                <w:color w:val="FFC000"/>
              </w:rPr>
            </w:pPr>
            <w:r>
              <w:rPr>
                <w:rFonts w:ascii="Tahoma" w:hAnsi="Tahoma"/>
                <w:b/>
                <w:color w:val="FFC000"/>
              </w:rPr>
              <w:t>to the financial data of the Budimex Group</w:t>
            </w:r>
            <w:r>
              <w:rPr>
                <w:rFonts w:ascii="Tahoma" w:hAnsi="Tahoma"/>
                <w:b/>
                <w:color w:val="FFC000"/>
              </w:rPr>
              <w:br/>
              <w:t>for H1 2023</w:t>
            </w:r>
          </w:p>
          <w:p w14:paraId="2D0A5BC2" w14:textId="77777777" w:rsidR="00A9414D" w:rsidRPr="00B84905" w:rsidRDefault="00A9414D" w:rsidP="00B84905">
            <w:pPr>
              <w:pBdr>
                <w:top w:val="nil"/>
                <w:left w:val="nil"/>
                <w:bottom w:val="nil"/>
                <w:right w:val="nil"/>
                <w:between w:val="nil"/>
              </w:pBdr>
              <w:spacing w:line="360" w:lineRule="auto"/>
              <w:jc w:val="center"/>
              <w:rPr>
                <w:rFonts w:ascii="Tahoma" w:eastAsia="Tahoma" w:hAnsi="Tahoma" w:cs="Tahoma"/>
                <w:b/>
                <w:color w:val="FFC000"/>
              </w:rPr>
            </w:pPr>
          </w:p>
          <w:p w14:paraId="46075F24" w14:textId="59C10399" w:rsidR="009A2A41" w:rsidRPr="00842EA5" w:rsidRDefault="009A2A41" w:rsidP="009A2A41">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In H1 2023, sales revenues of the Budimex Group amounted to PLN 4,318 million (+8% y/y) and net</w:t>
            </w:r>
            <w:r w:rsidR="0069685B">
              <w:rPr>
                <w:rStyle w:val="Odwoanieprzypisudolnego"/>
                <w:rFonts w:ascii="Tahoma" w:eastAsia="Tahoma" w:hAnsi="Tahoma" w:cs="Tahoma"/>
                <w:bCs/>
                <w:iCs/>
                <w:color w:val="808080"/>
                <w:sz w:val="18"/>
                <w:szCs w:val="18"/>
              </w:rPr>
              <w:footnoteReference w:id="1"/>
            </w:r>
            <w:r>
              <w:rPr>
                <w:rFonts w:ascii="Tahoma" w:hAnsi="Tahoma"/>
                <w:color w:val="808080"/>
                <w:sz w:val="18"/>
              </w:rPr>
              <w:t xml:space="preserve"> profit reached PLN 275 million, which amounts to an increase in the amount of PLN 73 million (+36.5%).</w:t>
            </w:r>
          </w:p>
          <w:p w14:paraId="0FA5051D" w14:textId="09CD9A83" w:rsidR="000C0857" w:rsidRPr="00F33731" w:rsidRDefault="009A2A41" w:rsidP="000C0857">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The Group's operating margin improved compared to the same period last year and reached the level of 6.3% (compared to 5.9% in H1 2022), with a construction segment profitability of 5.9%.</w:t>
            </w:r>
          </w:p>
          <w:p w14:paraId="1D88B709" w14:textId="5032A551" w:rsidR="004151F3" w:rsidRPr="0006084D" w:rsidRDefault="00B60995" w:rsidP="009A2A41">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Group gross profitability was 8.3% compared to 6.6% in H1 2022.</w:t>
            </w:r>
          </w:p>
          <w:p w14:paraId="1C8C463E" w14:textId="7B53B941" w:rsidR="00577B5C" w:rsidRPr="00577B5C" w:rsidRDefault="008166BC" w:rsidP="00577B5C">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Budimex Group's contract portfolio at the end of June 2023 amounted to PLN 12.2 billion and secures the work front until 2025.</w:t>
            </w:r>
          </w:p>
          <w:p w14:paraId="51C3085C" w14:textId="290BA86F" w:rsidR="00CE37C5" w:rsidRPr="00CE37C5" w:rsidRDefault="00CE37C5" w:rsidP="00CE37C5">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 xml:space="preserve">On 5 June this year, a dividend was paid from the profit of Budimex S.A. for the year 2022 in the amount of PLN 459 million, which is PLN 17.99 per share. </w:t>
            </w:r>
          </w:p>
          <w:p w14:paraId="22B5F062" w14:textId="184E693C" w:rsidR="00775CAB" w:rsidRPr="001D4924" w:rsidRDefault="00775CAB" w:rsidP="007D043C">
            <w:pPr>
              <w:pBdr>
                <w:top w:val="nil"/>
                <w:left w:val="nil"/>
                <w:bottom w:val="nil"/>
                <w:right w:val="nil"/>
                <w:between w:val="nil"/>
              </w:pBdr>
              <w:spacing w:line="360" w:lineRule="auto"/>
              <w:ind w:left="720"/>
              <w:jc w:val="both"/>
              <w:rPr>
                <w:rFonts w:ascii="Tahoma" w:eastAsia="Tahoma" w:hAnsi="Tahoma" w:cs="Tahoma"/>
                <w:bCs/>
                <w:iCs/>
                <w:color w:val="808080"/>
                <w:sz w:val="18"/>
                <w:szCs w:val="18"/>
                <w:highlight w:val="yellow"/>
              </w:rPr>
            </w:pPr>
          </w:p>
          <w:p w14:paraId="3C9D00EF" w14:textId="77777777" w:rsidR="00C32C83" w:rsidRPr="001D4924" w:rsidRDefault="00C32C83">
            <w:pPr>
              <w:spacing w:line="360" w:lineRule="auto"/>
              <w:jc w:val="both"/>
              <w:rPr>
                <w:rFonts w:ascii="Tahoma" w:eastAsia="Tahoma" w:hAnsi="Tahoma" w:cs="Tahoma"/>
                <w:bCs/>
                <w:color w:val="747678"/>
                <w:sz w:val="18"/>
                <w:szCs w:val="18"/>
                <w:highlight w:val="yellow"/>
              </w:rPr>
            </w:pPr>
          </w:p>
          <w:p w14:paraId="428679F8" w14:textId="6AC7A90A" w:rsidR="004C1457" w:rsidRPr="008B5B79" w:rsidRDefault="00031C8A" w:rsidP="005B039B">
            <w:pPr>
              <w:spacing w:line="360" w:lineRule="auto"/>
              <w:jc w:val="both"/>
              <w:rPr>
                <w:rFonts w:ascii="Tahoma" w:eastAsia="Tahoma" w:hAnsi="Tahoma" w:cs="Tahoma"/>
                <w:b/>
                <w:color w:val="808080"/>
                <w:sz w:val="18"/>
                <w:szCs w:val="18"/>
              </w:rPr>
            </w:pPr>
            <w:r>
              <w:rPr>
                <w:rFonts w:ascii="Tahoma" w:hAnsi="Tahoma"/>
                <w:b/>
                <w:color w:val="808080"/>
                <w:sz w:val="18"/>
              </w:rPr>
              <w:t>Thanks to the very good position, the Group can responsibly pursue the established goals. Operating profitability as well as the net result for Q2 are even better than in Q1 2023, hence in our opinion the whole first half of 2023 was very good. We are continuing to expand on foreign markets and further strengthen our engagement in RES so as to achieve the ambitious 2050 climate neutrality target.</w:t>
            </w:r>
          </w:p>
          <w:p w14:paraId="61886233" w14:textId="77777777" w:rsidR="00C47A3A" w:rsidRPr="001D4924" w:rsidRDefault="00C47A3A" w:rsidP="005B039B">
            <w:pPr>
              <w:spacing w:line="360" w:lineRule="auto"/>
              <w:jc w:val="both"/>
              <w:rPr>
                <w:rFonts w:ascii="Tahoma" w:eastAsia="Tahoma" w:hAnsi="Tahoma" w:cs="Tahoma"/>
                <w:bCs/>
                <w:color w:val="808080"/>
                <w:sz w:val="18"/>
                <w:szCs w:val="18"/>
                <w:highlight w:val="yellow"/>
              </w:rPr>
            </w:pPr>
          </w:p>
          <w:p w14:paraId="4F2359A2" w14:textId="09A6F670" w:rsidR="005030B7" w:rsidRPr="001D4924" w:rsidRDefault="00184033" w:rsidP="005B039B">
            <w:pPr>
              <w:spacing w:line="360" w:lineRule="auto"/>
              <w:jc w:val="both"/>
              <w:rPr>
                <w:rFonts w:ascii="Tahoma" w:eastAsia="Tahoma" w:hAnsi="Tahoma" w:cs="Tahoma"/>
                <w:bCs/>
                <w:color w:val="808080"/>
                <w:sz w:val="18"/>
                <w:szCs w:val="18"/>
                <w:highlight w:val="yellow"/>
              </w:rPr>
            </w:pPr>
            <w:r>
              <w:rPr>
                <w:rFonts w:ascii="Tahoma" w:hAnsi="Tahoma"/>
                <w:color w:val="808080"/>
                <w:sz w:val="18"/>
              </w:rPr>
              <w:t xml:space="preserve">The Budimex Group generated an operating profit of PLN 273 million (compared to PLN 235 million in H1 2022), with operating profitability of 5.3% in the first quarter of this year and 7.2% in the second quarter. </w:t>
            </w:r>
          </w:p>
          <w:p w14:paraId="5A7B81AE" w14:textId="77777777" w:rsidR="00F61211" w:rsidRPr="001D4924" w:rsidRDefault="00F61211" w:rsidP="005B039B">
            <w:pPr>
              <w:spacing w:line="360" w:lineRule="auto"/>
              <w:jc w:val="both"/>
              <w:rPr>
                <w:rFonts w:ascii="Tahoma" w:eastAsia="Tahoma" w:hAnsi="Tahoma" w:cs="Tahoma"/>
                <w:bCs/>
                <w:color w:val="808080"/>
                <w:sz w:val="18"/>
                <w:szCs w:val="18"/>
                <w:highlight w:val="yellow"/>
              </w:rPr>
            </w:pPr>
          </w:p>
          <w:p w14:paraId="79798558" w14:textId="1295E790" w:rsidR="001F6968" w:rsidRDefault="00DF6A22" w:rsidP="005B039B">
            <w:pPr>
              <w:spacing w:line="360" w:lineRule="auto"/>
              <w:jc w:val="both"/>
              <w:rPr>
                <w:rFonts w:ascii="Tahoma" w:eastAsia="Tahoma" w:hAnsi="Tahoma" w:cs="Tahoma"/>
                <w:bCs/>
                <w:color w:val="808080"/>
                <w:sz w:val="18"/>
                <w:szCs w:val="18"/>
                <w:highlight w:val="yellow"/>
              </w:rPr>
            </w:pPr>
            <w:r>
              <w:rPr>
                <w:rFonts w:ascii="Tahoma" w:hAnsi="Tahoma"/>
                <w:color w:val="808080"/>
                <w:sz w:val="18"/>
              </w:rPr>
              <w:t xml:space="preserve">A gross profit of Budimex Group was PLN 357 million with a profitability of 8.3% compared to 6.6% in the first half of the previous year. Profitability at the level of gross </w:t>
            </w:r>
            <w:r>
              <w:rPr>
                <w:rFonts w:ascii="Tahoma" w:hAnsi="Tahoma"/>
                <w:color w:val="808080"/>
                <w:sz w:val="18"/>
              </w:rPr>
              <w:lastRenderedPageBreak/>
              <w:t>profit was supported by significant improvement in financial results, which resulted from an increase in the average level of interest rate of cash invested by the Budimex Group.</w:t>
            </w:r>
            <w:r>
              <w:rPr>
                <w:rFonts w:ascii="Tahoma" w:hAnsi="Tahoma"/>
                <w:color w:val="808080"/>
                <w:sz w:val="18"/>
                <w:highlight w:val="yellow"/>
              </w:rPr>
              <w:t xml:space="preserve"> </w:t>
            </w:r>
          </w:p>
          <w:p w14:paraId="5865BFD3" w14:textId="77777777" w:rsidR="0042119F" w:rsidRPr="001D4924" w:rsidRDefault="0042119F" w:rsidP="005B039B">
            <w:pPr>
              <w:spacing w:line="360" w:lineRule="auto"/>
              <w:jc w:val="both"/>
              <w:rPr>
                <w:rFonts w:ascii="Tahoma" w:eastAsia="Tahoma" w:hAnsi="Tahoma" w:cs="Tahoma"/>
                <w:bCs/>
                <w:color w:val="808080"/>
                <w:sz w:val="18"/>
                <w:szCs w:val="18"/>
                <w:highlight w:val="yellow"/>
              </w:rPr>
            </w:pPr>
          </w:p>
          <w:tbl>
            <w:tblPr>
              <w:tblW w:w="7092" w:type="dxa"/>
              <w:tblLayout w:type="fixed"/>
              <w:tblCellMar>
                <w:left w:w="70" w:type="dxa"/>
                <w:right w:w="70" w:type="dxa"/>
              </w:tblCellMar>
              <w:tblLook w:val="04A0" w:firstRow="1" w:lastRow="0" w:firstColumn="1" w:lastColumn="0" w:noHBand="0" w:noVBand="1"/>
            </w:tblPr>
            <w:tblGrid>
              <w:gridCol w:w="3017"/>
              <w:gridCol w:w="1418"/>
              <w:gridCol w:w="1559"/>
              <w:gridCol w:w="1098"/>
            </w:tblGrid>
            <w:tr w:rsidR="001F6968" w:rsidRPr="001F6968" w14:paraId="6787734D" w14:textId="77777777" w:rsidTr="00F44AEC">
              <w:trPr>
                <w:trHeight w:val="349"/>
              </w:trPr>
              <w:tc>
                <w:tcPr>
                  <w:tcW w:w="3017" w:type="dxa"/>
                  <w:vMerge w:val="restart"/>
                  <w:tcBorders>
                    <w:top w:val="nil"/>
                    <w:left w:val="single" w:sz="4" w:space="0" w:color="000000"/>
                    <w:bottom w:val="single" w:sz="8" w:space="0" w:color="000000"/>
                    <w:right w:val="nil"/>
                  </w:tcBorders>
                  <w:shd w:val="clear" w:color="000000" w:fill="595959"/>
                  <w:vAlign w:val="center"/>
                  <w:hideMark/>
                </w:tcPr>
                <w:p w14:paraId="45FD72DC" w14:textId="64C74E62" w:rsidR="001F6968" w:rsidRPr="001F6968" w:rsidRDefault="001F6968" w:rsidP="001F6968">
                  <w:pPr>
                    <w:spacing w:after="0" w:line="240" w:lineRule="auto"/>
                    <w:rPr>
                      <w:rFonts w:ascii="Tahoma" w:eastAsia="Times New Roman" w:hAnsi="Tahoma" w:cs="Tahoma"/>
                      <w:b/>
                      <w:bCs/>
                      <w:color w:val="F2F2F2"/>
                    </w:rPr>
                  </w:pPr>
                  <w:r>
                    <w:rPr>
                      <w:rFonts w:ascii="Tahoma" w:hAnsi="Tahoma"/>
                      <w:b/>
                      <w:color w:val="F2F2F2"/>
                    </w:rPr>
                    <w:t>Budimex Group</w:t>
                  </w:r>
                  <w:r>
                    <w:rPr>
                      <w:rFonts w:ascii="Tahoma" w:hAnsi="Tahoma"/>
                      <w:b/>
                      <w:color w:val="F2F2F2"/>
                    </w:rPr>
                    <w:cr/>
                  </w:r>
                  <w:r>
                    <w:rPr>
                      <w:rFonts w:ascii="Tahoma" w:hAnsi="Tahoma"/>
                      <w:b/>
                      <w:color w:val="F2F2F2"/>
                    </w:rPr>
                    <w:br/>
                    <w:t>(PLN million)</w:t>
                  </w:r>
                </w:p>
              </w:tc>
              <w:tc>
                <w:tcPr>
                  <w:tcW w:w="4075" w:type="dxa"/>
                  <w:gridSpan w:val="3"/>
                  <w:tcBorders>
                    <w:top w:val="nil"/>
                    <w:left w:val="nil"/>
                    <w:bottom w:val="single" w:sz="4" w:space="0" w:color="000000"/>
                    <w:right w:val="nil"/>
                  </w:tcBorders>
                  <w:shd w:val="clear" w:color="000000" w:fill="BFBFBF"/>
                  <w:noWrap/>
                  <w:vAlign w:val="center"/>
                  <w:hideMark/>
                </w:tcPr>
                <w:p w14:paraId="272C3F5C" w14:textId="77777777" w:rsidR="001F6968" w:rsidRPr="001F6968" w:rsidRDefault="001F6968" w:rsidP="001F6968">
                  <w:pPr>
                    <w:spacing w:after="0" w:line="240" w:lineRule="auto"/>
                    <w:jc w:val="center"/>
                    <w:rPr>
                      <w:rFonts w:ascii="Tahoma" w:eastAsia="Times New Roman" w:hAnsi="Tahoma" w:cs="Tahoma"/>
                      <w:b/>
                      <w:bCs/>
                      <w:color w:val="000000"/>
                    </w:rPr>
                  </w:pPr>
                  <w:r>
                    <w:rPr>
                      <w:rFonts w:ascii="Tahoma" w:hAnsi="Tahoma"/>
                      <w:b/>
                      <w:color w:val="000000"/>
                    </w:rPr>
                    <w:t>Profit and loss account</w:t>
                  </w:r>
                </w:p>
              </w:tc>
            </w:tr>
            <w:tr w:rsidR="001F6968" w:rsidRPr="001F6968" w14:paraId="73E655B3" w14:textId="77777777" w:rsidTr="00F44AEC">
              <w:trPr>
                <w:trHeight w:val="540"/>
              </w:trPr>
              <w:tc>
                <w:tcPr>
                  <w:tcW w:w="3017" w:type="dxa"/>
                  <w:vMerge/>
                  <w:tcBorders>
                    <w:top w:val="nil"/>
                    <w:left w:val="single" w:sz="4" w:space="0" w:color="000000"/>
                    <w:bottom w:val="single" w:sz="8" w:space="0" w:color="000000"/>
                    <w:right w:val="nil"/>
                  </w:tcBorders>
                  <w:vAlign w:val="center"/>
                  <w:hideMark/>
                </w:tcPr>
                <w:p w14:paraId="525F4ABB" w14:textId="77777777" w:rsidR="001F6968" w:rsidRPr="001F6968" w:rsidRDefault="001F6968" w:rsidP="001F6968">
                  <w:pPr>
                    <w:spacing w:after="0" w:line="240" w:lineRule="auto"/>
                    <w:rPr>
                      <w:rFonts w:ascii="Tahoma" w:eastAsia="Times New Roman" w:hAnsi="Tahoma" w:cs="Tahoma"/>
                      <w:b/>
                      <w:bCs/>
                      <w:color w:val="F2F2F2"/>
                    </w:rPr>
                  </w:pPr>
                </w:p>
              </w:tc>
              <w:tc>
                <w:tcPr>
                  <w:tcW w:w="1418" w:type="dxa"/>
                  <w:tcBorders>
                    <w:top w:val="nil"/>
                    <w:left w:val="nil"/>
                    <w:bottom w:val="nil"/>
                    <w:right w:val="nil"/>
                  </w:tcBorders>
                  <w:shd w:val="clear" w:color="000000" w:fill="BFBFBF"/>
                  <w:vAlign w:val="center"/>
                  <w:hideMark/>
                </w:tcPr>
                <w:p w14:paraId="2CC2C825" w14:textId="77777777" w:rsidR="001F6968" w:rsidRPr="001F6968" w:rsidRDefault="001F6968" w:rsidP="001F6968">
                  <w:pPr>
                    <w:spacing w:after="0" w:line="240" w:lineRule="auto"/>
                    <w:jc w:val="center"/>
                    <w:rPr>
                      <w:rFonts w:ascii="Tahoma" w:eastAsia="Times New Roman" w:hAnsi="Tahoma" w:cs="Tahoma"/>
                      <w:color w:val="000000"/>
                    </w:rPr>
                  </w:pPr>
                  <w:r>
                    <w:rPr>
                      <w:rFonts w:ascii="Tahoma" w:hAnsi="Tahoma"/>
                      <w:color w:val="000000"/>
                    </w:rPr>
                    <w:t>H1 2023</w:t>
                  </w:r>
                </w:p>
              </w:tc>
              <w:tc>
                <w:tcPr>
                  <w:tcW w:w="1559" w:type="dxa"/>
                  <w:tcBorders>
                    <w:top w:val="nil"/>
                    <w:left w:val="single" w:sz="4" w:space="0" w:color="000000"/>
                    <w:bottom w:val="single" w:sz="8" w:space="0" w:color="000000"/>
                    <w:right w:val="single" w:sz="4" w:space="0" w:color="000000"/>
                  </w:tcBorders>
                  <w:shd w:val="clear" w:color="000000" w:fill="BFBFBF"/>
                  <w:vAlign w:val="center"/>
                  <w:hideMark/>
                </w:tcPr>
                <w:p w14:paraId="4784EF9C" w14:textId="77777777" w:rsidR="001F6968" w:rsidRPr="001F6968" w:rsidRDefault="001F6968" w:rsidP="001F6968">
                  <w:pPr>
                    <w:spacing w:after="0" w:line="240" w:lineRule="auto"/>
                    <w:jc w:val="center"/>
                    <w:rPr>
                      <w:rFonts w:ascii="Tahoma" w:eastAsia="Times New Roman" w:hAnsi="Tahoma" w:cs="Tahoma"/>
                      <w:color w:val="000000"/>
                    </w:rPr>
                  </w:pPr>
                  <w:r>
                    <w:rPr>
                      <w:rFonts w:ascii="Tahoma" w:hAnsi="Tahoma"/>
                      <w:color w:val="000000"/>
                    </w:rPr>
                    <w:t>H1 2022</w:t>
                  </w:r>
                </w:p>
              </w:tc>
              <w:tc>
                <w:tcPr>
                  <w:tcW w:w="1098" w:type="dxa"/>
                  <w:tcBorders>
                    <w:top w:val="nil"/>
                    <w:left w:val="nil"/>
                    <w:bottom w:val="single" w:sz="8" w:space="0" w:color="000000"/>
                    <w:right w:val="nil"/>
                  </w:tcBorders>
                  <w:shd w:val="clear" w:color="000000" w:fill="BFBFBF"/>
                  <w:noWrap/>
                  <w:vAlign w:val="center"/>
                  <w:hideMark/>
                </w:tcPr>
                <w:p w14:paraId="51E9080A" w14:textId="77777777" w:rsidR="001F6968" w:rsidRPr="001F6968" w:rsidRDefault="001F6968" w:rsidP="001F6968">
                  <w:pPr>
                    <w:spacing w:after="0" w:line="240" w:lineRule="auto"/>
                    <w:jc w:val="center"/>
                    <w:rPr>
                      <w:rFonts w:ascii="Tahoma" w:eastAsia="Times New Roman" w:hAnsi="Tahoma" w:cs="Tahoma"/>
                      <w:color w:val="000000"/>
                    </w:rPr>
                  </w:pPr>
                  <w:r>
                    <w:rPr>
                      <w:rFonts w:ascii="Tahoma" w:hAnsi="Tahoma"/>
                      <w:color w:val="000000"/>
                    </w:rPr>
                    <w:t>y/y</w:t>
                  </w:r>
                </w:p>
              </w:tc>
            </w:tr>
            <w:tr w:rsidR="001F6968" w:rsidRPr="001F6968" w14:paraId="56B3FEC3" w14:textId="77777777" w:rsidTr="00F44AEC">
              <w:trPr>
                <w:trHeight w:val="420"/>
              </w:trPr>
              <w:tc>
                <w:tcPr>
                  <w:tcW w:w="3017" w:type="dxa"/>
                  <w:tcBorders>
                    <w:top w:val="nil"/>
                    <w:left w:val="single" w:sz="8" w:space="0" w:color="FFC000"/>
                    <w:bottom w:val="single" w:sz="8" w:space="0" w:color="auto"/>
                    <w:right w:val="nil"/>
                  </w:tcBorders>
                  <w:shd w:val="clear" w:color="000000" w:fill="FFC000"/>
                  <w:noWrap/>
                  <w:vAlign w:val="center"/>
                  <w:hideMark/>
                </w:tcPr>
                <w:p w14:paraId="6672ADB5"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Sale</w:t>
                  </w:r>
                </w:p>
              </w:tc>
              <w:tc>
                <w:tcPr>
                  <w:tcW w:w="1418" w:type="dxa"/>
                  <w:tcBorders>
                    <w:top w:val="single" w:sz="8" w:space="0" w:color="000000"/>
                    <w:left w:val="nil"/>
                    <w:bottom w:val="single" w:sz="8" w:space="0" w:color="000000"/>
                    <w:right w:val="nil"/>
                  </w:tcBorders>
                  <w:shd w:val="clear" w:color="000000" w:fill="FFC000"/>
                  <w:noWrap/>
                  <w:vAlign w:val="center"/>
                  <w:hideMark/>
                </w:tcPr>
                <w:p w14:paraId="587EF85B"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4318</w:t>
                  </w:r>
                </w:p>
              </w:tc>
              <w:tc>
                <w:tcPr>
                  <w:tcW w:w="1559" w:type="dxa"/>
                  <w:tcBorders>
                    <w:top w:val="nil"/>
                    <w:left w:val="nil"/>
                    <w:bottom w:val="single" w:sz="8" w:space="0" w:color="000000"/>
                    <w:right w:val="nil"/>
                  </w:tcBorders>
                  <w:shd w:val="clear" w:color="000000" w:fill="FFC000"/>
                  <w:noWrap/>
                  <w:vAlign w:val="center"/>
                  <w:hideMark/>
                </w:tcPr>
                <w:p w14:paraId="1A0AA1B7"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3998</w:t>
                  </w:r>
                </w:p>
              </w:tc>
              <w:tc>
                <w:tcPr>
                  <w:tcW w:w="1098" w:type="dxa"/>
                  <w:tcBorders>
                    <w:top w:val="nil"/>
                    <w:left w:val="nil"/>
                    <w:bottom w:val="single" w:sz="8" w:space="0" w:color="000000"/>
                    <w:right w:val="single" w:sz="8" w:space="0" w:color="FFC000"/>
                  </w:tcBorders>
                  <w:shd w:val="clear" w:color="000000" w:fill="FFC000"/>
                  <w:noWrap/>
                  <w:vAlign w:val="center"/>
                  <w:hideMark/>
                </w:tcPr>
                <w:p w14:paraId="24EA971D"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8.0%</w:t>
                  </w:r>
                </w:p>
              </w:tc>
            </w:tr>
            <w:tr w:rsidR="001F6968" w:rsidRPr="001F6968" w14:paraId="2D39E020" w14:textId="77777777" w:rsidTr="00F44AEC">
              <w:trPr>
                <w:trHeight w:val="420"/>
              </w:trPr>
              <w:tc>
                <w:tcPr>
                  <w:tcW w:w="3017" w:type="dxa"/>
                  <w:tcBorders>
                    <w:top w:val="single" w:sz="4" w:space="0" w:color="000000"/>
                    <w:left w:val="nil"/>
                    <w:bottom w:val="nil"/>
                    <w:right w:val="nil"/>
                  </w:tcBorders>
                  <w:shd w:val="clear" w:color="000000" w:fill="F2F2F2"/>
                  <w:noWrap/>
                  <w:vAlign w:val="center"/>
                  <w:hideMark/>
                </w:tcPr>
                <w:p w14:paraId="524166C4"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Operational profit</w:t>
                  </w:r>
                </w:p>
              </w:tc>
              <w:tc>
                <w:tcPr>
                  <w:tcW w:w="1418" w:type="dxa"/>
                  <w:tcBorders>
                    <w:top w:val="nil"/>
                    <w:left w:val="nil"/>
                    <w:bottom w:val="nil"/>
                    <w:right w:val="nil"/>
                  </w:tcBorders>
                  <w:shd w:val="clear" w:color="000000" w:fill="F2F2F2"/>
                  <w:noWrap/>
                  <w:vAlign w:val="center"/>
                  <w:hideMark/>
                </w:tcPr>
                <w:p w14:paraId="32104492"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273</w:t>
                  </w:r>
                </w:p>
              </w:tc>
              <w:tc>
                <w:tcPr>
                  <w:tcW w:w="1559" w:type="dxa"/>
                  <w:tcBorders>
                    <w:top w:val="nil"/>
                    <w:left w:val="nil"/>
                    <w:bottom w:val="nil"/>
                    <w:right w:val="nil"/>
                  </w:tcBorders>
                  <w:shd w:val="clear" w:color="000000" w:fill="F2F2F2"/>
                  <w:noWrap/>
                  <w:vAlign w:val="center"/>
                  <w:hideMark/>
                </w:tcPr>
                <w:p w14:paraId="352366F0"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235</w:t>
                  </w:r>
                </w:p>
              </w:tc>
              <w:tc>
                <w:tcPr>
                  <w:tcW w:w="1098" w:type="dxa"/>
                  <w:tcBorders>
                    <w:top w:val="single" w:sz="4" w:space="0" w:color="000000"/>
                    <w:left w:val="nil"/>
                    <w:bottom w:val="nil"/>
                    <w:right w:val="nil"/>
                  </w:tcBorders>
                  <w:shd w:val="clear" w:color="000000" w:fill="F2F2F2"/>
                  <w:noWrap/>
                  <w:vAlign w:val="center"/>
                  <w:hideMark/>
                </w:tcPr>
                <w:p w14:paraId="2A30CD1F"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16.2%</w:t>
                  </w:r>
                </w:p>
              </w:tc>
            </w:tr>
            <w:tr w:rsidR="001F6968" w:rsidRPr="001F6968" w14:paraId="0A121B04" w14:textId="77777777" w:rsidTr="00F44AEC">
              <w:trPr>
                <w:trHeight w:val="252"/>
              </w:trPr>
              <w:tc>
                <w:tcPr>
                  <w:tcW w:w="3017" w:type="dxa"/>
                  <w:tcBorders>
                    <w:top w:val="nil"/>
                    <w:left w:val="nil"/>
                    <w:bottom w:val="nil"/>
                    <w:right w:val="nil"/>
                  </w:tcBorders>
                  <w:shd w:val="clear" w:color="000000" w:fill="F2F2F2"/>
                  <w:noWrap/>
                  <w:vAlign w:val="center"/>
                  <w:hideMark/>
                </w:tcPr>
                <w:p w14:paraId="2057F881"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 of sales</w:t>
                  </w:r>
                </w:p>
              </w:tc>
              <w:tc>
                <w:tcPr>
                  <w:tcW w:w="1418" w:type="dxa"/>
                  <w:tcBorders>
                    <w:top w:val="nil"/>
                    <w:left w:val="nil"/>
                    <w:bottom w:val="nil"/>
                    <w:right w:val="nil"/>
                  </w:tcBorders>
                  <w:shd w:val="clear" w:color="000000" w:fill="F2F2F2"/>
                  <w:noWrap/>
                  <w:vAlign w:val="center"/>
                  <w:hideMark/>
                </w:tcPr>
                <w:p w14:paraId="69E52E46"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6.3%</w:t>
                  </w:r>
                </w:p>
              </w:tc>
              <w:tc>
                <w:tcPr>
                  <w:tcW w:w="1559" w:type="dxa"/>
                  <w:tcBorders>
                    <w:top w:val="nil"/>
                    <w:left w:val="nil"/>
                    <w:bottom w:val="nil"/>
                    <w:right w:val="nil"/>
                  </w:tcBorders>
                  <w:shd w:val="clear" w:color="000000" w:fill="F2F2F2"/>
                  <w:noWrap/>
                  <w:vAlign w:val="center"/>
                  <w:hideMark/>
                </w:tcPr>
                <w:p w14:paraId="182D233A"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5.9%</w:t>
                  </w:r>
                </w:p>
              </w:tc>
              <w:tc>
                <w:tcPr>
                  <w:tcW w:w="1098" w:type="dxa"/>
                  <w:tcBorders>
                    <w:top w:val="nil"/>
                    <w:left w:val="nil"/>
                    <w:bottom w:val="nil"/>
                    <w:right w:val="nil"/>
                  </w:tcBorders>
                  <w:shd w:val="clear" w:color="000000" w:fill="F2F2F2"/>
                  <w:noWrap/>
                  <w:vAlign w:val="center"/>
                  <w:hideMark/>
                </w:tcPr>
                <w:p w14:paraId="16AD1BD9"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0.4% pp.</w:t>
                  </w:r>
                </w:p>
              </w:tc>
            </w:tr>
            <w:tr w:rsidR="001F6968" w:rsidRPr="001F6968" w14:paraId="552B7989" w14:textId="77777777" w:rsidTr="00F44AEC">
              <w:trPr>
                <w:trHeight w:val="420"/>
              </w:trPr>
              <w:tc>
                <w:tcPr>
                  <w:tcW w:w="3017" w:type="dxa"/>
                  <w:tcBorders>
                    <w:top w:val="single" w:sz="4" w:space="0" w:color="000000"/>
                    <w:left w:val="nil"/>
                    <w:bottom w:val="nil"/>
                    <w:right w:val="nil"/>
                  </w:tcBorders>
                  <w:shd w:val="clear" w:color="000000" w:fill="F2F2F2"/>
                  <w:noWrap/>
                  <w:vAlign w:val="center"/>
                  <w:hideMark/>
                </w:tcPr>
                <w:p w14:paraId="73A3315B"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Gross profit</w:t>
                  </w:r>
                </w:p>
              </w:tc>
              <w:tc>
                <w:tcPr>
                  <w:tcW w:w="1418" w:type="dxa"/>
                  <w:tcBorders>
                    <w:top w:val="single" w:sz="4" w:space="0" w:color="000000"/>
                    <w:left w:val="nil"/>
                    <w:bottom w:val="nil"/>
                    <w:right w:val="nil"/>
                  </w:tcBorders>
                  <w:shd w:val="clear" w:color="000000" w:fill="F2F2F2"/>
                  <w:noWrap/>
                  <w:vAlign w:val="center"/>
                  <w:hideMark/>
                </w:tcPr>
                <w:p w14:paraId="56A96625"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357</w:t>
                  </w:r>
                </w:p>
              </w:tc>
              <w:tc>
                <w:tcPr>
                  <w:tcW w:w="1559" w:type="dxa"/>
                  <w:tcBorders>
                    <w:top w:val="single" w:sz="4" w:space="0" w:color="000000"/>
                    <w:left w:val="nil"/>
                    <w:bottom w:val="nil"/>
                    <w:right w:val="nil"/>
                  </w:tcBorders>
                  <w:shd w:val="clear" w:color="000000" w:fill="F2F2F2"/>
                  <w:noWrap/>
                  <w:vAlign w:val="center"/>
                  <w:hideMark/>
                </w:tcPr>
                <w:p w14:paraId="3BC07D79"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262</w:t>
                  </w:r>
                </w:p>
              </w:tc>
              <w:tc>
                <w:tcPr>
                  <w:tcW w:w="1098" w:type="dxa"/>
                  <w:tcBorders>
                    <w:top w:val="single" w:sz="4" w:space="0" w:color="000000"/>
                    <w:left w:val="nil"/>
                    <w:bottom w:val="nil"/>
                    <w:right w:val="nil"/>
                  </w:tcBorders>
                  <w:shd w:val="clear" w:color="000000" w:fill="F2F2F2"/>
                  <w:noWrap/>
                  <w:vAlign w:val="center"/>
                  <w:hideMark/>
                </w:tcPr>
                <w:p w14:paraId="629A513D"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36.1%</w:t>
                  </w:r>
                </w:p>
              </w:tc>
            </w:tr>
            <w:tr w:rsidR="001F6968" w:rsidRPr="001F6968" w14:paraId="1EE721BF" w14:textId="77777777" w:rsidTr="00F44AEC">
              <w:trPr>
                <w:trHeight w:val="252"/>
              </w:trPr>
              <w:tc>
                <w:tcPr>
                  <w:tcW w:w="3017" w:type="dxa"/>
                  <w:tcBorders>
                    <w:top w:val="nil"/>
                    <w:left w:val="nil"/>
                    <w:bottom w:val="nil"/>
                    <w:right w:val="nil"/>
                  </w:tcBorders>
                  <w:shd w:val="clear" w:color="000000" w:fill="F2F2F2"/>
                  <w:noWrap/>
                  <w:vAlign w:val="center"/>
                  <w:hideMark/>
                </w:tcPr>
                <w:p w14:paraId="7FE25794"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 of sales</w:t>
                  </w:r>
                </w:p>
              </w:tc>
              <w:tc>
                <w:tcPr>
                  <w:tcW w:w="1418" w:type="dxa"/>
                  <w:tcBorders>
                    <w:top w:val="nil"/>
                    <w:left w:val="nil"/>
                    <w:bottom w:val="nil"/>
                    <w:right w:val="nil"/>
                  </w:tcBorders>
                  <w:shd w:val="clear" w:color="000000" w:fill="F2F2F2"/>
                  <w:noWrap/>
                  <w:vAlign w:val="center"/>
                  <w:hideMark/>
                </w:tcPr>
                <w:p w14:paraId="2946CEAA"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8.3%</w:t>
                  </w:r>
                </w:p>
              </w:tc>
              <w:tc>
                <w:tcPr>
                  <w:tcW w:w="1559" w:type="dxa"/>
                  <w:tcBorders>
                    <w:top w:val="nil"/>
                    <w:left w:val="nil"/>
                    <w:bottom w:val="nil"/>
                    <w:right w:val="nil"/>
                  </w:tcBorders>
                  <w:shd w:val="clear" w:color="000000" w:fill="F2F2F2"/>
                  <w:noWrap/>
                  <w:vAlign w:val="center"/>
                  <w:hideMark/>
                </w:tcPr>
                <w:p w14:paraId="1C731A04"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6.6%</w:t>
                  </w:r>
                </w:p>
              </w:tc>
              <w:tc>
                <w:tcPr>
                  <w:tcW w:w="1098" w:type="dxa"/>
                  <w:tcBorders>
                    <w:top w:val="nil"/>
                    <w:left w:val="nil"/>
                    <w:bottom w:val="nil"/>
                    <w:right w:val="nil"/>
                  </w:tcBorders>
                  <w:shd w:val="clear" w:color="000000" w:fill="F2F2F2"/>
                  <w:noWrap/>
                  <w:vAlign w:val="center"/>
                  <w:hideMark/>
                </w:tcPr>
                <w:p w14:paraId="06B9BF28"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1.7% pp.</w:t>
                  </w:r>
                </w:p>
              </w:tc>
            </w:tr>
            <w:tr w:rsidR="001F6968" w:rsidRPr="001F6968" w14:paraId="09FC4DF4" w14:textId="77777777" w:rsidTr="00F44AEC">
              <w:trPr>
                <w:trHeight w:val="525"/>
              </w:trPr>
              <w:tc>
                <w:tcPr>
                  <w:tcW w:w="3017" w:type="dxa"/>
                  <w:tcBorders>
                    <w:top w:val="single" w:sz="4" w:space="0" w:color="000000"/>
                    <w:left w:val="nil"/>
                    <w:bottom w:val="nil"/>
                    <w:right w:val="nil"/>
                  </w:tcBorders>
                  <w:shd w:val="clear" w:color="000000" w:fill="F2F2F2"/>
                  <w:vAlign w:val="center"/>
                  <w:hideMark/>
                </w:tcPr>
                <w:p w14:paraId="2406696A"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Net profit*</w:t>
                  </w:r>
                </w:p>
              </w:tc>
              <w:tc>
                <w:tcPr>
                  <w:tcW w:w="1418" w:type="dxa"/>
                  <w:tcBorders>
                    <w:top w:val="single" w:sz="4" w:space="0" w:color="000000"/>
                    <w:left w:val="nil"/>
                    <w:bottom w:val="nil"/>
                    <w:right w:val="nil"/>
                  </w:tcBorders>
                  <w:shd w:val="clear" w:color="000000" w:fill="F2F2F2"/>
                  <w:noWrap/>
                  <w:vAlign w:val="center"/>
                  <w:hideMark/>
                </w:tcPr>
                <w:p w14:paraId="2506D6DC"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275</w:t>
                  </w:r>
                </w:p>
              </w:tc>
              <w:tc>
                <w:tcPr>
                  <w:tcW w:w="1559" w:type="dxa"/>
                  <w:tcBorders>
                    <w:top w:val="single" w:sz="4" w:space="0" w:color="000000"/>
                    <w:left w:val="nil"/>
                    <w:bottom w:val="nil"/>
                    <w:right w:val="nil"/>
                  </w:tcBorders>
                  <w:shd w:val="clear" w:color="000000" w:fill="F2F2F2"/>
                  <w:noWrap/>
                  <w:vAlign w:val="center"/>
                  <w:hideMark/>
                </w:tcPr>
                <w:p w14:paraId="126D771D"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201</w:t>
                  </w:r>
                </w:p>
              </w:tc>
              <w:tc>
                <w:tcPr>
                  <w:tcW w:w="1098" w:type="dxa"/>
                  <w:tcBorders>
                    <w:top w:val="single" w:sz="4" w:space="0" w:color="000000"/>
                    <w:left w:val="nil"/>
                    <w:bottom w:val="nil"/>
                    <w:right w:val="nil"/>
                  </w:tcBorders>
                  <w:shd w:val="clear" w:color="000000" w:fill="F2F2F2"/>
                  <w:noWrap/>
                  <w:vAlign w:val="center"/>
                  <w:hideMark/>
                </w:tcPr>
                <w:p w14:paraId="0C7F4810"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36.5%</w:t>
                  </w:r>
                </w:p>
              </w:tc>
            </w:tr>
            <w:tr w:rsidR="001F6968" w:rsidRPr="001F6968" w14:paraId="51A4E9B3" w14:textId="77777777" w:rsidTr="00F44AEC">
              <w:trPr>
                <w:trHeight w:val="252"/>
              </w:trPr>
              <w:tc>
                <w:tcPr>
                  <w:tcW w:w="3017" w:type="dxa"/>
                  <w:tcBorders>
                    <w:top w:val="nil"/>
                    <w:left w:val="nil"/>
                    <w:bottom w:val="nil"/>
                    <w:right w:val="nil"/>
                  </w:tcBorders>
                  <w:shd w:val="clear" w:color="000000" w:fill="F2F2F2"/>
                  <w:noWrap/>
                  <w:vAlign w:val="center"/>
                  <w:hideMark/>
                </w:tcPr>
                <w:p w14:paraId="2F474FB3"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 of sales</w:t>
                  </w:r>
                </w:p>
              </w:tc>
              <w:tc>
                <w:tcPr>
                  <w:tcW w:w="1418" w:type="dxa"/>
                  <w:tcBorders>
                    <w:top w:val="nil"/>
                    <w:left w:val="nil"/>
                    <w:bottom w:val="nil"/>
                    <w:right w:val="nil"/>
                  </w:tcBorders>
                  <w:shd w:val="clear" w:color="000000" w:fill="F2F2F2"/>
                  <w:noWrap/>
                  <w:vAlign w:val="center"/>
                  <w:hideMark/>
                </w:tcPr>
                <w:p w14:paraId="5DC9597F"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6.4%</w:t>
                  </w:r>
                </w:p>
              </w:tc>
              <w:tc>
                <w:tcPr>
                  <w:tcW w:w="1559" w:type="dxa"/>
                  <w:tcBorders>
                    <w:top w:val="nil"/>
                    <w:left w:val="nil"/>
                    <w:bottom w:val="nil"/>
                    <w:right w:val="nil"/>
                  </w:tcBorders>
                  <w:shd w:val="clear" w:color="000000" w:fill="F2F2F2"/>
                  <w:noWrap/>
                  <w:vAlign w:val="center"/>
                  <w:hideMark/>
                </w:tcPr>
                <w:p w14:paraId="107B4451"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5.0%</w:t>
                  </w:r>
                </w:p>
              </w:tc>
              <w:tc>
                <w:tcPr>
                  <w:tcW w:w="1098" w:type="dxa"/>
                  <w:tcBorders>
                    <w:top w:val="nil"/>
                    <w:left w:val="nil"/>
                    <w:bottom w:val="nil"/>
                    <w:right w:val="nil"/>
                  </w:tcBorders>
                  <w:shd w:val="clear" w:color="000000" w:fill="F2F2F2"/>
                  <w:noWrap/>
                  <w:vAlign w:val="center"/>
                  <w:hideMark/>
                </w:tcPr>
                <w:p w14:paraId="63F88F78" w14:textId="3A0D6F0E"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1.4% pp.</w:t>
                  </w:r>
                </w:p>
              </w:tc>
            </w:tr>
            <w:tr w:rsidR="001F6968" w:rsidRPr="001F6968" w14:paraId="71E91239" w14:textId="77777777" w:rsidTr="00F44AEC">
              <w:trPr>
                <w:trHeight w:val="255"/>
              </w:trPr>
              <w:tc>
                <w:tcPr>
                  <w:tcW w:w="3017" w:type="dxa"/>
                  <w:tcBorders>
                    <w:top w:val="single" w:sz="4" w:space="0" w:color="000000"/>
                    <w:left w:val="single" w:sz="4" w:space="0" w:color="FFFFFF"/>
                    <w:bottom w:val="nil"/>
                    <w:right w:val="single" w:sz="4" w:space="0" w:color="FFFFFF"/>
                  </w:tcBorders>
                  <w:shd w:val="clear" w:color="auto" w:fill="auto"/>
                  <w:noWrap/>
                  <w:hideMark/>
                </w:tcPr>
                <w:p w14:paraId="3EA66293" w14:textId="77777777" w:rsidR="001F6968" w:rsidRPr="001F6968" w:rsidRDefault="001F6968" w:rsidP="001F6968">
                  <w:pPr>
                    <w:spacing w:after="0" w:line="240" w:lineRule="auto"/>
                    <w:rPr>
                      <w:rFonts w:ascii="Tahoma" w:eastAsia="Times New Roman" w:hAnsi="Tahoma" w:cs="Tahoma"/>
                      <w:i/>
                      <w:iCs/>
                      <w:color w:val="404040"/>
                      <w:sz w:val="14"/>
                      <w:szCs w:val="14"/>
                    </w:rPr>
                  </w:pPr>
                  <w:r>
                    <w:rPr>
                      <w:rFonts w:ascii="Tahoma" w:hAnsi="Tahoma"/>
                      <w:i/>
                      <w:color w:val="404040"/>
                      <w:sz w:val="14"/>
                    </w:rPr>
                    <w:t>*attributable to shareholders of the Parent Company</w:t>
                  </w:r>
                </w:p>
              </w:tc>
              <w:tc>
                <w:tcPr>
                  <w:tcW w:w="1418" w:type="dxa"/>
                  <w:tcBorders>
                    <w:top w:val="single" w:sz="4" w:space="0" w:color="000000"/>
                    <w:left w:val="nil"/>
                    <w:bottom w:val="nil"/>
                    <w:right w:val="single" w:sz="4" w:space="0" w:color="FFFFFF"/>
                  </w:tcBorders>
                  <w:shd w:val="clear" w:color="auto" w:fill="auto"/>
                  <w:noWrap/>
                  <w:vAlign w:val="center"/>
                  <w:hideMark/>
                </w:tcPr>
                <w:p w14:paraId="1020867C"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 </w:t>
                  </w:r>
                </w:p>
              </w:tc>
              <w:tc>
                <w:tcPr>
                  <w:tcW w:w="1559" w:type="dxa"/>
                  <w:tcBorders>
                    <w:top w:val="single" w:sz="4" w:space="0" w:color="000000"/>
                    <w:left w:val="nil"/>
                    <w:bottom w:val="nil"/>
                    <w:right w:val="single" w:sz="4" w:space="0" w:color="FFFFFF"/>
                  </w:tcBorders>
                  <w:shd w:val="clear" w:color="auto" w:fill="auto"/>
                  <w:noWrap/>
                  <w:vAlign w:val="center"/>
                  <w:hideMark/>
                </w:tcPr>
                <w:p w14:paraId="4AD3F7CC"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 </w:t>
                  </w:r>
                </w:p>
              </w:tc>
              <w:tc>
                <w:tcPr>
                  <w:tcW w:w="1098" w:type="dxa"/>
                  <w:tcBorders>
                    <w:top w:val="single" w:sz="4" w:space="0" w:color="000000"/>
                    <w:left w:val="nil"/>
                    <w:bottom w:val="nil"/>
                    <w:right w:val="single" w:sz="4" w:space="0" w:color="FFFFFF"/>
                  </w:tcBorders>
                  <w:shd w:val="clear" w:color="auto" w:fill="auto"/>
                  <w:noWrap/>
                  <w:vAlign w:val="center"/>
                  <w:hideMark/>
                </w:tcPr>
                <w:p w14:paraId="40D62227"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 </w:t>
                  </w:r>
                </w:p>
              </w:tc>
            </w:tr>
          </w:tbl>
          <w:p w14:paraId="3AB1B746" w14:textId="4DE230DE" w:rsidR="000B4EAD" w:rsidRPr="001D4924" w:rsidRDefault="000B4EAD" w:rsidP="005B039B">
            <w:pPr>
              <w:spacing w:line="360" w:lineRule="auto"/>
              <w:jc w:val="both"/>
              <w:rPr>
                <w:rFonts w:ascii="Tahoma" w:eastAsia="Tahoma" w:hAnsi="Tahoma" w:cs="Tahoma"/>
                <w:bCs/>
                <w:color w:val="808080"/>
                <w:sz w:val="18"/>
                <w:szCs w:val="18"/>
                <w:highlight w:val="yellow"/>
              </w:rPr>
            </w:pPr>
          </w:p>
          <w:p w14:paraId="123EC875" w14:textId="17C227D0" w:rsidR="0023777F" w:rsidRPr="001D4924" w:rsidRDefault="0023777F" w:rsidP="001F6968">
            <w:pPr>
              <w:spacing w:line="360" w:lineRule="auto"/>
              <w:rPr>
                <w:rFonts w:ascii="Tahoma" w:eastAsia="Tahoma" w:hAnsi="Tahoma" w:cs="Tahoma"/>
                <w:color w:val="808080"/>
                <w:sz w:val="18"/>
                <w:szCs w:val="18"/>
                <w:highlight w:val="yellow"/>
              </w:rPr>
            </w:pPr>
          </w:p>
          <w:p w14:paraId="56892A2B" w14:textId="748DBF20" w:rsidR="00BF116E" w:rsidRPr="00FE00A1" w:rsidRDefault="00FD14F3" w:rsidP="00BF116E">
            <w:pPr>
              <w:spacing w:line="360" w:lineRule="auto"/>
              <w:jc w:val="both"/>
              <w:rPr>
                <w:rFonts w:ascii="Tahoma" w:eastAsia="Tahoma" w:hAnsi="Tahoma" w:cs="Tahoma"/>
                <w:bCs/>
                <w:color w:val="808080"/>
                <w:sz w:val="18"/>
                <w:szCs w:val="18"/>
              </w:rPr>
            </w:pPr>
            <w:r>
              <w:rPr>
                <w:rFonts w:ascii="Tahoma" w:hAnsi="Tahoma"/>
                <w:color w:val="808080"/>
                <w:sz w:val="18"/>
              </w:rPr>
              <w:t xml:space="preserve">We also recorded growth in the Group's sales revenues (year on year), both in the construction segment (+6.9%) and in the services segment (+18.4%). </w:t>
            </w:r>
          </w:p>
          <w:p w14:paraId="29DC2CAE" w14:textId="77777777" w:rsidR="00622393" w:rsidRDefault="007143D6" w:rsidP="00622393">
            <w:pPr>
              <w:spacing w:line="360" w:lineRule="auto"/>
              <w:jc w:val="both"/>
              <w:rPr>
                <w:rFonts w:ascii="Tahoma" w:eastAsia="Tahoma" w:hAnsi="Tahoma" w:cs="Tahoma"/>
                <w:bCs/>
                <w:color w:val="808080"/>
                <w:sz w:val="18"/>
                <w:szCs w:val="18"/>
              </w:rPr>
            </w:pPr>
            <w:r>
              <w:rPr>
                <w:rFonts w:ascii="Tahoma" w:hAnsi="Tahoma"/>
                <w:color w:val="808080"/>
                <w:sz w:val="18"/>
                <w:highlight w:val="green"/>
              </w:rPr>
              <w:br/>
            </w:r>
            <w:r>
              <w:rPr>
                <w:rFonts w:ascii="Tahoma" w:hAnsi="Tahoma"/>
                <w:b/>
                <w:color w:val="808080"/>
                <w:sz w:val="18"/>
              </w:rPr>
              <w:t>Construction and installation production in H1 2023</w:t>
            </w:r>
            <w:r>
              <w:rPr>
                <w:rFonts w:ascii="Tahoma" w:hAnsi="Tahoma"/>
                <w:color w:val="808080"/>
                <w:sz w:val="18"/>
              </w:rPr>
              <w:t xml:space="preserve"> (at current prices)</w:t>
            </w:r>
            <w:r>
              <w:rPr>
                <w:rFonts w:ascii="Tahoma" w:hAnsi="Tahoma"/>
                <w:b/>
                <w:color w:val="808080"/>
                <w:sz w:val="18"/>
              </w:rPr>
              <w:t xml:space="preserve"> increased year-on-year basis by 15.5% from PLN 56.5 billion to PLN 65.3 billion. In the buildings segment, production</w:t>
            </w:r>
            <w:r>
              <w:rPr>
                <w:rFonts w:ascii="Tahoma" w:hAnsi="Tahoma"/>
                <w:color w:val="808080"/>
                <w:sz w:val="18"/>
              </w:rPr>
              <w:t xml:space="preserve"> sold increased by 6.2%, while in the infrastructure segment the increase was as high as 27%.</w:t>
            </w:r>
          </w:p>
          <w:p w14:paraId="7EAAE60D" w14:textId="77777777" w:rsidR="00622393" w:rsidRDefault="00622393" w:rsidP="00622393">
            <w:pPr>
              <w:spacing w:line="360" w:lineRule="auto"/>
              <w:jc w:val="both"/>
              <w:rPr>
                <w:rFonts w:ascii="Tahoma" w:eastAsia="Tahoma" w:hAnsi="Tahoma" w:cs="Tahoma"/>
                <w:b/>
                <w:color w:val="808080"/>
                <w:sz w:val="18"/>
                <w:szCs w:val="18"/>
                <w:highlight w:val="green"/>
              </w:rPr>
            </w:pPr>
          </w:p>
          <w:tbl>
            <w:tblPr>
              <w:tblW w:w="6840" w:type="dxa"/>
              <w:tblLayout w:type="fixed"/>
              <w:tblCellMar>
                <w:left w:w="70" w:type="dxa"/>
                <w:right w:w="70" w:type="dxa"/>
              </w:tblCellMar>
              <w:tblLook w:val="04A0" w:firstRow="1" w:lastRow="0" w:firstColumn="1" w:lastColumn="0" w:noHBand="0" w:noVBand="1"/>
            </w:tblPr>
            <w:tblGrid>
              <w:gridCol w:w="2591"/>
              <w:gridCol w:w="1558"/>
              <w:gridCol w:w="1417"/>
              <w:gridCol w:w="1274"/>
            </w:tblGrid>
            <w:tr w:rsidR="00622393" w14:paraId="03662890" w14:textId="77777777" w:rsidTr="00622393">
              <w:trPr>
                <w:trHeight w:val="349"/>
              </w:trPr>
              <w:tc>
                <w:tcPr>
                  <w:tcW w:w="2592" w:type="dxa"/>
                  <w:vMerge w:val="restart"/>
                  <w:tcBorders>
                    <w:top w:val="nil"/>
                    <w:left w:val="single" w:sz="4" w:space="0" w:color="000000"/>
                    <w:bottom w:val="single" w:sz="8" w:space="0" w:color="000000"/>
                    <w:right w:val="nil"/>
                  </w:tcBorders>
                  <w:shd w:val="clear" w:color="auto" w:fill="595959"/>
                  <w:vAlign w:val="center"/>
                  <w:hideMark/>
                </w:tcPr>
                <w:p w14:paraId="7D486E90" w14:textId="77777777" w:rsidR="00622393" w:rsidRDefault="00622393" w:rsidP="00622393">
                  <w:pPr>
                    <w:spacing w:after="0" w:line="240" w:lineRule="auto"/>
                    <w:rPr>
                      <w:rFonts w:ascii="Tahoma" w:eastAsia="Times New Roman" w:hAnsi="Tahoma" w:cs="Tahoma"/>
                      <w:b/>
                      <w:bCs/>
                      <w:color w:val="F2F2F2"/>
                    </w:rPr>
                  </w:pPr>
                  <w:r>
                    <w:rPr>
                      <w:rFonts w:ascii="Tahoma" w:hAnsi="Tahoma"/>
                      <w:b/>
                      <w:color w:val="F2F2F2"/>
                    </w:rPr>
                    <w:t>Construction sector</w:t>
                  </w:r>
                </w:p>
              </w:tc>
              <w:tc>
                <w:tcPr>
                  <w:tcW w:w="4252" w:type="dxa"/>
                  <w:gridSpan w:val="3"/>
                  <w:shd w:val="clear" w:color="auto" w:fill="BFBFBF"/>
                  <w:noWrap/>
                  <w:vAlign w:val="center"/>
                  <w:hideMark/>
                </w:tcPr>
                <w:p w14:paraId="5EC6959A" w14:textId="77777777" w:rsidR="00622393" w:rsidRDefault="00622393" w:rsidP="00622393">
                  <w:pPr>
                    <w:spacing w:after="0" w:line="240" w:lineRule="auto"/>
                    <w:jc w:val="center"/>
                    <w:rPr>
                      <w:rFonts w:ascii="Tahoma" w:eastAsia="Times New Roman" w:hAnsi="Tahoma" w:cs="Tahoma"/>
                      <w:b/>
                      <w:bCs/>
                      <w:color w:val="000000"/>
                    </w:rPr>
                  </w:pPr>
                  <w:r>
                    <w:rPr>
                      <w:rFonts w:ascii="Tahoma" w:hAnsi="Tahoma"/>
                      <w:b/>
                      <w:color w:val="000000"/>
                    </w:rPr>
                    <w:t>Statistical data</w:t>
                  </w:r>
                  <w:r>
                    <w:rPr>
                      <w:rFonts w:ascii="Tahoma" w:hAnsi="Tahoma"/>
                      <w:color w:val="000000"/>
                    </w:rPr>
                    <w:t xml:space="preserve"> (PLN billion)</w:t>
                  </w:r>
                </w:p>
              </w:tc>
            </w:tr>
            <w:tr w:rsidR="00622393" w14:paraId="5675D4FC" w14:textId="77777777" w:rsidTr="00622393">
              <w:trPr>
                <w:trHeight w:val="246"/>
              </w:trPr>
              <w:tc>
                <w:tcPr>
                  <w:tcW w:w="2592" w:type="dxa"/>
                  <w:vMerge/>
                  <w:tcBorders>
                    <w:top w:val="nil"/>
                    <w:left w:val="single" w:sz="4" w:space="0" w:color="000000"/>
                    <w:bottom w:val="single" w:sz="8" w:space="0" w:color="000000"/>
                    <w:right w:val="nil"/>
                  </w:tcBorders>
                  <w:vAlign w:val="center"/>
                  <w:hideMark/>
                </w:tcPr>
                <w:p w14:paraId="012EDA35" w14:textId="77777777" w:rsidR="00622393" w:rsidRDefault="00622393" w:rsidP="00622393">
                  <w:pPr>
                    <w:spacing w:after="0"/>
                    <w:rPr>
                      <w:rFonts w:ascii="Tahoma" w:eastAsia="Times New Roman" w:hAnsi="Tahoma" w:cs="Tahoma"/>
                      <w:b/>
                      <w:bCs/>
                      <w:color w:val="F2F2F2"/>
                    </w:rPr>
                  </w:pPr>
                </w:p>
              </w:tc>
              <w:tc>
                <w:tcPr>
                  <w:tcW w:w="1559" w:type="dxa"/>
                  <w:tcBorders>
                    <w:top w:val="single" w:sz="4" w:space="0" w:color="auto"/>
                    <w:left w:val="nil"/>
                    <w:bottom w:val="single" w:sz="8" w:space="0" w:color="auto"/>
                    <w:right w:val="single" w:sz="4" w:space="0" w:color="000000"/>
                  </w:tcBorders>
                  <w:shd w:val="clear" w:color="auto" w:fill="BFBFBF"/>
                  <w:vAlign w:val="center"/>
                  <w:hideMark/>
                </w:tcPr>
                <w:p w14:paraId="7D75D813" w14:textId="77777777" w:rsidR="00622393" w:rsidRDefault="00622393" w:rsidP="00622393">
                  <w:pPr>
                    <w:spacing w:after="0" w:line="240" w:lineRule="auto"/>
                    <w:rPr>
                      <w:rFonts w:ascii="Tahoma" w:eastAsia="Times New Roman" w:hAnsi="Tahoma" w:cs="Tahoma"/>
                      <w:color w:val="000000"/>
                    </w:rPr>
                  </w:pPr>
                  <w:r>
                    <w:rPr>
                      <w:rFonts w:ascii="Tahoma" w:hAnsi="Tahoma"/>
                      <w:color w:val="000000"/>
                    </w:rPr>
                    <w:t>H1 2023</w:t>
                  </w:r>
                </w:p>
              </w:tc>
              <w:tc>
                <w:tcPr>
                  <w:tcW w:w="1418" w:type="dxa"/>
                  <w:tcBorders>
                    <w:top w:val="single" w:sz="4" w:space="0" w:color="000000"/>
                    <w:left w:val="nil"/>
                    <w:bottom w:val="single" w:sz="8" w:space="0" w:color="000000"/>
                    <w:right w:val="single" w:sz="4" w:space="0" w:color="000000"/>
                  </w:tcBorders>
                  <w:shd w:val="clear" w:color="auto" w:fill="BFBFBF"/>
                  <w:vAlign w:val="center"/>
                  <w:hideMark/>
                </w:tcPr>
                <w:p w14:paraId="2CEF5348" w14:textId="77777777" w:rsidR="00622393" w:rsidRDefault="00622393" w:rsidP="00622393">
                  <w:pPr>
                    <w:spacing w:after="0" w:line="240" w:lineRule="auto"/>
                    <w:jc w:val="center"/>
                    <w:rPr>
                      <w:rFonts w:ascii="Tahoma" w:eastAsia="Times New Roman" w:hAnsi="Tahoma" w:cs="Tahoma"/>
                      <w:color w:val="000000"/>
                    </w:rPr>
                  </w:pPr>
                  <w:r>
                    <w:rPr>
                      <w:rFonts w:ascii="Tahoma" w:hAnsi="Tahoma"/>
                      <w:color w:val="000000"/>
                    </w:rPr>
                    <w:t>H1 2022</w:t>
                  </w:r>
                </w:p>
              </w:tc>
              <w:tc>
                <w:tcPr>
                  <w:tcW w:w="1275" w:type="dxa"/>
                  <w:tcBorders>
                    <w:top w:val="single" w:sz="4" w:space="0" w:color="000000"/>
                    <w:left w:val="nil"/>
                    <w:bottom w:val="single" w:sz="8" w:space="0" w:color="000000"/>
                    <w:right w:val="nil"/>
                  </w:tcBorders>
                  <w:shd w:val="clear" w:color="auto" w:fill="BFBFBF"/>
                  <w:noWrap/>
                  <w:vAlign w:val="center"/>
                  <w:hideMark/>
                </w:tcPr>
                <w:p w14:paraId="745AB244" w14:textId="77777777" w:rsidR="00622393" w:rsidRDefault="00622393" w:rsidP="00622393">
                  <w:pPr>
                    <w:spacing w:after="0" w:line="240" w:lineRule="auto"/>
                    <w:jc w:val="center"/>
                    <w:rPr>
                      <w:rFonts w:ascii="Tahoma" w:eastAsia="Times New Roman" w:hAnsi="Tahoma" w:cs="Tahoma"/>
                      <w:color w:val="000000"/>
                    </w:rPr>
                  </w:pPr>
                  <w:r>
                    <w:rPr>
                      <w:rFonts w:ascii="Tahoma" w:hAnsi="Tahoma"/>
                      <w:color w:val="000000"/>
                    </w:rPr>
                    <w:t>y/y</w:t>
                  </w:r>
                </w:p>
              </w:tc>
            </w:tr>
            <w:tr w:rsidR="00622393" w14:paraId="5114944A" w14:textId="77777777" w:rsidTr="00622393">
              <w:trPr>
                <w:trHeight w:val="378"/>
              </w:trPr>
              <w:tc>
                <w:tcPr>
                  <w:tcW w:w="2592" w:type="dxa"/>
                  <w:tcBorders>
                    <w:top w:val="nil"/>
                    <w:left w:val="single" w:sz="8" w:space="0" w:color="FFC000"/>
                    <w:bottom w:val="single" w:sz="8" w:space="0" w:color="auto"/>
                    <w:right w:val="nil"/>
                  </w:tcBorders>
                  <w:shd w:val="clear" w:color="auto" w:fill="FFC000"/>
                  <w:vAlign w:val="center"/>
                  <w:hideMark/>
                </w:tcPr>
                <w:p w14:paraId="0178B22D" w14:textId="77777777" w:rsidR="00622393" w:rsidRDefault="00622393" w:rsidP="00622393">
                  <w:pPr>
                    <w:spacing w:after="0" w:line="240" w:lineRule="auto"/>
                    <w:rPr>
                      <w:rFonts w:ascii="Tahoma" w:eastAsia="Times New Roman" w:hAnsi="Tahoma" w:cs="Tahoma"/>
                      <w:b/>
                      <w:bCs/>
                      <w:color w:val="404040"/>
                    </w:rPr>
                  </w:pPr>
                  <w:r>
                    <w:rPr>
                      <w:rFonts w:ascii="Tahoma" w:hAnsi="Tahoma"/>
                      <w:b/>
                      <w:color w:val="404040"/>
                    </w:rPr>
                    <w:t>Production sold</w:t>
                  </w:r>
                </w:p>
              </w:tc>
              <w:tc>
                <w:tcPr>
                  <w:tcW w:w="1559" w:type="dxa"/>
                  <w:tcBorders>
                    <w:top w:val="nil"/>
                    <w:left w:val="nil"/>
                    <w:bottom w:val="single" w:sz="8" w:space="0" w:color="000000"/>
                    <w:right w:val="nil"/>
                  </w:tcBorders>
                  <w:shd w:val="clear" w:color="auto" w:fill="FFC000"/>
                  <w:noWrap/>
                  <w:vAlign w:val="center"/>
                  <w:hideMark/>
                </w:tcPr>
                <w:p w14:paraId="0E5807AC" w14:textId="77777777" w:rsidR="00622393" w:rsidRDefault="00622393" w:rsidP="00622393">
                  <w:pPr>
                    <w:spacing w:after="0" w:line="240" w:lineRule="auto"/>
                    <w:rPr>
                      <w:rFonts w:ascii="Tahoma" w:eastAsia="Times New Roman" w:hAnsi="Tahoma" w:cs="Tahoma"/>
                      <w:b/>
                      <w:bCs/>
                      <w:color w:val="404040"/>
                    </w:rPr>
                  </w:pPr>
                  <w:r>
                    <w:rPr>
                      <w:rFonts w:ascii="Tahoma" w:hAnsi="Tahoma"/>
                      <w:b/>
                      <w:color w:val="404040"/>
                    </w:rPr>
                    <w:t>65.3</w:t>
                  </w:r>
                </w:p>
              </w:tc>
              <w:tc>
                <w:tcPr>
                  <w:tcW w:w="1418" w:type="dxa"/>
                  <w:tcBorders>
                    <w:top w:val="nil"/>
                    <w:left w:val="nil"/>
                    <w:bottom w:val="single" w:sz="8" w:space="0" w:color="000000"/>
                    <w:right w:val="nil"/>
                  </w:tcBorders>
                  <w:shd w:val="clear" w:color="auto" w:fill="FFC000"/>
                  <w:noWrap/>
                  <w:vAlign w:val="center"/>
                  <w:hideMark/>
                </w:tcPr>
                <w:p w14:paraId="622B021D" w14:textId="77777777" w:rsidR="00622393" w:rsidRDefault="00622393" w:rsidP="00622393">
                  <w:pPr>
                    <w:spacing w:after="0" w:line="240" w:lineRule="auto"/>
                    <w:rPr>
                      <w:rFonts w:ascii="Tahoma" w:eastAsia="Times New Roman" w:hAnsi="Tahoma" w:cs="Tahoma"/>
                      <w:b/>
                      <w:bCs/>
                      <w:color w:val="404040"/>
                    </w:rPr>
                  </w:pPr>
                  <w:r>
                    <w:rPr>
                      <w:rFonts w:ascii="Tahoma" w:hAnsi="Tahoma"/>
                      <w:b/>
                      <w:color w:val="404040"/>
                    </w:rPr>
                    <w:t>56.5</w:t>
                  </w:r>
                </w:p>
              </w:tc>
              <w:tc>
                <w:tcPr>
                  <w:tcW w:w="1275" w:type="dxa"/>
                  <w:tcBorders>
                    <w:top w:val="nil"/>
                    <w:left w:val="nil"/>
                    <w:bottom w:val="single" w:sz="8" w:space="0" w:color="000000"/>
                    <w:right w:val="nil"/>
                  </w:tcBorders>
                  <w:shd w:val="clear" w:color="auto" w:fill="FFC000"/>
                  <w:noWrap/>
                  <w:vAlign w:val="center"/>
                  <w:hideMark/>
                </w:tcPr>
                <w:p w14:paraId="26FCF375" w14:textId="77777777" w:rsidR="00622393" w:rsidRDefault="00622393" w:rsidP="00622393">
                  <w:pPr>
                    <w:spacing w:after="0" w:line="240" w:lineRule="auto"/>
                    <w:rPr>
                      <w:rFonts w:ascii="Tahoma" w:eastAsia="Times New Roman" w:hAnsi="Tahoma" w:cs="Tahoma"/>
                      <w:b/>
                      <w:bCs/>
                      <w:color w:val="404040"/>
                    </w:rPr>
                  </w:pPr>
                  <w:r>
                    <w:rPr>
                      <w:rFonts w:ascii="Tahoma" w:hAnsi="Tahoma"/>
                      <w:b/>
                      <w:color w:val="404040"/>
                    </w:rPr>
                    <w:t>15.5%</w:t>
                  </w:r>
                </w:p>
              </w:tc>
            </w:tr>
            <w:tr w:rsidR="00622393" w14:paraId="1369EAC4" w14:textId="77777777" w:rsidTr="00622393">
              <w:trPr>
                <w:trHeight w:val="405"/>
              </w:trPr>
              <w:tc>
                <w:tcPr>
                  <w:tcW w:w="2592" w:type="dxa"/>
                  <w:shd w:val="clear" w:color="auto" w:fill="F2F2F2"/>
                  <w:noWrap/>
                  <w:vAlign w:val="center"/>
                  <w:hideMark/>
                </w:tcPr>
                <w:p w14:paraId="1D89AAFC" w14:textId="77777777" w:rsidR="00622393" w:rsidRDefault="00622393" w:rsidP="00622393">
                  <w:pPr>
                    <w:spacing w:after="0" w:line="240" w:lineRule="auto"/>
                    <w:outlineLvl w:val="0"/>
                    <w:rPr>
                      <w:rFonts w:ascii="Tahoma" w:eastAsia="Times New Roman" w:hAnsi="Tahoma" w:cs="Tahoma"/>
                      <w:b/>
                      <w:bCs/>
                      <w:color w:val="404040"/>
                    </w:rPr>
                  </w:pPr>
                  <w:r>
                    <w:rPr>
                      <w:rFonts w:ascii="Tahoma" w:hAnsi="Tahoma"/>
                      <w:b/>
                      <w:color w:val="404040"/>
                    </w:rPr>
                    <w:t>Buildings</w:t>
                  </w:r>
                </w:p>
              </w:tc>
              <w:tc>
                <w:tcPr>
                  <w:tcW w:w="1559" w:type="dxa"/>
                  <w:shd w:val="clear" w:color="auto" w:fill="F2F2F2"/>
                  <w:noWrap/>
                  <w:vAlign w:val="center"/>
                  <w:hideMark/>
                </w:tcPr>
                <w:p w14:paraId="45713FB1" w14:textId="77777777" w:rsidR="00622393" w:rsidRDefault="00622393" w:rsidP="00622393">
                  <w:pPr>
                    <w:spacing w:after="0" w:line="240" w:lineRule="auto"/>
                    <w:outlineLvl w:val="0"/>
                    <w:rPr>
                      <w:rFonts w:ascii="Tahoma" w:eastAsia="Times New Roman" w:hAnsi="Tahoma" w:cs="Tahoma"/>
                      <w:b/>
                      <w:bCs/>
                      <w:color w:val="404040"/>
                    </w:rPr>
                  </w:pPr>
                  <w:r>
                    <w:rPr>
                      <w:rFonts w:ascii="Tahoma" w:hAnsi="Tahoma"/>
                      <w:b/>
                      <w:color w:val="404040"/>
                    </w:rPr>
                    <w:t>32.9</w:t>
                  </w:r>
                </w:p>
              </w:tc>
              <w:tc>
                <w:tcPr>
                  <w:tcW w:w="1418" w:type="dxa"/>
                  <w:shd w:val="clear" w:color="auto" w:fill="F2F2F2"/>
                  <w:noWrap/>
                  <w:vAlign w:val="center"/>
                  <w:hideMark/>
                </w:tcPr>
                <w:p w14:paraId="24A54158" w14:textId="77777777" w:rsidR="00622393" w:rsidRDefault="00622393" w:rsidP="00622393">
                  <w:pPr>
                    <w:spacing w:after="0" w:line="240" w:lineRule="auto"/>
                    <w:outlineLvl w:val="0"/>
                    <w:rPr>
                      <w:rFonts w:ascii="Tahoma" w:eastAsia="Times New Roman" w:hAnsi="Tahoma" w:cs="Tahoma"/>
                      <w:b/>
                      <w:bCs/>
                      <w:color w:val="404040"/>
                    </w:rPr>
                  </w:pPr>
                  <w:r>
                    <w:rPr>
                      <w:rFonts w:ascii="Tahoma" w:hAnsi="Tahoma"/>
                      <w:b/>
                      <w:color w:val="404040"/>
                    </w:rPr>
                    <w:t>31.0</w:t>
                  </w:r>
                </w:p>
              </w:tc>
              <w:tc>
                <w:tcPr>
                  <w:tcW w:w="1275" w:type="dxa"/>
                  <w:shd w:val="clear" w:color="auto" w:fill="F2F2F2"/>
                  <w:noWrap/>
                  <w:vAlign w:val="center"/>
                  <w:hideMark/>
                </w:tcPr>
                <w:p w14:paraId="72C890DA" w14:textId="77777777" w:rsidR="00622393" w:rsidRDefault="00622393" w:rsidP="00622393">
                  <w:pPr>
                    <w:spacing w:after="0" w:line="240" w:lineRule="auto"/>
                    <w:outlineLvl w:val="0"/>
                    <w:rPr>
                      <w:rFonts w:ascii="Tahoma" w:eastAsia="Times New Roman" w:hAnsi="Tahoma" w:cs="Tahoma"/>
                      <w:b/>
                      <w:bCs/>
                      <w:color w:val="404040"/>
                    </w:rPr>
                  </w:pPr>
                  <w:r>
                    <w:rPr>
                      <w:rFonts w:ascii="Tahoma" w:hAnsi="Tahoma"/>
                      <w:b/>
                      <w:color w:val="404040"/>
                    </w:rPr>
                    <w:t>6.2%</w:t>
                  </w:r>
                </w:p>
              </w:tc>
            </w:tr>
            <w:tr w:rsidR="00622393" w14:paraId="2E5F6C93" w14:textId="77777777" w:rsidTr="00622393">
              <w:trPr>
                <w:trHeight w:val="285"/>
              </w:trPr>
              <w:tc>
                <w:tcPr>
                  <w:tcW w:w="2592" w:type="dxa"/>
                  <w:shd w:val="clear" w:color="auto" w:fill="F2F2F2"/>
                  <w:noWrap/>
                  <w:vAlign w:val="center"/>
                  <w:hideMark/>
                </w:tcPr>
                <w:p w14:paraId="61602683" w14:textId="77777777" w:rsidR="00622393" w:rsidRDefault="00622393" w:rsidP="00622393">
                  <w:pPr>
                    <w:spacing w:after="0" w:line="240" w:lineRule="auto"/>
                    <w:outlineLvl w:val="0"/>
                    <w:rPr>
                      <w:rFonts w:ascii="Tahoma" w:eastAsia="Times New Roman" w:hAnsi="Tahoma" w:cs="Tahoma"/>
                      <w:color w:val="404040"/>
                    </w:rPr>
                  </w:pPr>
                  <w:r>
                    <w:rPr>
                      <w:rFonts w:ascii="Tahoma" w:hAnsi="Tahoma"/>
                      <w:color w:val="404040"/>
                    </w:rPr>
                    <w:t>share</w:t>
                  </w:r>
                </w:p>
              </w:tc>
              <w:tc>
                <w:tcPr>
                  <w:tcW w:w="1559" w:type="dxa"/>
                  <w:tcBorders>
                    <w:top w:val="nil"/>
                    <w:left w:val="nil"/>
                    <w:bottom w:val="single" w:sz="4" w:space="0" w:color="000000"/>
                    <w:right w:val="nil"/>
                  </w:tcBorders>
                  <w:shd w:val="clear" w:color="auto" w:fill="F2F2F2"/>
                  <w:noWrap/>
                  <w:vAlign w:val="center"/>
                  <w:hideMark/>
                </w:tcPr>
                <w:p w14:paraId="40B24A1A" w14:textId="77777777" w:rsidR="00622393" w:rsidRDefault="00622393" w:rsidP="00622393">
                  <w:pPr>
                    <w:spacing w:after="0" w:line="240" w:lineRule="auto"/>
                    <w:outlineLvl w:val="0"/>
                    <w:rPr>
                      <w:rFonts w:ascii="Tahoma" w:eastAsia="Times New Roman" w:hAnsi="Tahoma" w:cs="Tahoma"/>
                      <w:color w:val="404040"/>
                    </w:rPr>
                  </w:pPr>
                  <w:r>
                    <w:rPr>
                      <w:rFonts w:ascii="Tahoma" w:hAnsi="Tahoma"/>
                      <w:color w:val="404040"/>
                    </w:rPr>
                    <w:t>50.4%</w:t>
                  </w:r>
                </w:p>
              </w:tc>
              <w:tc>
                <w:tcPr>
                  <w:tcW w:w="1418" w:type="dxa"/>
                  <w:tcBorders>
                    <w:top w:val="nil"/>
                    <w:left w:val="nil"/>
                    <w:bottom w:val="single" w:sz="4" w:space="0" w:color="000000"/>
                    <w:right w:val="nil"/>
                  </w:tcBorders>
                  <w:shd w:val="clear" w:color="auto" w:fill="F2F2F2"/>
                  <w:noWrap/>
                  <w:vAlign w:val="center"/>
                  <w:hideMark/>
                </w:tcPr>
                <w:p w14:paraId="12D1B179" w14:textId="77777777" w:rsidR="00622393" w:rsidRDefault="00622393" w:rsidP="00622393">
                  <w:pPr>
                    <w:spacing w:after="0" w:line="240" w:lineRule="auto"/>
                    <w:outlineLvl w:val="0"/>
                    <w:rPr>
                      <w:rFonts w:ascii="Tahoma" w:eastAsia="Times New Roman" w:hAnsi="Tahoma" w:cs="Tahoma"/>
                      <w:color w:val="404040"/>
                    </w:rPr>
                  </w:pPr>
                  <w:r>
                    <w:rPr>
                      <w:rFonts w:ascii="Tahoma" w:hAnsi="Tahoma"/>
                      <w:color w:val="404040"/>
                    </w:rPr>
                    <w:t>54.8%</w:t>
                  </w:r>
                </w:p>
              </w:tc>
              <w:tc>
                <w:tcPr>
                  <w:tcW w:w="1275" w:type="dxa"/>
                  <w:tcBorders>
                    <w:top w:val="nil"/>
                    <w:left w:val="nil"/>
                    <w:bottom w:val="single" w:sz="4" w:space="0" w:color="000000"/>
                    <w:right w:val="nil"/>
                  </w:tcBorders>
                  <w:shd w:val="clear" w:color="auto" w:fill="F2F2F2"/>
                  <w:noWrap/>
                  <w:vAlign w:val="center"/>
                  <w:hideMark/>
                </w:tcPr>
                <w:p w14:paraId="11922343" w14:textId="77777777" w:rsidR="00622393" w:rsidRDefault="00622393" w:rsidP="00622393">
                  <w:pPr>
                    <w:spacing w:after="0" w:line="240" w:lineRule="auto"/>
                    <w:outlineLvl w:val="0"/>
                    <w:rPr>
                      <w:rFonts w:ascii="Tahoma" w:eastAsia="Times New Roman" w:hAnsi="Tahoma" w:cs="Tahoma"/>
                      <w:color w:val="404040"/>
                    </w:rPr>
                  </w:pPr>
                  <w:r>
                    <w:rPr>
                      <w:rFonts w:ascii="Tahoma" w:hAnsi="Tahoma"/>
                      <w:color w:val="404040"/>
                    </w:rPr>
                    <w:t>-4.4%</w:t>
                  </w:r>
                </w:p>
              </w:tc>
            </w:tr>
            <w:tr w:rsidR="00622393" w14:paraId="40A1D6DC" w14:textId="77777777" w:rsidTr="00622393">
              <w:trPr>
                <w:trHeight w:val="405"/>
              </w:trPr>
              <w:tc>
                <w:tcPr>
                  <w:tcW w:w="2592" w:type="dxa"/>
                  <w:tcBorders>
                    <w:top w:val="single" w:sz="4" w:space="0" w:color="000000"/>
                    <w:left w:val="nil"/>
                    <w:bottom w:val="dashed" w:sz="4" w:space="0" w:color="000000"/>
                    <w:right w:val="nil"/>
                  </w:tcBorders>
                  <w:shd w:val="clear" w:color="auto" w:fill="F2F2F2"/>
                  <w:noWrap/>
                  <w:vAlign w:val="center"/>
                  <w:hideMark/>
                </w:tcPr>
                <w:p w14:paraId="1DD515D3" w14:textId="77777777" w:rsidR="00622393" w:rsidRDefault="00622393" w:rsidP="00622393">
                  <w:pPr>
                    <w:spacing w:after="0" w:line="240" w:lineRule="auto"/>
                    <w:rPr>
                      <w:rFonts w:ascii="Tahoma" w:eastAsia="Times New Roman" w:hAnsi="Tahoma" w:cs="Tahoma"/>
                      <w:b/>
                      <w:bCs/>
                      <w:color w:val="404040"/>
                    </w:rPr>
                  </w:pPr>
                  <w:r>
                    <w:rPr>
                      <w:rFonts w:ascii="Tahoma" w:hAnsi="Tahoma"/>
                      <w:b/>
                      <w:color w:val="404040"/>
                    </w:rPr>
                    <w:t>Engineering</w:t>
                  </w:r>
                </w:p>
              </w:tc>
              <w:tc>
                <w:tcPr>
                  <w:tcW w:w="1559" w:type="dxa"/>
                  <w:tcBorders>
                    <w:top w:val="nil"/>
                    <w:left w:val="nil"/>
                    <w:bottom w:val="dashed" w:sz="4" w:space="0" w:color="000000"/>
                    <w:right w:val="nil"/>
                  </w:tcBorders>
                  <w:shd w:val="clear" w:color="auto" w:fill="F2F2F2"/>
                  <w:noWrap/>
                  <w:vAlign w:val="center"/>
                  <w:hideMark/>
                </w:tcPr>
                <w:p w14:paraId="12B31200" w14:textId="77777777" w:rsidR="00622393" w:rsidRDefault="00622393" w:rsidP="00622393">
                  <w:pPr>
                    <w:spacing w:after="0" w:line="240" w:lineRule="auto"/>
                    <w:rPr>
                      <w:rFonts w:ascii="Tahoma" w:eastAsia="Times New Roman" w:hAnsi="Tahoma" w:cs="Tahoma"/>
                      <w:b/>
                      <w:bCs/>
                      <w:color w:val="404040"/>
                    </w:rPr>
                  </w:pPr>
                  <w:r>
                    <w:rPr>
                      <w:rFonts w:ascii="Tahoma" w:hAnsi="Tahoma"/>
                      <w:b/>
                      <w:color w:val="404040"/>
                    </w:rPr>
                    <w:t>32.4</w:t>
                  </w:r>
                </w:p>
              </w:tc>
              <w:tc>
                <w:tcPr>
                  <w:tcW w:w="1418" w:type="dxa"/>
                  <w:tcBorders>
                    <w:top w:val="nil"/>
                    <w:left w:val="nil"/>
                    <w:bottom w:val="dashed" w:sz="4" w:space="0" w:color="000000"/>
                    <w:right w:val="nil"/>
                  </w:tcBorders>
                  <w:shd w:val="clear" w:color="auto" w:fill="F2F2F2"/>
                  <w:noWrap/>
                  <w:vAlign w:val="center"/>
                  <w:hideMark/>
                </w:tcPr>
                <w:p w14:paraId="7AC65560" w14:textId="77777777" w:rsidR="00622393" w:rsidRDefault="00622393" w:rsidP="00622393">
                  <w:pPr>
                    <w:spacing w:after="0" w:line="240" w:lineRule="auto"/>
                    <w:rPr>
                      <w:rFonts w:ascii="Tahoma" w:eastAsia="Times New Roman" w:hAnsi="Tahoma" w:cs="Tahoma"/>
                      <w:b/>
                      <w:bCs/>
                      <w:color w:val="404040"/>
                    </w:rPr>
                  </w:pPr>
                  <w:r>
                    <w:rPr>
                      <w:rFonts w:ascii="Tahoma" w:hAnsi="Tahoma"/>
                      <w:b/>
                      <w:color w:val="404040"/>
                    </w:rPr>
                    <w:t>25.5</w:t>
                  </w:r>
                </w:p>
              </w:tc>
              <w:tc>
                <w:tcPr>
                  <w:tcW w:w="1275" w:type="dxa"/>
                  <w:tcBorders>
                    <w:top w:val="nil"/>
                    <w:left w:val="nil"/>
                    <w:bottom w:val="dashed" w:sz="4" w:space="0" w:color="000000"/>
                    <w:right w:val="nil"/>
                  </w:tcBorders>
                  <w:shd w:val="clear" w:color="auto" w:fill="F2F2F2"/>
                  <w:noWrap/>
                  <w:vAlign w:val="center"/>
                  <w:hideMark/>
                </w:tcPr>
                <w:p w14:paraId="25C639BD" w14:textId="77777777" w:rsidR="00622393" w:rsidRDefault="00622393" w:rsidP="00622393">
                  <w:pPr>
                    <w:spacing w:after="0" w:line="240" w:lineRule="auto"/>
                    <w:rPr>
                      <w:rFonts w:ascii="Tahoma" w:eastAsia="Times New Roman" w:hAnsi="Tahoma" w:cs="Tahoma"/>
                      <w:b/>
                      <w:bCs/>
                      <w:color w:val="404040"/>
                    </w:rPr>
                  </w:pPr>
                  <w:r>
                    <w:rPr>
                      <w:rFonts w:ascii="Tahoma" w:hAnsi="Tahoma"/>
                      <w:b/>
                      <w:color w:val="404040"/>
                    </w:rPr>
                    <w:t>26.8%</w:t>
                  </w:r>
                </w:p>
              </w:tc>
            </w:tr>
            <w:tr w:rsidR="00622393" w14:paraId="311A9BCB" w14:textId="77777777" w:rsidTr="00622393">
              <w:trPr>
                <w:trHeight w:val="330"/>
              </w:trPr>
              <w:tc>
                <w:tcPr>
                  <w:tcW w:w="2592" w:type="dxa"/>
                  <w:tcBorders>
                    <w:top w:val="nil"/>
                    <w:left w:val="nil"/>
                    <w:bottom w:val="dotted" w:sz="4" w:space="0" w:color="808080"/>
                    <w:right w:val="nil"/>
                  </w:tcBorders>
                  <w:shd w:val="clear" w:color="auto" w:fill="F9F9F9"/>
                  <w:noWrap/>
                  <w:vAlign w:val="center"/>
                  <w:hideMark/>
                </w:tcPr>
                <w:p w14:paraId="1BBC8F8A" w14:textId="77777777" w:rsidR="00622393" w:rsidRDefault="00622393" w:rsidP="00622393">
                  <w:pPr>
                    <w:spacing w:after="0" w:line="240" w:lineRule="auto"/>
                    <w:rPr>
                      <w:rFonts w:ascii="Tahoma" w:eastAsia="Times New Roman" w:hAnsi="Tahoma" w:cs="Tahoma"/>
                      <w:i/>
                      <w:iCs/>
                      <w:color w:val="404040"/>
                      <w:sz w:val="20"/>
                      <w:szCs w:val="20"/>
                    </w:rPr>
                  </w:pPr>
                  <w:r>
                    <w:rPr>
                      <w:rFonts w:ascii="Tahoma" w:hAnsi="Tahoma"/>
                      <w:i/>
                      <w:color w:val="404040"/>
                      <w:sz w:val="20"/>
                    </w:rPr>
                    <w:t>including: roads</w:t>
                  </w:r>
                </w:p>
              </w:tc>
              <w:tc>
                <w:tcPr>
                  <w:tcW w:w="1559" w:type="dxa"/>
                  <w:tcBorders>
                    <w:top w:val="nil"/>
                    <w:left w:val="nil"/>
                    <w:bottom w:val="dotted" w:sz="4" w:space="0" w:color="808080"/>
                    <w:right w:val="nil"/>
                  </w:tcBorders>
                  <w:shd w:val="clear" w:color="auto" w:fill="F9F9F9"/>
                  <w:noWrap/>
                  <w:vAlign w:val="center"/>
                  <w:hideMark/>
                </w:tcPr>
                <w:p w14:paraId="2BDB5DE7" w14:textId="77777777" w:rsidR="00622393" w:rsidRDefault="00622393" w:rsidP="00622393">
                  <w:pPr>
                    <w:spacing w:after="0" w:line="240" w:lineRule="auto"/>
                    <w:rPr>
                      <w:rFonts w:ascii="Tahoma" w:eastAsia="Times New Roman" w:hAnsi="Tahoma" w:cs="Tahoma"/>
                      <w:i/>
                      <w:iCs/>
                      <w:color w:val="404040"/>
                      <w:sz w:val="20"/>
                      <w:szCs w:val="20"/>
                    </w:rPr>
                  </w:pPr>
                  <w:r>
                    <w:rPr>
                      <w:rFonts w:ascii="Tahoma" w:hAnsi="Tahoma"/>
                      <w:i/>
                      <w:color w:val="404040"/>
                      <w:sz w:val="20"/>
                    </w:rPr>
                    <w:t>11.2</w:t>
                  </w:r>
                </w:p>
              </w:tc>
              <w:tc>
                <w:tcPr>
                  <w:tcW w:w="1418" w:type="dxa"/>
                  <w:tcBorders>
                    <w:top w:val="nil"/>
                    <w:left w:val="nil"/>
                    <w:bottom w:val="dotted" w:sz="4" w:space="0" w:color="808080"/>
                    <w:right w:val="nil"/>
                  </w:tcBorders>
                  <w:shd w:val="clear" w:color="auto" w:fill="F9F9F9"/>
                  <w:noWrap/>
                  <w:vAlign w:val="center"/>
                  <w:hideMark/>
                </w:tcPr>
                <w:p w14:paraId="19AE264F" w14:textId="77777777" w:rsidR="00622393" w:rsidRDefault="00622393" w:rsidP="00622393">
                  <w:pPr>
                    <w:spacing w:after="0" w:line="240" w:lineRule="auto"/>
                    <w:rPr>
                      <w:rFonts w:ascii="Tahoma" w:eastAsia="Times New Roman" w:hAnsi="Tahoma" w:cs="Tahoma"/>
                      <w:i/>
                      <w:iCs/>
                      <w:color w:val="404040"/>
                      <w:sz w:val="20"/>
                      <w:szCs w:val="20"/>
                    </w:rPr>
                  </w:pPr>
                  <w:r>
                    <w:rPr>
                      <w:rFonts w:ascii="Tahoma" w:hAnsi="Tahoma"/>
                      <w:i/>
                      <w:color w:val="404040"/>
                      <w:sz w:val="20"/>
                    </w:rPr>
                    <w:t>8.6</w:t>
                  </w:r>
                </w:p>
              </w:tc>
              <w:tc>
                <w:tcPr>
                  <w:tcW w:w="1275" w:type="dxa"/>
                  <w:tcBorders>
                    <w:top w:val="nil"/>
                    <w:left w:val="nil"/>
                    <w:bottom w:val="dotted" w:sz="4" w:space="0" w:color="808080"/>
                    <w:right w:val="nil"/>
                  </w:tcBorders>
                  <w:shd w:val="clear" w:color="auto" w:fill="F9F9F9"/>
                  <w:noWrap/>
                  <w:vAlign w:val="center"/>
                  <w:hideMark/>
                </w:tcPr>
                <w:p w14:paraId="490071CD" w14:textId="77777777" w:rsidR="00622393" w:rsidRDefault="00622393" w:rsidP="00622393">
                  <w:pPr>
                    <w:spacing w:after="0" w:line="240" w:lineRule="auto"/>
                    <w:rPr>
                      <w:rFonts w:ascii="Tahoma" w:eastAsia="Times New Roman" w:hAnsi="Tahoma" w:cs="Tahoma"/>
                      <w:i/>
                      <w:iCs/>
                      <w:color w:val="404040"/>
                      <w:sz w:val="20"/>
                      <w:szCs w:val="20"/>
                    </w:rPr>
                  </w:pPr>
                  <w:r>
                    <w:rPr>
                      <w:rFonts w:ascii="Tahoma" w:hAnsi="Tahoma"/>
                      <w:i/>
                      <w:color w:val="404040"/>
                      <w:sz w:val="20"/>
                    </w:rPr>
                    <w:t>31.1%</w:t>
                  </w:r>
                </w:p>
              </w:tc>
            </w:tr>
            <w:tr w:rsidR="00622393" w14:paraId="2D99E977" w14:textId="77777777" w:rsidTr="00622393">
              <w:trPr>
                <w:trHeight w:val="330"/>
              </w:trPr>
              <w:tc>
                <w:tcPr>
                  <w:tcW w:w="2592" w:type="dxa"/>
                  <w:tcBorders>
                    <w:top w:val="nil"/>
                    <w:left w:val="nil"/>
                    <w:bottom w:val="dotted" w:sz="4" w:space="0" w:color="808080"/>
                    <w:right w:val="nil"/>
                  </w:tcBorders>
                  <w:shd w:val="clear" w:color="auto" w:fill="F9F9F9"/>
                  <w:noWrap/>
                  <w:vAlign w:val="center"/>
                  <w:hideMark/>
                </w:tcPr>
                <w:p w14:paraId="64D777D0" w14:textId="77777777" w:rsidR="00622393" w:rsidRDefault="00622393" w:rsidP="00622393">
                  <w:pPr>
                    <w:spacing w:after="0" w:line="240" w:lineRule="auto"/>
                    <w:rPr>
                      <w:rFonts w:ascii="Tahoma" w:eastAsia="Times New Roman" w:hAnsi="Tahoma" w:cs="Tahoma"/>
                      <w:i/>
                      <w:iCs/>
                      <w:color w:val="404040"/>
                      <w:sz w:val="20"/>
                      <w:szCs w:val="20"/>
                    </w:rPr>
                  </w:pPr>
                  <w:r>
                    <w:rPr>
                      <w:rFonts w:ascii="Tahoma" w:hAnsi="Tahoma"/>
                      <w:i/>
                      <w:color w:val="404040"/>
                      <w:sz w:val="20"/>
                    </w:rPr>
                    <w:t>including: railways</w:t>
                  </w:r>
                </w:p>
              </w:tc>
              <w:tc>
                <w:tcPr>
                  <w:tcW w:w="1559" w:type="dxa"/>
                  <w:tcBorders>
                    <w:top w:val="nil"/>
                    <w:left w:val="nil"/>
                    <w:bottom w:val="dotted" w:sz="4" w:space="0" w:color="808080"/>
                    <w:right w:val="nil"/>
                  </w:tcBorders>
                  <w:shd w:val="clear" w:color="auto" w:fill="F9F9F9"/>
                  <w:noWrap/>
                  <w:vAlign w:val="center"/>
                  <w:hideMark/>
                </w:tcPr>
                <w:p w14:paraId="391C41D3" w14:textId="77777777" w:rsidR="00622393" w:rsidRDefault="00622393" w:rsidP="00622393">
                  <w:pPr>
                    <w:spacing w:after="0" w:line="240" w:lineRule="auto"/>
                    <w:rPr>
                      <w:rFonts w:ascii="Tahoma" w:eastAsia="Times New Roman" w:hAnsi="Tahoma" w:cs="Tahoma"/>
                      <w:i/>
                      <w:iCs/>
                      <w:color w:val="404040"/>
                      <w:sz w:val="20"/>
                      <w:szCs w:val="20"/>
                    </w:rPr>
                  </w:pPr>
                  <w:r>
                    <w:rPr>
                      <w:rFonts w:ascii="Tahoma" w:hAnsi="Tahoma"/>
                      <w:i/>
                      <w:color w:val="404040"/>
                      <w:sz w:val="20"/>
                    </w:rPr>
                    <w:t>3.5</w:t>
                  </w:r>
                </w:p>
              </w:tc>
              <w:tc>
                <w:tcPr>
                  <w:tcW w:w="1418" w:type="dxa"/>
                  <w:tcBorders>
                    <w:top w:val="nil"/>
                    <w:left w:val="nil"/>
                    <w:bottom w:val="dotted" w:sz="4" w:space="0" w:color="808080"/>
                    <w:right w:val="nil"/>
                  </w:tcBorders>
                  <w:shd w:val="clear" w:color="auto" w:fill="F9F9F9"/>
                  <w:noWrap/>
                  <w:vAlign w:val="center"/>
                  <w:hideMark/>
                </w:tcPr>
                <w:p w14:paraId="0C161EA3" w14:textId="77777777" w:rsidR="00622393" w:rsidRDefault="00622393" w:rsidP="00622393">
                  <w:pPr>
                    <w:spacing w:after="0" w:line="240" w:lineRule="auto"/>
                    <w:rPr>
                      <w:rFonts w:ascii="Tahoma" w:eastAsia="Times New Roman" w:hAnsi="Tahoma" w:cs="Tahoma"/>
                      <w:i/>
                      <w:iCs/>
                      <w:color w:val="404040"/>
                      <w:sz w:val="20"/>
                      <w:szCs w:val="20"/>
                    </w:rPr>
                  </w:pPr>
                  <w:r>
                    <w:rPr>
                      <w:rFonts w:ascii="Tahoma" w:hAnsi="Tahoma"/>
                      <w:i/>
                      <w:color w:val="404040"/>
                      <w:sz w:val="20"/>
                    </w:rPr>
                    <w:t>3.2</w:t>
                  </w:r>
                </w:p>
              </w:tc>
              <w:tc>
                <w:tcPr>
                  <w:tcW w:w="1275" w:type="dxa"/>
                  <w:tcBorders>
                    <w:top w:val="nil"/>
                    <w:left w:val="nil"/>
                    <w:bottom w:val="dotted" w:sz="4" w:space="0" w:color="808080"/>
                    <w:right w:val="nil"/>
                  </w:tcBorders>
                  <w:shd w:val="clear" w:color="auto" w:fill="F9F9F9"/>
                  <w:noWrap/>
                  <w:vAlign w:val="center"/>
                  <w:hideMark/>
                </w:tcPr>
                <w:p w14:paraId="47A204AB" w14:textId="77777777" w:rsidR="00622393" w:rsidRDefault="00622393" w:rsidP="00622393">
                  <w:pPr>
                    <w:spacing w:after="0" w:line="240" w:lineRule="auto"/>
                    <w:rPr>
                      <w:rFonts w:ascii="Tahoma" w:eastAsia="Times New Roman" w:hAnsi="Tahoma" w:cs="Tahoma"/>
                      <w:i/>
                      <w:iCs/>
                      <w:color w:val="404040"/>
                      <w:sz w:val="20"/>
                      <w:szCs w:val="20"/>
                    </w:rPr>
                  </w:pPr>
                  <w:r>
                    <w:rPr>
                      <w:rFonts w:ascii="Tahoma" w:hAnsi="Tahoma"/>
                      <w:i/>
                      <w:color w:val="404040"/>
                      <w:sz w:val="20"/>
                    </w:rPr>
                    <w:t>10.6%</w:t>
                  </w:r>
                </w:p>
              </w:tc>
            </w:tr>
            <w:tr w:rsidR="00622393" w14:paraId="5ADA3B5C" w14:textId="77777777" w:rsidTr="00622393">
              <w:trPr>
                <w:trHeight w:val="285"/>
              </w:trPr>
              <w:tc>
                <w:tcPr>
                  <w:tcW w:w="2592" w:type="dxa"/>
                  <w:shd w:val="clear" w:color="auto" w:fill="F2F2F2"/>
                  <w:noWrap/>
                  <w:vAlign w:val="center"/>
                  <w:hideMark/>
                </w:tcPr>
                <w:p w14:paraId="049E4FCD" w14:textId="77777777" w:rsidR="00622393" w:rsidRDefault="00622393" w:rsidP="00622393">
                  <w:pPr>
                    <w:spacing w:after="0" w:line="240" w:lineRule="auto"/>
                    <w:rPr>
                      <w:rFonts w:ascii="Tahoma" w:eastAsia="Times New Roman" w:hAnsi="Tahoma" w:cs="Tahoma"/>
                      <w:color w:val="404040"/>
                    </w:rPr>
                  </w:pPr>
                  <w:r>
                    <w:rPr>
                      <w:rFonts w:ascii="Tahoma" w:hAnsi="Tahoma"/>
                      <w:color w:val="404040"/>
                    </w:rPr>
                    <w:t>share</w:t>
                  </w:r>
                </w:p>
              </w:tc>
              <w:tc>
                <w:tcPr>
                  <w:tcW w:w="1559" w:type="dxa"/>
                  <w:shd w:val="clear" w:color="auto" w:fill="F2F2F2"/>
                  <w:noWrap/>
                  <w:vAlign w:val="center"/>
                  <w:hideMark/>
                </w:tcPr>
                <w:p w14:paraId="48682F95" w14:textId="77777777" w:rsidR="00622393" w:rsidRDefault="00622393" w:rsidP="00622393">
                  <w:pPr>
                    <w:spacing w:after="0" w:line="240" w:lineRule="auto"/>
                    <w:rPr>
                      <w:rFonts w:ascii="Tahoma" w:eastAsia="Times New Roman" w:hAnsi="Tahoma" w:cs="Tahoma"/>
                      <w:color w:val="404040"/>
                    </w:rPr>
                  </w:pPr>
                  <w:r>
                    <w:rPr>
                      <w:rFonts w:ascii="Tahoma" w:hAnsi="Tahoma"/>
                      <w:color w:val="404040"/>
                    </w:rPr>
                    <w:t>49.6%</w:t>
                  </w:r>
                </w:p>
              </w:tc>
              <w:tc>
                <w:tcPr>
                  <w:tcW w:w="1418" w:type="dxa"/>
                  <w:shd w:val="clear" w:color="auto" w:fill="F2F2F2"/>
                  <w:noWrap/>
                  <w:vAlign w:val="center"/>
                  <w:hideMark/>
                </w:tcPr>
                <w:p w14:paraId="5FF6453D" w14:textId="77777777" w:rsidR="00622393" w:rsidRDefault="00622393" w:rsidP="00622393">
                  <w:pPr>
                    <w:spacing w:after="0" w:line="240" w:lineRule="auto"/>
                    <w:rPr>
                      <w:rFonts w:ascii="Tahoma" w:eastAsia="Times New Roman" w:hAnsi="Tahoma" w:cs="Tahoma"/>
                      <w:color w:val="404040"/>
                    </w:rPr>
                  </w:pPr>
                  <w:r>
                    <w:rPr>
                      <w:rFonts w:ascii="Tahoma" w:hAnsi="Tahoma"/>
                      <w:color w:val="404040"/>
                    </w:rPr>
                    <w:t>45.2%</w:t>
                  </w:r>
                </w:p>
              </w:tc>
              <w:tc>
                <w:tcPr>
                  <w:tcW w:w="1275" w:type="dxa"/>
                  <w:shd w:val="clear" w:color="auto" w:fill="F2F2F2"/>
                  <w:noWrap/>
                  <w:vAlign w:val="center"/>
                  <w:hideMark/>
                </w:tcPr>
                <w:p w14:paraId="05CB1466" w14:textId="77777777" w:rsidR="00622393" w:rsidRDefault="00622393" w:rsidP="00622393">
                  <w:pPr>
                    <w:spacing w:after="0" w:line="240" w:lineRule="auto"/>
                    <w:rPr>
                      <w:rFonts w:ascii="Tahoma" w:eastAsia="Times New Roman" w:hAnsi="Tahoma" w:cs="Tahoma"/>
                      <w:color w:val="404040"/>
                    </w:rPr>
                  </w:pPr>
                  <w:r>
                    <w:rPr>
                      <w:rFonts w:ascii="Tahoma" w:hAnsi="Tahoma"/>
                      <w:color w:val="404040"/>
                    </w:rPr>
                    <w:t>4.4%</w:t>
                  </w:r>
                </w:p>
              </w:tc>
            </w:tr>
          </w:tbl>
          <w:p w14:paraId="3E85F3A8" w14:textId="01241C01" w:rsidR="0080729F" w:rsidRPr="007C69AF" w:rsidRDefault="0080729F" w:rsidP="005B039B">
            <w:pPr>
              <w:spacing w:line="360" w:lineRule="auto"/>
              <w:jc w:val="both"/>
              <w:rPr>
                <w:rFonts w:ascii="Tahoma" w:eastAsia="Tahoma" w:hAnsi="Tahoma" w:cs="Tahoma"/>
                <w:b/>
                <w:color w:val="808080"/>
                <w:sz w:val="18"/>
                <w:szCs w:val="18"/>
                <w:highlight w:val="yellow"/>
              </w:rPr>
            </w:pPr>
          </w:p>
          <w:p w14:paraId="1FFE2121" w14:textId="6BBE5204" w:rsidR="00807471" w:rsidRPr="008C6503" w:rsidRDefault="00807471" w:rsidP="00807471">
            <w:pPr>
              <w:spacing w:line="360" w:lineRule="auto"/>
              <w:jc w:val="both"/>
              <w:rPr>
                <w:rFonts w:ascii="Tahoma" w:eastAsia="Tahoma" w:hAnsi="Tahoma" w:cs="Tahoma"/>
                <w:b/>
                <w:color w:val="808080"/>
                <w:sz w:val="18"/>
                <w:szCs w:val="18"/>
              </w:rPr>
            </w:pPr>
            <w:r>
              <w:rPr>
                <w:rFonts w:ascii="Tahoma" w:hAnsi="Tahoma"/>
                <w:b/>
                <w:color w:val="808080"/>
                <w:sz w:val="18"/>
              </w:rPr>
              <w:t xml:space="preserve">Sales of the Budimex Group's construction segment amounted to PLN 3,885 million in Q1 2023 (+6.9% y/y), while recording am increase in both operating profitability (from 5.4% to 5.9%) and gross profitability (from 6.1% to 8.0%). </w:t>
            </w:r>
          </w:p>
          <w:p w14:paraId="0D456B7E" w14:textId="77777777" w:rsidR="00F243DA" w:rsidRPr="001D4924" w:rsidRDefault="00F243DA" w:rsidP="00807471">
            <w:pPr>
              <w:spacing w:line="360" w:lineRule="auto"/>
              <w:jc w:val="both"/>
              <w:rPr>
                <w:rFonts w:ascii="Tahoma" w:eastAsia="Tahoma" w:hAnsi="Tahoma" w:cs="Tahoma"/>
                <w:b/>
                <w:color w:val="808080"/>
                <w:sz w:val="18"/>
                <w:szCs w:val="18"/>
                <w:highlight w:val="yellow"/>
              </w:rPr>
            </w:pPr>
          </w:p>
          <w:p w14:paraId="7349A156" w14:textId="77777777" w:rsidR="00807471" w:rsidRPr="001D4924" w:rsidRDefault="00807471" w:rsidP="00807471">
            <w:pPr>
              <w:spacing w:line="360" w:lineRule="auto"/>
              <w:jc w:val="both"/>
              <w:rPr>
                <w:rFonts w:ascii="Tahoma" w:eastAsia="Tahoma" w:hAnsi="Tahoma" w:cs="Tahoma"/>
                <w:b/>
                <w:color w:val="808080"/>
                <w:sz w:val="18"/>
                <w:szCs w:val="18"/>
                <w:highlight w:val="yellow"/>
              </w:rPr>
            </w:pPr>
          </w:p>
          <w:tbl>
            <w:tblPr>
              <w:tblW w:w="6620" w:type="dxa"/>
              <w:tblLayout w:type="fixed"/>
              <w:tblCellMar>
                <w:left w:w="70" w:type="dxa"/>
                <w:right w:w="70" w:type="dxa"/>
              </w:tblCellMar>
              <w:tblLook w:val="04A0" w:firstRow="1" w:lastRow="0" w:firstColumn="1" w:lastColumn="0" w:noHBand="0" w:noVBand="1"/>
            </w:tblPr>
            <w:tblGrid>
              <w:gridCol w:w="2520"/>
              <w:gridCol w:w="1420"/>
              <w:gridCol w:w="1440"/>
              <w:gridCol w:w="1240"/>
            </w:tblGrid>
            <w:tr w:rsidR="001F6968" w:rsidRPr="001F6968" w14:paraId="764D1339" w14:textId="77777777" w:rsidTr="001F6968">
              <w:trPr>
                <w:trHeight w:val="349"/>
              </w:trPr>
              <w:tc>
                <w:tcPr>
                  <w:tcW w:w="2520" w:type="dxa"/>
                  <w:vMerge w:val="restart"/>
                  <w:tcBorders>
                    <w:top w:val="nil"/>
                    <w:left w:val="nil"/>
                    <w:bottom w:val="nil"/>
                    <w:right w:val="nil"/>
                  </w:tcBorders>
                  <w:shd w:val="clear" w:color="000000" w:fill="595959"/>
                  <w:vAlign w:val="center"/>
                  <w:hideMark/>
                </w:tcPr>
                <w:p w14:paraId="2FBD1849" w14:textId="77777777" w:rsidR="001F6968" w:rsidRPr="001F6968" w:rsidRDefault="001F6968" w:rsidP="001F6968">
                  <w:pPr>
                    <w:spacing w:after="0" w:line="240" w:lineRule="auto"/>
                    <w:rPr>
                      <w:rFonts w:ascii="Tahoma" w:eastAsia="Times New Roman" w:hAnsi="Tahoma" w:cs="Tahoma"/>
                      <w:b/>
                      <w:bCs/>
                      <w:color w:val="FFFFFF"/>
                    </w:rPr>
                  </w:pPr>
                  <w:r>
                    <w:rPr>
                      <w:rFonts w:ascii="Tahoma" w:hAnsi="Tahoma"/>
                      <w:b/>
                      <w:color w:val="FFFFFF"/>
                    </w:rPr>
                    <w:lastRenderedPageBreak/>
                    <w:t>Construction segment</w:t>
                  </w:r>
                  <w:r>
                    <w:rPr>
                      <w:rFonts w:ascii="Tahoma" w:hAnsi="Tahoma"/>
                      <w:b/>
                      <w:color w:val="FFFFFF"/>
                    </w:rPr>
                    <w:br/>
                    <w:t>(PLN million)</w:t>
                  </w:r>
                </w:p>
              </w:tc>
              <w:tc>
                <w:tcPr>
                  <w:tcW w:w="4100" w:type="dxa"/>
                  <w:gridSpan w:val="3"/>
                  <w:tcBorders>
                    <w:top w:val="nil"/>
                    <w:left w:val="nil"/>
                    <w:bottom w:val="single" w:sz="4" w:space="0" w:color="000000"/>
                    <w:right w:val="nil"/>
                  </w:tcBorders>
                  <w:shd w:val="clear" w:color="000000" w:fill="BFBFBF"/>
                  <w:noWrap/>
                  <w:vAlign w:val="center"/>
                  <w:hideMark/>
                </w:tcPr>
                <w:p w14:paraId="045970E7" w14:textId="77777777" w:rsidR="001F6968" w:rsidRPr="001F6968" w:rsidRDefault="001F6968" w:rsidP="001F6968">
                  <w:pPr>
                    <w:spacing w:after="0" w:line="240" w:lineRule="auto"/>
                    <w:jc w:val="center"/>
                    <w:rPr>
                      <w:rFonts w:ascii="Tahoma" w:eastAsia="Times New Roman" w:hAnsi="Tahoma" w:cs="Tahoma"/>
                      <w:b/>
                      <w:bCs/>
                      <w:color w:val="000000"/>
                    </w:rPr>
                  </w:pPr>
                  <w:r>
                    <w:rPr>
                      <w:rFonts w:ascii="Tahoma" w:hAnsi="Tahoma"/>
                      <w:b/>
                      <w:color w:val="000000"/>
                    </w:rPr>
                    <w:t>Profit and loss account</w:t>
                  </w:r>
                </w:p>
              </w:tc>
            </w:tr>
            <w:tr w:rsidR="001F6968" w:rsidRPr="001F6968" w14:paraId="56649F3E" w14:textId="77777777" w:rsidTr="001F6968">
              <w:trPr>
                <w:trHeight w:val="540"/>
              </w:trPr>
              <w:tc>
                <w:tcPr>
                  <w:tcW w:w="2520" w:type="dxa"/>
                  <w:vMerge/>
                  <w:tcBorders>
                    <w:top w:val="nil"/>
                    <w:left w:val="nil"/>
                    <w:bottom w:val="nil"/>
                    <w:right w:val="nil"/>
                  </w:tcBorders>
                  <w:vAlign w:val="center"/>
                  <w:hideMark/>
                </w:tcPr>
                <w:p w14:paraId="05E77296" w14:textId="77777777" w:rsidR="001F6968" w:rsidRPr="001F6968" w:rsidRDefault="001F6968" w:rsidP="001F6968">
                  <w:pPr>
                    <w:spacing w:after="0" w:line="240" w:lineRule="auto"/>
                    <w:rPr>
                      <w:rFonts w:ascii="Tahoma" w:eastAsia="Times New Roman" w:hAnsi="Tahoma" w:cs="Tahoma"/>
                      <w:b/>
                      <w:bCs/>
                      <w:color w:val="FFFFFF"/>
                    </w:rPr>
                  </w:pPr>
                </w:p>
              </w:tc>
              <w:tc>
                <w:tcPr>
                  <w:tcW w:w="1420" w:type="dxa"/>
                  <w:tcBorders>
                    <w:top w:val="nil"/>
                    <w:left w:val="nil"/>
                    <w:bottom w:val="nil"/>
                    <w:right w:val="nil"/>
                  </w:tcBorders>
                  <w:shd w:val="clear" w:color="000000" w:fill="BFBFBF"/>
                  <w:vAlign w:val="center"/>
                  <w:hideMark/>
                </w:tcPr>
                <w:p w14:paraId="1B23A828" w14:textId="77777777" w:rsidR="001F6968" w:rsidRPr="001F6968" w:rsidRDefault="001F6968" w:rsidP="001F6968">
                  <w:pPr>
                    <w:spacing w:after="0" w:line="240" w:lineRule="auto"/>
                    <w:jc w:val="center"/>
                    <w:rPr>
                      <w:rFonts w:ascii="Tahoma" w:eastAsia="Times New Roman" w:hAnsi="Tahoma" w:cs="Tahoma"/>
                      <w:color w:val="000000"/>
                    </w:rPr>
                  </w:pPr>
                  <w:r>
                    <w:rPr>
                      <w:rFonts w:ascii="Tahoma" w:hAnsi="Tahoma"/>
                      <w:color w:val="000000"/>
                    </w:rPr>
                    <w:t>H1 2023</w:t>
                  </w:r>
                </w:p>
              </w:tc>
              <w:tc>
                <w:tcPr>
                  <w:tcW w:w="1440" w:type="dxa"/>
                  <w:tcBorders>
                    <w:top w:val="nil"/>
                    <w:left w:val="single" w:sz="4" w:space="0" w:color="000000"/>
                    <w:bottom w:val="single" w:sz="8" w:space="0" w:color="000000"/>
                    <w:right w:val="single" w:sz="4" w:space="0" w:color="000000"/>
                  </w:tcBorders>
                  <w:shd w:val="clear" w:color="000000" w:fill="BFBFBF"/>
                  <w:vAlign w:val="center"/>
                  <w:hideMark/>
                </w:tcPr>
                <w:p w14:paraId="41F6BAD5" w14:textId="77777777" w:rsidR="001F6968" w:rsidRPr="001F6968" w:rsidRDefault="001F6968" w:rsidP="001F6968">
                  <w:pPr>
                    <w:spacing w:after="0" w:line="240" w:lineRule="auto"/>
                    <w:jc w:val="center"/>
                    <w:rPr>
                      <w:rFonts w:ascii="Tahoma" w:eastAsia="Times New Roman" w:hAnsi="Tahoma" w:cs="Tahoma"/>
                      <w:color w:val="000000"/>
                    </w:rPr>
                  </w:pPr>
                  <w:r>
                    <w:rPr>
                      <w:rFonts w:ascii="Tahoma" w:hAnsi="Tahoma"/>
                      <w:color w:val="000000"/>
                    </w:rPr>
                    <w:t>H1 2022</w:t>
                  </w:r>
                </w:p>
              </w:tc>
              <w:tc>
                <w:tcPr>
                  <w:tcW w:w="1240" w:type="dxa"/>
                  <w:tcBorders>
                    <w:top w:val="nil"/>
                    <w:left w:val="nil"/>
                    <w:bottom w:val="single" w:sz="8" w:space="0" w:color="000000"/>
                    <w:right w:val="nil"/>
                  </w:tcBorders>
                  <w:shd w:val="clear" w:color="000000" w:fill="BFBFBF"/>
                  <w:noWrap/>
                  <w:vAlign w:val="center"/>
                  <w:hideMark/>
                </w:tcPr>
                <w:p w14:paraId="316A4EFA" w14:textId="77777777" w:rsidR="001F6968" w:rsidRPr="001F6968" w:rsidRDefault="001F6968" w:rsidP="001F6968">
                  <w:pPr>
                    <w:spacing w:after="0" w:line="240" w:lineRule="auto"/>
                    <w:jc w:val="center"/>
                    <w:rPr>
                      <w:rFonts w:ascii="Tahoma" w:eastAsia="Times New Roman" w:hAnsi="Tahoma" w:cs="Tahoma"/>
                      <w:color w:val="000000"/>
                    </w:rPr>
                  </w:pPr>
                  <w:r>
                    <w:rPr>
                      <w:rFonts w:ascii="Tahoma" w:hAnsi="Tahoma"/>
                      <w:color w:val="000000"/>
                    </w:rPr>
                    <w:t>y/y</w:t>
                  </w:r>
                </w:p>
              </w:tc>
            </w:tr>
            <w:tr w:rsidR="001F6968" w:rsidRPr="001F6968" w14:paraId="4FD02F60" w14:textId="77777777" w:rsidTr="001F6968">
              <w:trPr>
                <w:trHeight w:val="420"/>
              </w:trPr>
              <w:tc>
                <w:tcPr>
                  <w:tcW w:w="2520" w:type="dxa"/>
                  <w:tcBorders>
                    <w:top w:val="single" w:sz="8" w:space="0" w:color="auto"/>
                    <w:left w:val="nil"/>
                    <w:bottom w:val="nil"/>
                    <w:right w:val="nil"/>
                  </w:tcBorders>
                  <w:shd w:val="clear" w:color="000000" w:fill="FFC000"/>
                  <w:noWrap/>
                  <w:vAlign w:val="center"/>
                  <w:hideMark/>
                </w:tcPr>
                <w:p w14:paraId="6D3DDFDE"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Sale</w:t>
                  </w:r>
                </w:p>
              </w:tc>
              <w:tc>
                <w:tcPr>
                  <w:tcW w:w="1420" w:type="dxa"/>
                  <w:tcBorders>
                    <w:top w:val="single" w:sz="8" w:space="0" w:color="auto"/>
                    <w:left w:val="nil"/>
                    <w:bottom w:val="nil"/>
                    <w:right w:val="nil"/>
                  </w:tcBorders>
                  <w:shd w:val="clear" w:color="000000" w:fill="FFC000"/>
                  <w:noWrap/>
                  <w:vAlign w:val="center"/>
                  <w:hideMark/>
                </w:tcPr>
                <w:p w14:paraId="79C23963"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3885</w:t>
                  </w:r>
                </w:p>
              </w:tc>
              <w:tc>
                <w:tcPr>
                  <w:tcW w:w="1440" w:type="dxa"/>
                  <w:tcBorders>
                    <w:top w:val="nil"/>
                    <w:left w:val="nil"/>
                    <w:bottom w:val="nil"/>
                    <w:right w:val="nil"/>
                  </w:tcBorders>
                  <w:shd w:val="clear" w:color="000000" w:fill="FFC000"/>
                  <w:noWrap/>
                  <w:vAlign w:val="center"/>
                  <w:hideMark/>
                </w:tcPr>
                <w:p w14:paraId="2B2080FA"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3634</w:t>
                  </w:r>
                </w:p>
              </w:tc>
              <w:tc>
                <w:tcPr>
                  <w:tcW w:w="1240" w:type="dxa"/>
                  <w:tcBorders>
                    <w:top w:val="nil"/>
                    <w:left w:val="nil"/>
                    <w:bottom w:val="single" w:sz="8" w:space="0" w:color="auto"/>
                    <w:right w:val="nil"/>
                  </w:tcBorders>
                  <w:shd w:val="clear" w:color="000000" w:fill="FFC000"/>
                  <w:noWrap/>
                  <w:vAlign w:val="center"/>
                  <w:hideMark/>
                </w:tcPr>
                <w:p w14:paraId="1900D3F5"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6.9%</w:t>
                  </w:r>
                </w:p>
              </w:tc>
            </w:tr>
            <w:tr w:rsidR="001F6968" w:rsidRPr="001F6968" w14:paraId="038C4B81" w14:textId="77777777" w:rsidTr="001F6968">
              <w:trPr>
                <w:trHeight w:val="420"/>
              </w:trPr>
              <w:tc>
                <w:tcPr>
                  <w:tcW w:w="2520" w:type="dxa"/>
                  <w:tcBorders>
                    <w:top w:val="single" w:sz="8" w:space="0" w:color="auto"/>
                    <w:left w:val="nil"/>
                    <w:bottom w:val="nil"/>
                    <w:right w:val="nil"/>
                  </w:tcBorders>
                  <w:shd w:val="clear" w:color="000000" w:fill="F2F2F2"/>
                  <w:noWrap/>
                  <w:vAlign w:val="center"/>
                  <w:hideMark/>
                </w:tcPr>
                <w:p w14:paraId="00B659C2"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Operational profit</w:t>
                  </w:r>
                </w:p>
              </w:tc>
              <w:tc>
                <w:tcPr>
                  <w:tcW w:w="1420" w:type="dxa"/>
                  <w:tcBorders>
                    <w:top w:val="single" w:sz="8" w:space="0" w:color="auto"/>
                    <w:left w:val="nil"/>
                    <w:bottom w:val="nil"/>
                    <w:right w:val="nil"/>
                  </w:tcBorders>
                  <w:shd w:val="clear" w:color="000000" w:fill="F2F2F2"/>
                  <w:noWrap/>
                  <w:vAlign w:val="center"/>
                  <w:hideMark/>
                </w:tcPr>
                <w:p w14:paraId="6E9E1FD2"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229</w:t>
                  </w:r>
                </w:p>
              </w:tc>
              <w:tc>
                <w:tcPr>
                  <w:tcW w:w="1440" w:type="dxa"/>
                  <w:tcBorders>
                    <w:top w:val="single" w:sz="8" w:space="0" w:color="auto"/>
                    <w:left w:val="nil"/>
                    <w:bottom w:val="nil"/>
                    <w:right w:val="nil"/>
                  </w:tcBorders>
                  <w:shd w:val="clear" w:color="000000" w:fill="F2F2F2"/>
                  <w:noWrap/>
                  <w:vAlign w:val="center"/>
                  <w:hideMark/>
                </w:tcPr>
                <w:p w14:paraId="4337ABE8"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197</w:t>
                  </w:r>
                </w:p>
              </w:tc>
              <w:tc>
                <w:tcPr>
                  <w:tcW w:w="1240" w:type="dxa"/>
                  <w:tcBorders>
                    <w:top w:val="nil"/>
                    <w:left w:val="nil"/>
                    <w:bottom w:val="nil"/>
                    <w:right w:val="nil"/>
                  </w:tcBorders>
                  <w:shd w:val="clear" w:color="000000" w:fill="F2F2F2"/>
                  <w:noWrap/>
                  <w:vAlign w:val="center"/>
                  <w:hideMark/>
                </w:tcPr>
                <w:p w14:paraId="49CAC8F5"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16.1%</w:t>
                  </w:r>
                </w:p>
              </w:tc>
            </w:tr>
            <w:tr w:rsidR="001F6968" w:rsidRPr="001F6968" w14:paraId="063248AE" w14:textId="77777777" w:rsidTr="001F6968">
              <w:trPr>
                <w:trHeight w:val="252"/>
              </w:trPr>
              <w:tc>
                <w:tcPr>
                  <w:tcW w:w="2520" w:type="dxa"/>
                  <w:tcBorders>
                    <w:top w:val="nil"/>
                    <w:left w:val="nil"/>
                    <w:bottom w:val="nil"/>
                    <w:right w:val="nil"/>
                  </w:tcBorders>
                  <w:shd w:val="clear" w:color="000000" w:fill="F2F2F2"/>
                  <w:noWrap/>
                  <w:vAlign w:val="center"/>
                  <w:hideMark/>
                </w:tcPr>
                <w:p w14:paraId="383947F0"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 of sales</w:t>
                  </w:r>
                </w:p>
              </w:tc>
              <w:tc>
                <w:tcPr>
                  <w:tcW w:w="1420" w:type="dxa"/>
                  <w:tcBorders>
                    <w:top w:val="nil"/>
                    <w:left w:val="nil"/>
                    <w:bottom w:val="single" w:sz="4" w:space="0" w:color="auto"/>
                    <w:right w:val="nil"/>
                  </w:tcBorders>
                  <w:shd w:val="clear" w:color="000000" w:fill="F2F2F2"/>
                  <w:noWrap/>
                  <w:vAlign w:val="center"/>
                  <w:hideMark/>
                </w:tcPr>
                <w:p w14:paraId="0889A53F"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5.9%</w:t>
                  </w:r>
                </w:p>
              </w:tc>
              <w:tc>
                <w:tcPr>
                  <w:tcW w:w="1440" w:type="dxa"/>
                  <w:tcBorders>
                    <w:top w:val="nil"/>
                    <w:left w:val="nil"/>
                    <w:bottom w:val="single" w:sz="4" w:space="0" w:color="auto"/>
                    <w:right w:val="nil"/>
                  </w:tcBorders>
                  <w:shd w:val="clear" w:color="000000" w:fill="F2F2F2"/>
                  <w:noWrap/>
                  <w:vAlign w:val="center"/>
                  <w:hideMark/>
                </w:tcPr>
                <w:p w14:paraId="23951A4F"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5.4%</w:t>
                  </w:r>
                </w:p>
              </w:tc>
              <w:tc>
                <w:tcPr>
                  <w:tcW w:w="1240" w:type="dxa"/>
                  <w:tcBorders>
                    <w:top w:val="nil"/>
                    <w:left w:val="nil"/>
                    <w:bottom w:val="nil"/>
                    <w:right w:val="nil"/>
                  </w:tcBorders>
                  <w:shd w:val="clear" w:color="000000" w:fill="F2F2F2"/>
                  <w:noWrap/>
                  <w:vAlign w:val="center"/>
                  <w:hideMark/>
                </w:tcPr>
                <w:p w14:paraId="2A1F19EC"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0.5% pp.</w:t>
                  </w:r>
                </w:p>
              </w:tc>
            </w:tr>
            <w:tr w:rsidR="001F6968" w:rsidRPr="001F6968" w14:paraId="344D35F6" w14:textId="77777777" w:rsidTr="001F6968">
              <w:trPr>
                <w:trHeight w:val="420"/>
              </w:trPr>
              <w:tc>
                <w:tcPr>
                  <w:tcW w:w="2520" w:type="dxa"/>
                  <w:tcBorders>
                    <w:top w:val="single" w:sz="4" w:space="0" w:color="auto"/>
                    <w:left w:val="nil"/>
                    <w:bottom w:val="nil"/>
                    <w:right w:val="nil"/>
                  </w:tcBorders>
                  <w:shd w:val="clear" w:color="000000" w:fill="F2F2F2"/>
                  <w:noWrap/>
                  <w:vAlign w:val="center"/>
                  <w:hideMark/>
                </w:tcPr>
                <w:p w14:paraId="521AFBCC"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Gross profit</w:t>
                  </w:r>
                </w:p>
              </w:tc>
              <w:tc>
                <w:tcPr>
                  <w:tcW w:w="1420" w:type="dxa"/>
                  <w:tcBorders>
                    <w:top w:val="nil"/>
                    <w:left w:val="nil"/>
                    <w:bottom w:val="nil"/>
                    <w:right w:val="nil"/>
                  </w:tcBorders>
                  <w:shd w:val="clear" w:color="000000" w:fill="F2F2F2"/>
                  <w:noWrap/>
                  <w:vAlign w:val="center"/>
                  <w:hideMark/>
                </w:tcPr>
                <w:p w14:paraId="703AB0FA"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312</w:t>
                  </w:r>
                </w:p>
              </w:tc>
              <w:tc>
                <w:tcPr>
                  <w:tcW w:w="1440" w:type="dxa"/>
                  <w:tcBorders>
                    <w:top w:val="nil"/>
                    <w:left w:val="nil"/>
                    <w:bottom w:val="nil"/>
                    <w:right w:val="nil"/>
                  </w:tcBorders>
                  <w:shd w:val="clear" w:color="000000" w:fill="F2F2F2"/>
                  <w:noWrap/>
                  <w:vAlign w:val="center"/>
                  <w:hideMark/>
                </w:tcPr>
                <w:p w14:paraId="16A447EE"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221</w:t>
                  </w:r>
                </w:p>
              </w:tc>
              <w:tc>
                <w:tcPr>
                  <w:tcW w:w="1240" w:type="dxa"/>
                  <w:tcBorders>
                    <w:top w:val="single" w:sz="4" w:space="0" w:color="auto"/>
                    <w:left w:val="nil"/>
                    <w:bottom w:val="nil"/>
                    <w:right w:val="nil"/>
                  </w:tcBorders>
                  <w:shd w:val="clear" w:color="000000" w:fill="F2F2F2"/>
                  <w:noWrap/>
                  <w:vAlign w:val="center"/>
                  <w:hideMark/>
                </w:tcPr>
                <w:p w14:paraId="37683886"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41.6%</w:t>
                  </w:r>
                </w:p>
              </w:tc>
            </w:tr>
            <w:tr w:rsidR="001F6968" w:rsidRPr="001F6968" w14:paraId="3BD107AE" w14:textId="77777777" w:rsidTr="001F6968">
              <w:trPr>
                <w:trHeight w:val="252"/>
              </w:trPr>
              <w:tc>
                <w:tcPr>
                  <w:tcW w:w="2520" w:type="dxa"/>
                  <w:tcBorders>
                    <w:top w:val="nil"/>
                    <w:left w:val="nil"/>
                    <w:bottom w:val="nil"/>
                    <w:right w:val="nil"/>
                  </w:tcBorders>
                  <w:shd w:val="clear" w:color="000000" w:fill="F2F2F2"/>
                  <w:noWrap/>
                  <w:vAlign w:val="center"/>
                  <w:hideMark/>
                </w:tcPr>
                <w:p w14:paraId="111BEA93"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 of sales</w:t>
                  </w:r>
                </w:p>
              </w:tc>
              <w:tc>
                <w:tcPr>
                  <w:tcW w:w="1420" w:type="dxa"/>
                  <w:tcBorders>
                    <w:top w:val="nil"/>
                    <w:left w:val="nil"/>
                    <w:bottom w:val="nil"/>
                    <w:right w:val="nil"/>
                  </w:tcBorders>
                  <w:shd w:val="clear" w:color="000000" w:fill="F2F2F2"/>
                  <w:noWrap/>
                  <w:vAlign w:val="center"/>
                  <w:hideMark/>
                </w:tcPr>
                <w:p w14:paraId="7702B276"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8.0%</w:t>
                  </w:r>
                </w:p>
              </w:tc>
              <w:tc>
                <w:tcPr>
                  <w:tcW w:w="1440" w:type="dxa"/>
                  <w:tcBorders>
                    <w:top w:val="nil"/>
                    <w:left w:val="nil"/>
                    <w:bottom w:val="nil"/>
                    <w:right w:val="nil"/>
                  </w:tcBorders>
                  <w:shd w:val="clear" w:color="000000" w:fill="F2F2F2"/>
                  <w:noWrap/>
                  <w:vAlign w:val="center"/>
                  <w:hideMark/>
                </w:tcPr>
                <w:p w14:paraId="3D854763"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6.1%</w:t>
                  </w:r>
                </w:p>
              </w:tc>
              <w:tc>
                <w:tcPr>
                  <w:tcW w:w="1240" w:type="dxa"/>
                  <w:tcBorders>
                    <w:top w:val="nil"/>
                    <w:left w:val="nil"/>
                    <w:bottom w:val="nil"/>
                    <w:right w:val="nil"/>
                  </w:tcBorders>
                  <w:shd w:val="clear" w:color="000000" w:fill="F2F2F2"/>
                  <w:noWrap/>
                  <w:vAlign w:val="center"/>
                  <w:hideMark/>
                </w:tcPr>
                <w:p w14:paraId="3D1077CF" w14:textId="66664E64" w:rsidR="001F6968" w:rsidRPr="001F6968" w:rsidRDefault="001E7216" w:rsidP="001F6968">
                  <w:pPr>
                    <w:spacing w:after="0" w:line="240" w:lineRule="auto"/>
                    <w:rPr>
                      <w:rFonts w:ascii="Tahoma" w:eastAsia="Times New Roman" w:hAnsi="Tahoma" w:cs="Tahoma"/>
                      <w:color w:val="404040"/>
                    </w:rPr>
                  </w:pPr>
                  <w:r>
                    <w:rPr>
                      <w:rFonts w:ascii="Tahoma" w:hAnsi="Tahoma"/>
                      <w:color w:val="404040"/>
                    </w:rPr>
                    <w:t>1.9% pp.</w:t>
                  </w:r>
                </w:p>
              </w:tc>
            </w:tr>
            <w:tr w:rsidR="001F6968" w:rsidRPr="001F6968" w14:paraId="3FFE602F" w14:textId="77777777" w:rsidTr="001F6968">
              <w:trPr>
                <w:trHeight w:val="503"/>
              </w:trPr>
              <w:tc>
                <w:tcPr>
                  <w:tcW w:w="2520" w:type="dxa"/>
                  <w:tcBorders>
                    <w:top w:val="single" w:sz="4" w:space="0" w:color="auto"/>
                    <w:left w:val="nil"/>
                    <w:bottom w:val="nil"/>
                    <w:right w:val="nil"/>
                  </w:tcBorders>
                  <w:shd w:val="clear" w:color="000000" w:fill="F2F2F2"/>
                  <w:vAlign w:val="center"/>
                  <w:hideMark/>
                </w:tcPr>
                <w:p w14:paraId="5D2082FD"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Contract portfolio</w:t>
                  </w:r>
                </w:p>
              </w:tc>
              <w:tc>
                <w:tcPr>
                  <w:tcW w:w="1420" w:type="dxa"/>
                  <w:tcBorders>
                    <w:top w:val="single" w:sz="4" w:space="0" w:color="auto"/>
                    <w:left w:val="nil"/>
                    <w:bottom w:val="nil"/>
                    <w:right w:val="nil"/>
                  </w:tcBorders>
                  <w:shd w:val="clear" w:color="000000" w:fill="F2F2F2"/>
                  <w:noWrap/>
                  <w:vAlign w:val="center"/>
                  <w:hideMark/>
                </w:tcPr>
                <w:p w14:paraId="434E0983"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12216</w:t>
                  </w:r>
                </w:p>
              </w:tc>
              <w:tc>
                <w:tcPr>
                  <w:tcW w:w="1440" w:type="dxa"/>
                  <w:tcBorders>
                    <w:top w:val="single" w:sz="4" w:space="0" w:color="auto"/>
                    <w:left w:val="nil"/>
                    <w:bottom w:val="nil"/>
                    <w:right w:val="nil"/>
                  </w:tcBorders>
                  <w:shd w:val="clear" w:color="000000" w:fill="F2F2F2"/>
                  <w:noWrap/>
                  <w:vAlign w:val="center"/>
                  <w:hideMark/>
                </w:tcPr>
                <w:p w14:paraId="23CFCC1F"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11781</w:t>
                  </w:r>
                </w:p>
              </w:tc>
              <w:tc>
                <w:tcPr>
                  <w:tcW w:w="1240" w:type="dxa"/>
                  <w:tcBorders>
                    <w:top w:val="single" w:sz="4" w:space="0" w:color="auto"/>
                    <w:left w:val="nil"/>
                    <w:bottom w:val="nil"/>
                    <w:right w:val="nil"/>
                  </w:tcBorders>
                  <w:shd w:val="clear" w:color="000000" w:fill="F2F2F2"/>
                  <w:noWrap/>
                  <w:vAlign w:val="center"/>
                  <w:hideMark/>
                </w:tcPr>
                <w:p w14:paraId="75D67974"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3.7%</w:t>
                  </w:r>
                </w:p>
              </w:tc>
            </w:tr>
            <w:tr w:rsidR="001F6968" w:rsidRPr="001F6968" w14:paraId="7F8B1FCD" w14:textId="77777777" w:rsidTr="001F6968">
              <w:trPr>
                <w:trHeight w:val="503"/>
              </w:trPr>
              <w:tc>
                <w:tcPr>
                  <w:tcW w:w="2520" w:type="dxa"/>
                  <w:tcBorders>
                    <w:top w:val="single" w:sz="4" w:space="0" w:color="auto"/>
                    <w:left w:val="nil"/>
                    <w:bottom w:val="nil"/>
                    <w:right w:val="nil"/>
                  </w:tcBorders>
                  <w:shd w:val="clear" w:color="000000" w:fill="F2F2F2"/>
                  <w:noWrap/>
                  <w:vAlign w:val="center"/>
                  <w:hideMark/>
                </w:tcPr>
                <w:p w14:paraId="1CBCCD75"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Contracting</w:t>
                  </w:r>
                </w:p>
              </w:tc>
              <w:tc>
                <w:tcPr>
                  <w:tcW w:w="1420" w:type="dxa"/>
                  <w:tcBorders>
                    <w:top w:val="single" w:sz="4" w:space="0" w:color="auto"/>
                    <w:left w:val="nil"/>
                    <w:bottom w:val="nil"/>
                    <w:right w:val="nil"/>
                  </w:tcBorders>
                  <w:shd w:val="clear" w:color="000000" w:fill="F2F2F2"/>
                  <w:noWrap/>
                  <w:vAlign w:val="center"/>
                  <w:hideMark/>
                </w:tcPr>
                <w:p w14:paraId="1222C7F1"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2541</w:t>
                  </w:r>
                </w:p>
              </w:tc>
              <w:tc>
                <w:tcPr>
                  <w:tcW w:w="1440" w:type="dxa"/>
                  <w:tcBorders>
                    <w:top w:val="single" w:sz="4" w:space="0" w:color="auto"/>
                    <w:left w:val="nil"/>
                    <w:bottom w:val="nil"/>
                    <w:right w:val="nil"/>
                  </w:tcBorders>
                  <w:shd w:val="clear" w:color="000000" w:fill="F2F2F2"/>
                  <w:noWrap/>
                  <w:vAlign w:val="center"/>
                  <w:hideMark/>
                </w:tcPr>
                <w:p w14:paraId="5B5D1222"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2059</w:t>
                  </w:r>
                </w:p>
              </w:tc>
              <w:tc>
                <w:tcPr>
                  <w:tcW w:w="1240" w:type="dxa"/>
                  <w:tcBorders>
                    <w:top w:val="single" w:sz="4" w:space="0" w:color="auto"/>
                    <w:left w:val="nil"/>
                    <w:bottom w:val="nil"/>
                    <w:right w:val="nil"/>
                  </w:tcBorders>
                  <w:shd w:val="clear" w:color="000000" w:fill="F2F2F2"/>
                  <w:noWrap/>
                  <w:vAlign w:val="center"/>
                  <w:hideMark/>
                </w:tcPr>
                <w:p w14:paraId="1C8D9B4A"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23.4%</w:t>
                  </w:r>
                </w:p>
              </w:tc>
            </w:tr>
          </w:tbl>
          <w:p w14:paraId="50DBE7C7" w14:textId="77777777" w:rsidR="00807471" w:rsidRPr="001D4924" w:rsidRDefault="00807471" w:rsidP="00807471">
            <w:pPr>
              <w:spacing w:line="360" w:lineRule="auto"/>
              <w:jc w:val="center"/>
              <w:rPr>
                <w:rFonts w:ascii="Tahoma" w:eastAsia="Tahoma" w:hAnsi="Tahoma" w:cs="Tahoma"/>
                <w:b/>
                <w:color w:val="808080"/>
                <w:sz w:val="18"/>
                <w:szCs w:val="18"/>
                <w:highlight w:val="yellow"/>
              </w:rPr>
            </w:pPr>
          </w:p>
          <w:p w14:paraId="1A01B83D" w14:textId="33288923" w:rsidR="00745755" w:rsidRPr="00DF138C" w:rsidRDefault="00745755" w:rsidP="00745755">
            <w:pPr>
              <w:spacing w:line="360" w:lineRule="auto"/>
              <w:jc w:val="both"/>
              <w:rPr>
                <w:rFonts w:ascii="Tahoma" w:eastAsia="Tahoma" w:hAnsi="Tahoma" w:cs="Tahoma"/>
                <w:bCs/>
                <w:color w:val="808080"/>
                <w:sz w:val="18"/>
                <w:szCs w:val="18"/>
              </w:rPr>
            </w:pPr>
            <w:r>
              <w:rPr>
                <w:rFonts w:ascii="Tahoma" w:hAnsi="Tahoma"/>
                <w:color w:val="808080"/>
                <w:sz w:val="18"/>
              </w:rPr>
              <w:t>The scale of sales revenues in the construction segment, realised in H1 2023, was higher than in the corresponding period of the previous year. A high and diverse contract portfolio and favourable weather conditions allowed revenues to increase by nearly 7%. An increase in sales revenue mainly resulted from the industrial and road contracts segment.</w:t>
            </w:r>
          </w:p>
          <w:p w14:paraId="4F05ACF0" w14:textId="77777777" w:rsidR="00745755" w:rsidRPr="00DF138C" w:rsidRDefault="00745755" w:rsidP="00745755">
            <w:pPr>
              <w:spacing w:line="360" w:lineRule="auto"/>
              <w:jc w:val="both"/>
              <w:rPr>
                <w:rFonts w:ascii="Tahoma" w:eastAsia="Tahoma" w:hAnsi="Tahoma" w:cs="Tahoma"/>
                <w:bCs/>
                <w:color w:val="808080"/>
                <w:sz w:val="18"/>
                <w:szCs w:val="18"/>
              </w:rPr>
            </w:pPr>
          </w:p>
          <w:p w14:paraId="27C8568B" w14:textId="08281179" w:rsidR="00745755" w:rsidRPr="00DF138C" w:rsidRDefault="00745755" w:rsidP="00745755">
            <w:pPr>
              <w:spacing w:line="360" w:lineRule="auto"/>
              <w:jc w:val="both"/>
              <w:rPr>
                <w:rFonts w:ascii="Tahoma" w:eastAsia="Tahoma" w:hAnsi="Tahoma" w:cs="Tahoma"/>
                <w:bCs/>
                <w:color w:val="808080"/>
                <w:sz w:val="18"/>
                <w:szCs w:val="18"/>
              </w:rPr>
            </w:pPr>
            <w:r>
              <w:rPr>
                <w:rFonts w:ascii="Tahoma" w:hAnsi="Tahoma"/>
                <w:color w:val="808080"/>
                <w:sz w:val="18"/>
              </w:rPr>
              <w:t>Operating profitability of the construction segment amounted to 5.9% and was higher by 0.5 percentage points compared to the same period last year. During the period under review, the construction industry was less affected than a year earlier by the disrupted supply chains caused by the outbreak of armed conflict in Ukraine. This resulted in greater price predictability and the availability of major assortments of construction materials, as seen in steel or concrete.</w:t>
            </w:r>
          </w:p>
          <w:p w14:paraId="4BACE6CA" w14:textId="77777777" w:rsidR="00745755" w:rsidRPr="001D4924" w:rsidRDefault="00745755" w:rsidP="00745755">
            <w:pPr>
              <w:spacing w:line="360" w:lineRule="auto"/>
              <w:jc w:val="both"/>
              <w:rPr>
                <w:rFonts w:ascii="Tahoma" w:eastAsia="Tahoma" w:hAnsi="Tahoma" w:cs="Tahoma"/>
                <w:bCs/>
                <w:color w:val="808080"/>
                <w:sz w:val="18"/>
                <w:szCs w:val="18"/>
                <w:highlight w:val="yellow"/>
              </w:rPr>
            </w:pPr>
          </w:p>
          <w:p w14:paraId="431EBA7C" w14:textId="76D2E612" w:rsidR="00745755" w:rsidRPr="002D52EE" w:rsidRDefault="00745755" w:rsidP="00745755">
            <w:pPr>
              <w:spacing w:line="360" w:lineRule="auto"/>
              <w:jc w:val="both"/>
              <w:rPr>
                <w:rFonts w:ascii="Tahoma" w:eastAsia="Tahoma" w:hAnsi="Tahoma" w:cs="Tahoma"/>
                <w:bCs/>
                <w:color w:val="808080"/>
                <w:sz w:val="18"/>
                <w:szCs w:val="18"/>
              </w:rPr>
            </w:pPr>
            <w:r>
              <w:rPr>
                <w:rFonts w:ascii="Tahoma" w:hAnsi="Tahoma"/>
                <w:color w:val="808080"/>
                <w:sz w:val="18"/>
              </w:rPr>
              <w:t xml:space="preserve">Besides, thanks to the slowdown experienced by the residential construction sector, there are more subcontractors available in the industrial construction area, which also had an impact on their prices. At the same time, the effects of increases in the prices of construction materials and labour, observed from the time of bidding until the start of construction work (in the case of contracts executed under the design–build formula, this is usually more than a year), were partially absorbed thanks to an increase in the level of valorisation on construction contracts executed for public contracting authorities. </w:t>
            </w:r>
          </w:p>
          <w:p w14:paraId="0CE4FE7E" w14:textId="77777777" w:rsidR="00745755" w:rsidRPr="001D4924" w:rsidRDefault="00745755" w:rsidP="00745755">
            <w:pPr>
              <w:spacing w:line="360" w:lineRule="auto"/>
              <w:jc w:val="both"/>
              <w:rPr>
                <w:rFonts w:ascii="Tahoma" w:eastAsia="Tahoma" w:hAnsi="Tahoma" w:cs="Tahoma"/>
                <w:bCs/>
                <w:color w:val="808080"/>
                <w:sz w:val="18"/>
                <w:szCs w:val="18"/>
                <w:highlight w:val="yellow"/>
              </w:rPr>
            </w:pPr>
          </w:p>
          <w:p w14:paraId="4803DA46" w14:textId="0BD47525" w:rsidR="00745755" w:rsidRPr="00E7344B" w:rsidRDefault="00745755" w:rsidP="00745755">
            <w:pPr>
              <w:spacing w:line="360" w:lineRule="auto"/>
              <w:jc w:val="both"/>
              <w:rPr>
                <w:rFonts w:ascii="Tahoma" w:eastAsia="Tahoma" w:hAnsi="Tahoma" w:cs="Tahoma"/>
                <w:bCs/>
                <w:color w:val="808080"/>
                <w:sz w:val="18"/>
                <w:szCs w:val="18"/>
              </w:rPr>
            </w:pPr>
            <w:r>
              <w:rPr>
                <w:rFonts w:ascii="Tahoma" w:hAnsi="Tahoma"/>
                <w:color w:val="808080"/>
                <w:sz w:val="18"/>
              </w:rPr>
              <w:t>Gross profitability of the construction segment in the period under review was 8.0% and was higher than in H1 2022, when it amounted to 6.1%. In H1 2023, in addition to an increase in profitability at the operating level, profitability at the gross profit level was supported by the positive result generated on financing activities from interest earned on deposits.</w:t>
            </w:r>
          </w:p>
          <w:p w14:paraId="56D9999A" w14:textId="77777777" w:rsidR="00745755" w:rsidRPr="001D4924" w:rsidRDefault="00745755" w:rsidP="00745755">
            <w:pPr>
              <w:spacing w:line="360" w:lineRule="auto"/>
              <w:jc w:val="both"/>
              <w:rPr>
                <w:rFonts w:ascii="Tahoma" w:eastAsia="Tahoma" w:hAnsi="Tahoma" w:cs="Tahoma"/>
                <w:bCs/>
                <w:color w:val="808080"/>
                <w:sz w:val="18"/>
                <w:szCs w:val="18"/>
                <w:highlight w:val="yellow"/>
              </w:rPr>
            </w:pPr>
          </w:p>
          <w:p w14:paraId="74E6918B" w14:textId="16FE777C" w:rsidR="00745755" w:rsidRPr="00E7344B" w:rsidRDefault="00745755" w:rsidP="00745755">
            <w:pPr>
              <w:spacing w:line="360" w:lineRule="auto"/>
              <w:jc w:val="both"/>
              <w:rPr>
                <w:rFonts w:ascii="Tahoma" w:eastAsia="Tahoma" w:hAnsi="Tahoma" w:cs="Tahoma"/>
                <w:bCs/>
                <w:color w:val="808080"/>
                <w:sz w:val="18"/>
                <w:szCs w:val="18"/>
              </w:rPr>
            </w:pPr>
            <w:r>
              <w:rPr>
                <w:rFonts w:ascii="Tahoma" w:hAnsi="Tahoma"/>
                <w:color w:val="808080"/>
                <w:sz w:val="18"/>
              </w:rPr>
              <w:lastRenderedPageBreak/>
              <w:t>In H1 2023, we obtained contracts worth over PLN 2.5 billion. They included such investments as the new Podłęże-Piekiełko railway line, the expansion of the Szczecin Sports Centre or the northern Gorzów ring road. Budimex Group's contract portfolio at the end of June 2023 amounted to PLN 12.2 billion, which secures the work front for the next two years. Intense work on the acquisition of new projects has meant that the value of projects awaiting signature, and those where the offer of Budimex or Group companies has been rated highest, is currently at the level of PLN 4.6 billion. Looking ahead, this should translate into maintaining the high value of the contract portfolio.</w:t>
            </w:r>
          </w:p>
          <w:p w14:paraId="4C6A7137" w14:textId="77777777" w:rsidR="00745755" w:rsidRPr="001D4924" w:rsidRDefault="00745755" w:rsidP="00745755">
            <w:pPr>
              <w:spacing w:line="360" w:lineRule="auto"/>
              <w:jc w:val="both"/>
              <w:rPr>
                <w:rFonts w:ascii="Tahoma" w:eastAsia="Tahoma" w:hAnsi="Tahoma" w:cs="Tahoma"/>
                <w:bCs/>
                <w:color w:val="808080"/>
                <w:sz w:val="18"/>
                <w:szCs w:val="18"/>
                <w:highlight w:val="yellow"/>
              </w:rPr>
            </w:pPr>
          </w:p>
          <w:p w14:paraId="2A861E3A" w14:textId="66DBA71A" w:rsidR="00745755" w:rsidRPr="00080EA6" w:rsidRDefault="00745755" w:rsidP="00745755">
            <w:pPr>
              <w:spacing w:line="360" w:lineRule="auto"/>
              <w:jc w:val="both"/>
              <w:rPr>
                <w:rFonts w:ascii="Tahoma" w:eastAsia="Tahoma" w:hAnsi="Tahoma" w:cs="Tahoma"/>
                <w:bCs/>
                <w:color w:val="808080"/>
                <w:sz w:val="18"/>
                <w:szCs w:val="18"/>
              </w:rPr>
            </w:pPr>
            <w:r>
              <w:rPr>
                <w:rFonts w:ascii="Tahoma" w:hAnsi="Tahoma"/>
                <w:b/>
                <w:color w:val="808080"/>
                <w:sz w:val="18"/>
              </w:rPr>
              <w:t xml:space="preserve">The Budimex Group ended H1 2023 with a net cash result of PLN 2.7 billion. </w:t>
            </w:r>
            <w:r>
              <w:rPr>
                <w:rFonts w:ascii="Tahoma" w:hAnsi="Tahoma"/>
                <w:color w:val="808080"/>
                <w:sz w:val="18"/>
              </w:rPr>
              <w:t xml:space="preserve">In June, a dividend was paid from the profit achieved for 2022 in the amount of PLN 459 million, which is PLN 17.99 per share. </w:t>
            </w:r>
          </w:p>
          <w:p w14:paraId="23AEB0E0" w14:textId="77777777" w:rsidR="009C59A0" w:rsidRPr="0092398F" w:rsidRDefault="0001727E" w:rsidP="00D4399C">
            <w:pPr>
              <w:spacing w:line="360" w:lineRule="auto"/>
              <w:jc w:val="both"/>
              <w:rPr>
                <w:rFonts w:ascii="Tahoma" w:eastAsia="Tahoma" w:hAnsi="Tahoma" w:cs="Tahoma"/>
                <w:b/>
                <w:noProof/>
                <w:color w:val="808080"/>
                <w:sz w:val="18"/>
                <w:szCs w:val="18"/>
              </w:rPr>
            </w:pPr>
            <w:r>
              <w:rPr>
                <w:rFonts w:ascii="Tahoma" w:hAnsi="Tahoma"/>
                <w:b/>
                <w:noProof/>
                <w:color w:val="808080"/>
                <w:sz w:val="18"/>
                <w:highlight w:val="yellow"/>
              </w:rPr>
              <mc:AlternateContent>
                <mc:Choice Requires="wps">
                  <w:drawing>
                    <wp:anchor distT="0" distB="0" distL="114300" distR="114300" simplePos="0" relativeHeight="251708416" behindDoc="0" locked="0" layoutInCell="1" allowOverlap="1" wp14:anchorId="5F8B69C2" wp14:editId="12BB66F5">
                      <wp:simplePos x="0" y="0"/>
                      <wp:positionH relativeFrom="margin">
                        <wp:align>center</wp:align>
                      </wp:positionH>
                      <wp:positionV relativeFrom="page">
                        <wp:posOffset>9931207</wp:posOffset>
                      </wp:positionV>
                      <wp:extent cx="6487795" cy="244475"/>
                      <wp:effectExtent l="0" t="0" r="0" b="3175"/>
                      <wp:wrapNone/>
                      <wp:docPr id="12" name="Pole tekstowe 12"/>
                      <wp:cNvGraphicFramePr/>
                      <a:graphic xmlns:a="http://schemas.openxmlformats.org/drawingml/2006/main">
                        <a:graphicData uri="http://schemas.microsoft.com/office/word/2010/wordprocessingShape">
                          <wps:wsp>
                            <wps:cNvSpPr txBox="1"/>
                            <wps:spPr>
                              <a:xfrm>
                                <a:off x="0" y="0"/>
                                <a:ext cx="6487795" cy="244475"/>
                              </a:xfrm>
                              <a:prstGeom prst="rect">
                                <a:avLst/>
                              </a:prstGeom>
                              <a:noFill/>
                              <a:ln w="6350">
                                <a:noFill/>
                              </a:ln>
                            </wps:spPr>
                            <wps:txbx>
                              <w:txbxContent>
                                <w:p w14:paraId="40C54039" w14:textId="77777777" w:rsidR="0001727E" w:rsidRPr="002B1C9B" w:rsidRDefault="0001727E" w:rsidP="0001727E">
                                  <w:pPr>
                                    <w:rPr>
                                      <w:rFonts w:ascii="Tahoma" w:hAnsi="Tahoma" w:cs="Tahoma"/>
                                      <w:i/>
                                      <w:color w:val="808080" w:themeColor="background1" w:themeShade="80"/>
                                      <w:sz w:val="14"/>
                                      <w:szCs w:val="14"/>
                                    </w:rPr>
                                  </w:pPr>
                                  <w:r>
                                    <w:rPr>
                                      <w:rFonts w:ascii="Tahoma" w:hAnsi="Tahoma"/>
                                      <w:i/>
                                      <w:color w:val="808080" w:themeColor="background1" w:themeShade="80"/>
                                      <w:sz w:val="14"/>
                                    </w:rPr>
                                    <w:t>*pro-forma data, prepared assuming consolidation of FBSerwis Group as of 01.01.2019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B69C2" id="_x0000_t202" coordsize="21600,21600" o:spt="202" path="m,l,21600r21600,l21600,xe">
                      <v:stroke joinstyle="miter"/>
                      <v:path gradientshapeok="t" o:connecttype="rect"/>
                    </v:shapetype>
                    <v:shape id="Pole tekstowe 12" o:spid="_x0000_s1026" type="#_x0000_t202" style="position:absolute;left:0;text-align:left;margin-left:0;margin-top:782pt;width:510.85pt;height:19.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" filled="f" stroked="f" strokeweight=".5pt">
                      <v:textbox>
                        <w:txbxContent>
                          <w:p w14:paraId="40C54039" w14:textId="77777777" w:rsidR="0001727E" w:rsidRPr="002B1C9B" w:rsidRDefault="0001727E" w:rsidP="0001727E">
                            <w:pPr>
                              <w:rPr>
                                <w:i/>
                                <w:color w:val="808080" w:themeColor="background1" w:themeShade="80"/>
                                <w:sz w:val="14"/>
                                <w:szCs w:val="14"/>
                                <w:rFonts w:ascii="Tahoma" w:hAnsi="Tahoma" w:cs="Tahoma"/>
                              </w:rPr>
                            </w:pPr>
                            <w:r>
                              <w:rPr>
                                <w:i/>
                                <w:color w:val="808080" w:themeColor="background1" w:themeShade="80"/>
                                <w:sz w:val="14"/>
                                <w:rFonts w:ascii="Tahoma" w:hAnsi="Tahoma"/>
                              </w:rPr>
                              <w:t xml:space="preserve">*pro-forma data, prepared assuming consolidation of FBSerwis Group as of 01.01.2019</w:t>
                            </w:r>
                          </w:p>
                        </w:txbxContent>
                      </v:textbox>
                      <w10:wrap anchorx="margin" anchory="page"/>
                    </v:shape>
                  </w:pict>
                </mc:Fallback>
              </mc:AlternateContent>
            </w:r>
          </w:p>
          <w:p w14:paraId="0E5B09C5" w14:textId="4AE1A7E6" w:rsidR="0001727E" w:rsidRPr="0092398F" w:rsidRDefault="00C93FA1" w:rsidP="00D4399C">
            <w:pPr>
              <w:spacing w:line="360" w:lineRule="auto"/>
              <w:jc w:val="both"/>
              <w:rPr>
                <w:rStyle w:val="Odwoaniedokomentarza"/>
              </w:rPr>
            </w:pPr>
            <w:r>
              <w:rPr>
                <w:rFonts w:ascii="Tahoma" w:hAnsi="Tahoma"/>
                <w:b/>
                <w:color w:val="808080"/>
                <w:sz w:val="18"/>
              </w:rPr>
              <w:t>In H1 2023 the FBSerwis Group reported an increase in sales revenue at the level of PLN 68 million while maintaining good profitability.</w:t>
            </w:r>
            <w:r w:rsidR="00EF1599">
              <w:rPr>
                <w:rFonts w:ascii="Tahoma" w:hAnsi="Tahoma"/>
                <w:b/>
                <w:color w:val="808080"/>
                <w:sz w:val="18"/>
              </w:rPr>
              <w:t xml:space="preserve"> </w:t>
            </w:r>
            <w:r>
              <w:rPr>
                <w:rFonts w:ascii="Tahoma" w:hAnsi="Tahoma"/>
                <w:b/>
                <w:color w:val="808080"/>
                <w:sz w:val="18"/>
              </w:rPr>
              <w:t>Gross profit amounted to PLN 47 million compared to PLN 38 million in H1 2022.</w:t>
            </w:r>
          </w:p>
          <w:p w14:paraId="307553FE" w14:textId="32AFF2D3" w:rsidR="00D4399C" w:rsidRPr="001D4924" w:rsidRDefault="00D4399C" w:rsidP="00D4399C">
            <w:pPr>
              <w:spacing w:line="360" w:lineRule="auto"/>
              <w:jc w:val="both"/>
              <w:rPr>
                <w:rStyle w:val="Odwoaniedokomentarza"/>
                <w:highlight w:val="yellow"/>
              </w:rPr>
            </w:pPr>
          </w:p>
          <w:tbl>
            <w:tblPr>
              <w:tblW w:w="6620" w:type="dxa"/>
              <w:tblLayout w:type="fixed"/>
              <w:tblCellMar>
                <w:left w:w="70" w:type="dxa"/>
                <w:right w:w="70" w:type="dxa"/>
              </w:tblCellMar>
              <w:tblLook w:val="04A0" w:firstRow="1" w:lastRow="0" w:firstColumn="1" w:lastColumn="0" w:noHBand="0" w:noVBand="1"/>
            </w:tblPr>
            <w:tblGrid>
              <w:gridCol w:w="2520"/>
              <w:gridCol w:w="1420"/>
              <w:gridCol w:w="1440"/>
              <w:gridCol w:w="1240"/>
            </w:tblGrid>
            <w:tr w:rsidR="001F6968" w:rsidRPr="001F6968" w14:paraId="521ECAD7" w14:textId="77777777" w:rsidTr="001F6968">
              <w:trPr>
                <w:trHeight w:val="349"/>
              </w:trPr>
              <w:tc>
                <w:tcPr>
                  <w:tcW w:w="2520" w:type="dxa"/>
                  <w:vMerge w:val="restart"/>
                  <w:tcBorders>
                    <w:top w:val="nil"/>
                    <w:left w:val="nil"/>
                    <w:bottom w:val="nil"/>
                    <w:right w:val="nil"/>
                  </w:tcBorders>
                  <w:shd w:val="clear" w:color="000000" w:fill="595959"/>
                  <w:vAlign w:val="center"/>
                  <w:hideMark/>
                </w:tcPr>
                <w:p w14:paraId="33A22575" w14:textId="77777777" w:rsidR="001F6968" w:rsidRPr="001F6968" w:rsidRDefault="001F6968" w:rsidP="001F6968">
                  <w:pPr>
                    <w:spacing w:after="0" w:line="240" w:lineRule="auto"/>
                    <w:rPr>
                      <w:rFonts w:ascii="Tahoma" w:eastAsia="Times New Roman" w:hAnsi="Tahoma" w:cs="Tahoma"/>
                      <w:b/>
                      <w:bCs/>
                      <w:color w:val="FFFFFF"/>
                    </w:rPr>
                  </w:pPr>
                  <w:bookmarkStart w:id="0" w:name="_Hlk77692426"/>
                  <w:bookmarkStart w:id="1" w:name="_Hlk100758814"/>
                  <w:r>
                    <w:rPr>
                      <w:rFonts w:ascii="Tahoma" w:hAnsi="Tahoma"/>
                      <w:b/>
                      <w:color w:val="FFFFFF"/>
                    </w:rPr>
                    <w:t>Services segments</w:t>
                  </w:r>
                  <w:r>
                    <w:rPr>
                      <w:rFonts w:ascii="Tahoma" w:hAnsi="Tahoma"/>
                      <w:b/>
                      <w:color w:val="FFFFFF"/>
                    </w:rPr>
                    <w:br/>
                    <w:t>(PLN million)</w:t>
                  </w:r>
                </w:p>
              </w:tc>
              <w:tc>
                <w:tcPr>
                  <w:tcW w:w="4100" w:type="dxa"/>
                  <w:gridSpan w:val="3"/>
                  <w:tcBorders>
                    <w:top w:val="nil"/>
                    <w:left w:val="nil"/>
                    <w:bottom w:val="single" w:sz="4" w:space="0" w:color="000000"/>
                    <w:right w:val="nil"/>
                  </w:tcBorders>
                  <w:shd w:val="clear" w:color="000000" w:fill="BFBFBF"/>
                  <w:noWrap/>
                  <w:vAlign w:val="center"/>
                  <w:hideMark/>
                </w:tcPr>
                <w:p w14:paraId="6E83D211" w14:textId="77777777" w:rsidR="001F6968" w:rsidRPr="001F6968" w:rsidRDefault="001F6968" w:rsidP="001F6968">
                  <w:pPr>
                    <w:spacing w:after="0" w:line="240" w:lineRule="auto"/>
                    <w:jc w:val="center"/>
                    <w:rPr>
                      <w:rFonts w:ascii="Tahoma" w:eastAsia="Times New Roman" w:hAnsi="Tahoma" w:cs="Tahoma"/>
                      <w:b/>
                      <w:bCs/>
                      <w:color w:val="000000"/>
                    </w:rPr>
                  </w:pPr>
                  <w:r>
                    <w:rPr>
                      <w:rFonts w:ascii="Tahoma" w:hAnsi="Tahoma"/>
                      <w:b/>
                      <w:color w:val="000000"/>
                    </w:rPr>
                    <w:t>Profit and loss account</w:t>
                  </w:r>
                </w:p>
              </w:tc>
            </w:tr>
            <w:tr w:rsidR="001F6968" w:rsidRPr="001F6968" w14:paraId="5CD4B8E1" w14:textId="77777777" w:rsidTr="001F6968">
              <w:trPr>
                <w:trHeight w:val="525"/>
              </w:trPr>
              <w:tc>
                <w:tcPr>
                  <w:tcW w:w="2520" w:type="dxa"/>
                  <w:vMerge/>
                  <w:tcBorders>
                    <w:top w:val="nil"/>
                    <w:left w:val="nil"/>
                    <w:bottom w:val="nil"/>
                    <w:right w:val="nil"/>
                  </w:tcBorders>
                  <w:vAlign w:val="center"/>
                  <w:hideMark/>
                </w:tcPr>
                <w:p w14:paraId="02586CE8" w14:textId="77777777" w:rsidR="001F6968" w:rsidRPr="001F6968" w:rsidRDefault="001F6968" w:rsidP="001F6968">
                  <w:pPr>
                    <w:spacing w:after="0" w:line="240" w:lineRule="auto"/>
                    <w:rPr>
                      <w:rFonts w:ascii="Tahoma" w:eastAsia="Times New Roman" w:hAnsi="Tahoma" w:cs="Tahoma"/>
                      <w:b/>
                      <w:bCs/>
                      <w:color w:val="FFFFFF"/>
                    </w:rPr>
                  </w:pPr>
                </w:p>
              </w:tc>
              <w:tc>
                <w:tcPr>
                  <w:tcW w:w="1420" w:type="dxa"/>
                  <w:tcBorders>
                    <w:top w:val="nil"/>
                    <w:left w:val="nil"/>
                    <w:bottom w:val="nil"/>
                    <w:right w:val="nil"/>
                  </w:tcBorders>
                  <w:shd w:val="clear" w:color="000000" w:fill="BFBFBF"/>
                  <w:vAlign w:val="center"/>
                  <w:hideMark/>
                </w:tcPr>
                <w:p w14:paraId="1556A8BF" w14:textId="77777777" w:rsidR="001F6968" w:rsidRPr="001F6968" w:rsidRDefault="001F6968" w:rsidP="001F6968">
                  <w:pPr>
                    <w:spacing w:after="0" w:line="240" w:lineRule="auto"/>
                    <w:jc w:val="center"/>
                    <w:rPr>
                      <w:rFonts w:ascii="Tahoma" w:eastAsia="Times New Roman" w:hAnsi="Tahoma" w:cs="Tahoma"/>
                      <w:color w:val="000000"/>
                    </w:rPr>
                  </w:pPr>
                  <w:r>
                    <w:rPr>
                      <w:rFonts w:ascii="Tahoma" w:hAnsi="Tahoma"/>
                      <w:color w:val="000000"/>
                    </w:rPr>
                    <w:t>H1 2023</w:t>
                  </w:r>
                </w:p>
              </w:tc>
              <w:tc>
                <w:tcPr>
                  <w:tcW w:w="1440" w:type="dxa"/>
                  <w:tcBorders>
                    <w:top w:val="nil"/>
                    <w:left w:val="single" w:sz="4" w:space="0" w:color="000000"/>
                    <w:bottom w:val="single" w:sz="8" w:space="0" w:color="000000"/>
                    <w:right w:val="single" w:sz="4" w:space="0" w:color="000000"/>
                  </w:tcBorders>
                  <w:shd w:val="clear" w:color="000000" w:fill="BFBFBF"/>
                  <w:vAlign w:val="center"/>
                  <w:hideMark/>
                </w:tcPr>
                <w:p w14:paraId="38945E2A" w14:textId="77777777" w:rsidR="001F6968" w:rsidRPr="001F6968" w:rsidRDefault="001F6968" w:rsidP="001F6968">
                  <w:pPr>
                    <w:spacing w:after="0" w:line="240" w:lineRule="auto"/>
                    <w:jc w:val="center"/>
                    <w:rPr>
                      <w:rFonts w:ascii="Tahoma" w:eastAsia="Times New Roman" w:hAnsi="Tahoma" w:cs="Tahoma"/>
                      <w:color w:val="000000"/>
                    </w:rPr>
                  </w:pPr>
                  <w:r>
                    <w:rPr>
                      <w:rFonts w:ascii="Tahoma" w:hAnsi="Tahoma"/>
                      <w:color w:val="000000"/>
                    </w:rPr>
                    <w:t>H1 2022</w:t>
                  </w:r>
                </w:p>
              </w:tc>
              <w:tc>
                <w:tcPr>
                  <w:tcW w:w="1240" w:type="dxa"/>
                  <w:tcBorders>
                    <w:top w:val="nil"/>
                    <w:left w:val="nil"/>
                    <w:bottom w:val="single" w:sz="8" w:space="0" w:color="000000"/>
                    <w:right w:val="nil"/>
                  </w:tcBorders>
                  <w:shd w:val="clear" w:color="000000" w:fill="BFBFBF"/>
                  <w:noWrap/>
                  <w:vAlign w:val="center"/>
                  <w:hideMark/>
                </w:tcPr>
                <w:p w14:paraId="2EED3345" w14:textId="77777777" w:rsidR="001F6968" w:rsidRPr="001F6968" w:rsidRDefault="001F6968" w:rsidP="001F6968">
                  <w:pPr>
                    <w:spacing w:after="0" w:line="240" w:lineRule="auto"/>
                    <w:jc w:val="center"/>
                    <w:rPr>
                      <w:rFonts w:ascii="Tahoma" w:eastAsia="Times New Roman" w:hAnsi="Tahoma" w:cs="Tahoma"/>
                      <w:color w:val="000000"/>
                    </w:rPr>
                  </w:pPr>
                  <w:r>
                    <w:rPr>
                      <w:rFonts w:ascii="Tahoma" w:hAnsi="Tahoma"/>
                      <w:color w:val="000000"/>
                    </w:rPr>
                    <w:t>y/y</w:t>
                  </w:r>
                </w:p>
              </w:tc>
            </w:tr>
            <w:tr w:rsidR="001F6968" w:rsidRPr="001F6968" w14:paraId="1A39FC92" w14:textId="77777777" w:rsidTr="001F6968">
              <w:trPr>
                <w:trHeight w:val="420"/>
              </w:trPr>
              <w:tc>
                <w:tcPr>
                  <w:tcW w:w="2520" w:type="dxa"/>
                  <w:tcBorders>
                    <w:top w:val="single" w:sz="8" w:space="0" w:color="auto"/>
                    <w:left w:val="nil"/>
                    <w:bottom w:val="nil"/>
                    <w:right w:val="nil"/>
                  </w:tcBorders>
                  <w:shd w:val="clear" w:color="000000" w:fill="FFC000"/>
                  <w:noWrap/>
                  <w:vAlign w:val="center"/>
                  <w:hideMark/>
                </w:tcPr>
                <w:p w14:paraId="67C56F45"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Sale</w:t>
                  </w:r>
                </w:p>
              </w:tc>
              <w:tc>
                <w:tcPr>
                  <w:tcW w:w="1420" w:type="dxa"/>
                  <w:tcBorders>
                    <w:top w:val="single" w:sz="8" w:space="0" w:color="auto"/>
                    <w:left w:val="nil"/>
                    <w:bottom w:val="nil"/>
                    <w:right w:val="nil"/>
                  </w:tcBorders>
                  <w:shd w:val="clear" w:color="000000" w:fill="FFC000"/>
                  <w:noWrap/>
                  <w:vAlign w:val="center"/>
                  <w:hideMark/>
                </w:tcPr>
                <w:p w14:paraId="1C4A9A9C"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440</w:t>
                  </w:r>
                </w:p>
              </w:tc>
              <w:tc>
                <w:tcPr>
                  <w:tcW w:w="1440" w:type="dxa"/>
                  <w:tcBorders>
                    <w:top w:val="nil"/>
                    <w:left w:val="nil"/>
                    <w:bottom w:val="nil"/>
                    <w:right w:val="nil"/>
                  </w:tcBorders>
                  <w:shd w:val="clear" w:color="000000" w:fill="FFC000"/>
                  <w:noWrap/>
                  <w:vAlign w:val="center"/>
                  <w:hideMark/>
                </w:tcPr>
                <w:p w14:paraId="751A25C4"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371</w:t>
                  </w:r>
                </w:p>
              </w:tc>
              <w:tc>
                <w:tcPr>
                  <w:tcW w:w="1240" w:type="dxa"/>
                  <w:tcBorders>
                    <w:top w:val="nil"/>
                    <w:left w:val="nil"/>
                    <w:bottom w:val="nil"/>
                    <w:right w:val="nil"/>
                  </w:tcBorders>
                  <w:shd w:val="clear" w:color="000000" w:fill="FFC000"/>
                  <w:noWrap/>
                  <w:vAlign w:val="center"/>
                  <w:hideMark/>
                </w:tcPr>
                <w:p w14:paraId="0727BAE8"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18.4%</w:t>
                  </w:r>
                </w:p>
              </w:tc>
            </w:tr>
            <w:tr w:rsidR="001F6968" w:rsidRPr="001F6968" w14:paraId="61CF7612" w14:textId="77777777" w:rsidTr="001F6968">
              <w:trPr>
                <w:trHeight w:val="420"/>
              </w:trPr>
              <w:tc>
                <w:tcPr>
                  <w:tcW w:w="2520" w:type="dxa"/>
                  <w:tcBorders>
                    <w:top w:val="single" w:sz="8" w:space="0" w:color="auto"/>
                    <w:left w:val="nil"/>
                    <w:bottom w:val="nil"/>
                    <w:right w:val="nil"/>
                  </w:tcBorders>
                  <w:shd w:val="clear" w:color="000000" w:fill="F2F2F2"/>
                  <w:noWrap/>
                  <w:vAlign w:val="center"/>
                  <w:hideMark/>
                </w:tcPr>
                <w:p w14:paraId="3D9B3FE9"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Operational profit</w:t>
                  </w:r>
                </w:p>
              </w:tc>
              <w:tc>
                <w:tcPr>
                  <w:tcW w:w="1420" w:type="dxa"/>
                  <w:tcBorders>
                    <w:top w:val="single" w:sz="8" w:space="0" w:color="auto"/>
                    <w:left w:val="nil"/>
                    <w:bottom w:val="nil"/>
                    <w:right w:val="nil"/>
                  </w:tcBorders>
                  <w:shd w:val="clear" w:color="000000" w:fill="F2F2F2"/>
                  <w:noWrap/>
                  <w:vAlign w:val="center"/>
                  <w:hideMark/>
                </w:tcPr>
                <w:p w14:paraId="07EFA371"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44</w:t>
                  </w:r>
                </w:p>
              </w:tc>
              <w:tc>
                <w:tcPr>
                  <w:tcW w:w="1440" w:type="dxa"/>
                  <w:tcBorders>
                    <w:top w:val="single" w:sz="8" w:space="0" w:color="auto"/>
                    <w:left w:val="nil"/>
                    <w:bottom w:val="nil"/>
                    <w:right w:val="nil"/>
                  </w:tcBorders>
                  <w:shd w:val="clear" w:color="000000" w:fill="F2F2F2"/>
                  <w:noWrap/>
                  <w:vAlign w:val="center"/>
                  <w:hideMark/>
                </w:tcPr>
                <w:p w14:paraId="0F5DD8B5"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38</w:t>
                  </w:r>
                </w:p>
              </w:tc>
              <w:tc>
                <w:tcPr>
                  <w:tcW w:w="1240" w:type="dxa"/>
                  <w:tcBorders>
                    <w:top w:val="single" w:sz="8" w:space="0" w:color="auto"/>
                    <w:left w:val="nil"/>
                    <w:bottom w:val="nil"/>
                    <w:right w:val="nil"/>
                  </w:tcBorders>
                  <w:shd w:val="clear" w:color="000000" w:fill="F2F2F2"/>
                  <w:noWrap/>
                  <w:vAlign w:val="center"/>
                  <w:hideMark/>
                </w:tcPr>
                <w:p w14:paraId="1E4F4324"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16.5%</w:t>
                  </w:r>
                </w:p>
              </w:tc>
            </w:tr>
            <w:tr w:rsidR="001F6968" w:rsidRPr="001F6968" w14:paraId="3B974054" w14:textId="77777777" w:rsidTr="001F6968">
              <w:trPr>
                <w:trHeight w:val="252"/>
              </w:trPr>
              <w:tc>
                <w:tcPr>
                  <w:tcW w:w="2520" w:type="dxa"/>
                  <w:tcBorders>
                    <w:top w:val="nil"/>
                    <w:left w:val="nil"/>
                    <w:bottom w:val="nil"/>
                    <w:right w:val="nil"/>
                  </w:tcBorders>
                  <w:shd w:val="clear" w:color="000000" w:fill="F2F2F2"/>
                  <w:noWrap/>
                  <w:vAlign w:val="center"/>
                  <w:hideMark/>
                </w:tcPr>
                <w:p w14:paraId="6EF18101"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 of sales</w:t>
                  </w:r>
                </w:p>
              </w:tc>
              <w:tc>
                <w:tcPr>
                  <w:tcW w:w="1420" w:type="dxa"/>
                  <w:tcBorders>
                    <w:top w:val="nil"/>
                    <w:left w:val="nil"/>
                    <w:bottom w:val="nil"/>
                    <w:right w:val="nil"/>
                  </w:tcBorders>
                  <w:shd w:val="clear" w:color="000000" w:fill="F2F2F2"/>
                  <w:noWrap/>
                  <w:vAlign w:val="center"/>
                  <w:hideMark/>
                </w:tcPr>
                <w:p w14:paraId="41EEF5DB"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10.0%</w:t>
                  </w:r>
                </w:p>
              </w:tc>
              <w:tc>
                <w:tcPr>
                  <w:tcW w:w="1440" w:type="dxa"/>
                  <w:tcBorders>
                    <w:top w:val="nil"/>
                    <w:left w:val="nil"/>
                    <w:bottom w:val="nil"/>
                    <w:right w:val="nil"/>
                  </w:tcBorders>
                  <w:shd w:val="clear" w:color="000000" w:fill="F2F2F2"/>
                  <w:noWrap/>
                  <w:vAlign w:val="center"/>
                  <w:hideMark/>
                </w:tcPr>
                <w:p w14:paraId="075A9B05"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10.1%</w:t>
                  </w:r>
                </w:p>
              </w:tc>
              <w:tc>
                <w:tcPr>
                  <w:tcW w:w="1240" w:type="dxa"/>
                  <w:tcBorders>
                    <w:top w:val="nil"/>
                    <w:left w:val="nil"/>
                    <w:bottom w:val="nil"/>
                    <w:right w:val="nil"/>
                  </w:tcBorders>
                  <w:shd w:val="clear" w:color="000000" w:fill="F2F2F2"/>
                  <w:noWrap/>
                  <w:vAlign w:val="center"/>
                  <w:hideMark/>
                </w:tcPr>
                <w:p w14:paraId="39F9B4BB" w14:textId="4B868F5D"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-0.1% pp.</w:t>
                  </w:r>
                </w:p>
              </w:tc>
            </w:tr>
            <w:tr w:rsidR="001F6968" w:rsidRPr="001F6968" w14:paraId="725F159C" w14:textId="77777777" w:rsidTr="001F6968">
              <w:trPr>
                <w:trHeight w:val="420"/>
              </w:trPr>
              <w:tc>
                <w:tcPr>
                  <w:tcW w:w="2520" w:type="dxa"/>
                  <w:tcBorders>
                    <w:top w:val="single" w:sz="4" w:space="0" w:color="auto"/>
                    <w:left w:val="nil"/>
                    <w:bottom w:val="nil"/>
                    <w:right w:val="nil"/>
                  </w:tcBorders>
                  <w:shd w:val="clear" w:color="000000" w:fill="F2F2F2"/>
                  <w:noWrap/>
                  <w:vAlign w:val="center"/>
                  <w:hideMark/>
                </w:tcPr>
                <w:p w14:paraId="348B9A8D"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Gross profit</w:t>
                  </w:r>
                </w:p>
              </w:tc>
              <w:tc>
                <w:tcPr>
                  <w:tcW w:w="1420" w:type="dxa"/>
                  <w:tcBorders>
                    <w:top w:val="single" w:sz="4" w:space="0" w:color="auto"/>
                    <w:left w:val="nil"/>
                    <w:bottom w:val="nil"/>
                    <w:right w:val="nil"/>
                  </w:tcBorders>
                  <w:shd w:val="clear" w:color="000000" w:fill="F2F2F2"/>
                  <w:noWrap/>
                  <w:vAlign w:val="center"/>
                  <w:hideMark/>
                </w:tcPr>
                <w:p w14:paraId="6AB4EA5D"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47</w:t>
                  </w:r>
                </w:p>
              </w:tc>
              <w:tc>
                <w:tcPr>
                  <w:tcW w:w="1440" w:type="dxa"/>
                  <w:tcBorders>
                    <w:top w:val="single" w:sz="4" w:space="0" w:color="auto"/>
                    <w:left w:val="nil"/>
                    <w:bottom w:val="nil"/>
                    <w:right w:val="nil"/>
                  </w:tcBorders>
                  <w:shd w:val="clear" w:color="000000" w:fill="F2F2F2"/>
                  <w:noWrap/>
                  <w:vAlign w:val="center"/>
                  <w:hideMark/>
                </w:tcPr>
                <w:p w14:paraId="398FD524"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42</w:t>
                  </w:r>
                </w:p>
              </w:tc>
              <w:tc>
                <w:tcPr>
                  <w:tcW w:w="1240" w:type="dxa"/>
                  <w:tcBorders>
                    <w:top w:val="single" w:sz="4" w:space="0" w:color="auto"/>
                    <w:left w:val="nil"/>
                    <w:bottom w:val="nil"/>
                    <w:right w:val="nil"/>
                  </w:tcBorders>
                  <w:shd w:val="clear" w:color="000000" w:fill="F2F2F2"/>
                  <w:noWrap/>
                  <w:vAlign w:val="center"/>
                  <w:hideMark/>
                </w:tcPr>
                <w:p w14:paraId="5DF09A5F" w14:textId="77777777" w:rsidR="001F6968" w:rsidRPr="001F6968" w:rsidRDefault="001F6968" w:rsidP="001F6968">
                  <w:pPr>
                    <w:spacing w:after="0" w:line="240" w:lineRule="auto"/>
                    <w:rPr>
                      <w:rFonts w:ascii="Tahoma" w:eastAsia="Times New Roman" w:hAnsi="Tahoma" w:cs="Tahoma"/>
                      <w:b/>
                      <w:bCs/>
                      <w:color w:val="404040"/>
                    </w:rPr>
                  </w:pPr>
                  <w:r>
                    <w:rPr>
                      <w:rFonts w:ascii="Tahoma" w:hAnsi="Tahoma"/>
                      <w:b/>
                      <w:color w:val="404040"/>
                    </w:rPr>
                    <w:t>11.1%</w:t>
                  </w:r>
                </w:p>
              </w:tc>
            </w:tr>
            <w:tr w:rsidR="001F6968" w:rsidRPr="001F6968" w14:paraId="22A55AF8" w14:textId="77777777" w:rsidTr="001F6968">
              <w:trPr>
                <w:trHeight w:val="252"/>
              </w:trPr>
              <w:tc>
                <w:tcPr>
                  <w:tcW w:w="2520" w:type="dxa"/>
                  <w:tcBorders>
                    <w:top w:val="nil"/>
                    <w:left w:val="nil"/>
                    <w:bottom w:val="single" w:sz="4" w:space="0" w:color="auto"/>
                    <w:right w:val="nil"/>
                  </w:tcBorders>
                  <w:shd w:val="clear" w:color="000000" w:fill="F2F2F2"/>
                  <w:noWrap/>
                  <w:vAlign w:val="center"/>
                  <w:hideMark/>
                </w:tcPr>
                <w:p w14:paraId="44CCFF7A"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 of sales</w:t>
                  </w:r>
                </w:p>
              </w:tc>
              <w:tc>
                <w:tcPr>
                  <w:tcW w:w="1420" w:type="dxa"/>
                  <w:tcBorders>
                    <w:top w:val="nil"/>
                    <w:left w:val="nil"/>
                    <w:bottom w:val="single" w:sz="4" w:space="0" w:color="auto"/>
                    <w:right w:val="nil"/>
                  </w:tcBorders>
                  <w:shd w:val="clear" w:color="000000" w:fill="F2F2F2"/>
                  <w:noWrap/>
                  <w:vAlign w:val="center"/>
                  <w:hideMark/>
                </w:tcPr>
                <w:p w14:paraId="0771C444"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10.6%</w:t>
                  </w:r>
                </w:p>
              </w:tc>
              <w:tc>
                <w:tcPr>
                  <w:tcW w:w="1440" w:type="dxa"/>
                  <w:tcBorders>
                    <w:top w:val="nil"/>
                    <w:left w:val="nil"/>
                    <w:bottom w:val="single" w:sz="4" w:space="0" w:color="auto"/>
                    <w:right w:val="nil"/>
                  </w:tcBorders>
                  <w:shd w:val="clear" w:color="000000" w:fill="F2F2F2"/>
                  <w:noWrap/>
                  <w:vAlign w:val="center"/>
                  <w:hideMark/>
                </w:tcPr>
                <w:p w14:paraId="3283091F"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11.3%</w:t>
                  </w:r>
                </w:p>
              </w:tc>
              <w:tc>
                <w:tcPr>
                  <w:tcW w:w="1240" w:type="dxa"/>
                  <w:tcBorders>
                    <w:top w:val="nil"/>
                    <w:left w:val="nil"/>
                    <w:bottom w:val="single" w:sz="4" w:space="0" w:color="auto"/>
                    <w:right w:val="nil"/>
                  </w:tcBorders>
                  <w:shd w:val="clear" w:color="000000" w:fill="F2F2F2"/>
                  <w:noWrap/>
                  <w:vAlign w:val="center"/>
                  <w:hideMark/>
                </w:tcPr>
                <w:p w14:paraId="6801A860" w14:textId="77777777" w:rsidR="001F6968" w:rsidRPr="001F6968" w:rsidRDefault="001F6968" w:rsidP="001F6968">
                  <w:pPr>
                    <w:spacing w:after="0" w:line="240" w:lineRule="auto"/>
                    <w:rPr>
                      <w:rFonts w:ascii="Tahoma" w:eastAsia="Times New Roman" w:hAnsi="Tahoma" w:cs="Tahoma"/>
                      <w:color w:val="404040"/>
                    </w:rPr>
                  </w:pPr>
                  <w:r>
                    <w:rPr>
                      <w:rFonts w:ascii="Tahoma" w:hAnsi="Tahoma"/>
                      <w:color w:val="404040"/>
                    </w:rPr>
                    <w:t>-0.7% pp.</w:t>
                  </w:r>
                </w:p>
              </w:tc>
            </w:tr>
          </w:tbl>
          <w:p w14:paraId="3C880982" w14:textId="63BC3EB2" w:rsidR="00277101" w:rsidRPr="001D4924" w:rsidRDefault="00277101" w:rsidP="00277101">
            <w:pPr>
              <w:rPr>
                <w:highlight w:val="yellow"/>
              </w:rPr>
            </w:pPr>
          </w:p>
          <w:p w14:paraId="1CE8DDAA" w14:textId="31D99C6A" w:rsidR="00D74729" w:rsidRPr="001D4924" w:rsidRDefault="00D74729" w:rsidP="00D74729">
            <w:pPr>
              <w:spacing w:line="360" w:lineRule="auto"/>
              <w:jc w:val="both"/>
              <w:rPr>
                <w:rFonts w:ascii="Tahoma" w:eastAsia="Tahoma" w:hAnsi="Tahoma" w:cs="Tahoma"/>
                <w:bCs/>
                <w:color w:val="808080"/>
                <w:sz w:val="18"/>
                <w:szCs w:val="18"/>
                <w:highlight w:val="yellow"/>
              </w:rPr>
            </w:pPr>
            <w:bookmarkStart w:id="2" w:name="_Hlk140234412"/>
            <w:r>
              <w:rPr>
                <w:rFonts w:ascii="Tahoma" w:hAnsi="Tahoma"/>
                <w:color w:val="808080"/>
                <w:sz w:val="18"/>
              </w:rPr>
              <w:t>Revenues of FBSerwis Group, which is a key asset within the services segment (the results of the services segment also include activities of several smaller companies, including Budimex Parking Wrocław) amounted to PLN 437 million and were 18.4% higher compared to the corresponding period of the previous year. Sales volume growth was achieved in each business segment and was higher than our internal plans. The increase in sales in H1 2023 compared to the same period of the previous year is primarily due to the increased scale of operations (the acquisition of shares in a new venture, an increase in volumes collected and processed in the waste industry and a higher number of contracts executed in the road segment).</w:t>
            </w:r>
            <w:r>
              <w:rPr>
                <w:rFonts w:ascii="Tahoma" w:hAnsi="Tahoma"/>
                <w:color w:val="808080"/>
                <w:sz w:val="18"/>
                <w:highlight w:val="yellow"/>
              </w:rPr>
              <w:t xml:space="preserve"> </w:t>
            </w:r>
          </w:p>
          <w:bookmarkEnd w:id="0"/>
          <w:bookmarkEnd w:id="1"/>
          <w:bookmarkEnd w:id="2"/>
          <w:p w14:paraId="78B44991" w14:textId="77777777" w:rsidR="00815619" w:rsidRPr="007C69AF" w:rsidRDefault="00815619" w:rsidP="00775CAB">
            <w:pPr>
              <w:spacing w:line="360" w:lineRule="auto"/>
              <w:jc w:val="both"/>
              <w:rPr>
                <w:rFonts w:ascii="Tahoma" w:eastAsia="Tahoma" w:hAnsi="Tahoma" w:cs="Tahoma"/>
                <w:b/>
                <w:color w:val="808080"/>
                <w:sz w:val="18"/>
                <w:szCs w:val="18"/>
                <w:highlight w:val="yellow"/>
              </w:rPr>
            </w:pPr>
          </w:p>
          <w:p w14:paraId="52131B27" w14:textId="77777777" w:rsidR="00FC43CA" w:rsidRPr="006B3CBD" w:rsidRDefault="00FC43CA" w:rsidP="00FC43CA">
            <w:pPr>
              <w:spacing w:line="360" w:lineRule="auto"/>
              <w:jc w:val="both"/>
              <w:rPr>
                <w:rFonts w:ascii="Tahoma" w:eastAsia="Tahoma" w:hAnsi="Tahoma" w:cs="Tahoma"/>
                <w:b/>
                <w:color w:val="808080"/>
                <w:sz w:val="18"/>
                <w:szCs w:val="18"/>
              </w:rPr>
            </w:pPr>
            <w:r>
              <w:rPr>
                <w:rFonts w:ascii="Tahoma" w:hAnsi="Tahoma"/>
                <w:b/>
                <w:color w:val="808080"/>
                <w:sz w:val="18"/>
              </w:rPr>
              <w:t>Market perspectives</w:t>
            </w:r>
          </w:p>
          <w:p w14:paraId="62FDEDDF" w14:textId="77777777" w:rsidR="004572A8" w:rsidRPr="006B3CBD" w:rsidRDefault="004572A8" w:rsidP="004572A8">
            <w:pPr>
              <w:spacing w:line="360" w:lineRule="auto"/>
              <w:jc w:val="both"/>
              <w:rPr>
                <w:rFonts w:ascii="Tahoma" w:eastAsia="Tahoma" w:hAnsi="Tahoma" w:cs="Tahoma"/>
                <w:bCs/>
                <w:color w:val="808080"/>
                <w:sz w:val="18"/>
                <w:szCs w:val="18"/>
              </w:rPr>
            </w:pPr>
          </w:p>
          <w:p w14:paraId="2E21A958" w14:textId="7EE8F36D" w:rsidR="00C47CAD" w:rsidRPr="006B3CBD" w:rsidRDefault="00C47CAD" w:rsidP="00C47CAD">
            <w:pPr>
              <w:spacing w:line="360" w:lineRule="auto"/>
              <w:jc w:val="both"/>
              <w:rPr>
                <w:rFonts w:ascii="Tahoma" w:eastAsia="Tahoma" w:hAnsi="Tahoma" w:cs="Tahoma"/>
                <w:bCs/>
                <w:color w:val="808080"/>
                <w:sz w:val="18"/>
                <w:szCs w:val="18"/>
              </w:rPr>
            </w:pPr>
            <w:r>
              <w:rPr>
                <w:rFonts w:ascii="Tahoma" w:hAnsi="Tahoma"/>
                <w:color w:val="808080"/>
                <w:sz w:val="18"/>
              </w:rPr>
              <w:t>The current order portfolio of the Budimex Group fully secures the work front until the end of this year and, combined with the projects in the waiting room, provides a solid foundation for the business for 2024-2026.</w:t>
            </w:r>
          </w:p>
          <w:p w14:paraId="36D540BF" w14:textId="77777777" w:rsidR="00C47CAD" w:rsidRDefault="00C47CAD" w:rsidP="00C47CAD">
            <w:pPr>
              <w:spacing w:line="360" w:lineRule="auto"/>
              <w:jc w:val="both"/>
              <w:rPr>
                <w:rFonts w:ascii="Tahoma" w:eastAsia="Tahoma" w:hAnsi="Tahoma" w:cs="Tahoma"/>
                <w:bCs/>
                <w:color w:val="808080"/>
                <w:sz w:val="18"/>
                <w:szCs w:val="18"/>
              </w:rPr>
            </w:pPr>
          </w:p>
          <w:p w14:paraId="2F426F36" w14:textId="6EF92179" w:rsidR="00224D91" w:rsidRDefault="001D4924" w:rsidP="004572A8">
            <w:pPr>
              <w:spacing w:line="360" w:lineRule="auto"/>
              <w:jc w:val="both"/>
              <w:rPr>
                <w:rFonts w:ascii="Tahoma" w:eastAsia="Tahoma" w:hAnsi="Tahoma" w:cs="Tahoma"/>
                <w:bCs/>
                <w:color w:val="808080"/>
                <w:sz w:val="18"/>
                <w:szCs w:val="18"/>
              </w:rPr>
            </w:pPr>
            <w:r>
              <w:rPr>
                <w:rFonts w:ascii="Tahoma" w:hAnsi="Tahoma"/>
                <w:color w:val="808080"/>
                <w:sz w:val="18"/>
              </w:rPr>
              <w:t xml:space="preserve">However, our main challenge remains the struggle for new orders that will help us maintain stable profitability in the long term. On the market, we have observed progressively increased competition, both in the road and rail sectors. We expect that in the perspective of several quarters, the consequence of aggressive pricing policies of competitors will be pressure on margins in the industry. Given the uncertain macroeconomic situation and fluctuations in material prices, we invariably take a cautious approach to new bids, calculating cost estimates fairly and responsibly. </w:t>
            </w:r>
          </w:p>
          <w:p w14:paraId="01C4FA69" w14:textId="77777777" w:rsidR="00224D91" w:rsidRDefault="00224D91" w:rsidP="004572A8">
            <w:pPr>
              <w:spacing w:line="360" w:lineRule="auto"/>
              <w:jc w:val="both"/>
              <w:rPr>
                <w:rFonts w:ascii="Tahoma" w:eastAsia="Tahoma" w:hAnsi="Tahoma" w:cs="Tahoma"/>
                <w:bCs/>
                <w:color w:val="808080"/>
                <w:sz w:val="18"/>
                <w:szCs w:val="18"/>
              </w:rPr>
            </w:pPr>
          </w:p>
          <w:p w14:paraId="593B9146" w14:textId="5B50D89E" w:rsidR="00342FCE" w:rsidRDefault="00224D91" w:rsidP="00342FCE">
            <w:pPr>
              <w:spacing w:line="360" w:lineRule="auto"/>
              <w:jc w:val="both"/>
              <w:rPr>
                <w:rFonts w:ascii="Tahoma" w:eastAsia="Tahoma" w:hAnsi="Tahoma" w:cs="Tahoma"/>
                <w:bCs/>
                <w:color w:val="808080"/>
                <w:sz w:val="18"/>
                <w:szCs w:val="18"/>
              </w:rPr>
            </w:pPr>
            <w:r>
              <w:rPr>
                <w:rFonts w:ascii="Tahoma" w:hAnsi="Tahoma"/>
                <w:color w:val="808080"/>
                <w:sz w:val="18"/>
              </w:rPr>
              <w:t xml:space="preserve">We expect that segmental diversification and building of unique competences, as well as the expansion into foreign markets will allow us to maintain our competitive edge and strengthen our position as the long-term industry leader. In the first quarter of this year, Mostostal Kraków acquired Konstalex, a company specialising in the construction of steel structures for the energy and infrastructure area. This acquisition is a part of the development strategy of Mostostal Kraków and the entire Budimex Group, complementing the manufacturing potential with new types of steel structures. In the last six months, FBSerwis also expanded its order portfolio. Among other things, the company signed contracts for maintenance of the Tischnera Office building in Cracow, maintenance of the Assembly Plant in Gdańsk and two road contracts with the Olsztyn branch of the General Directorate for National Roads and Highways. </w:t>
            </w:r>
          </w:p>
          <w:p w14:paraId="1BBF88F5" w14:textId="77777777" w:rsidR="00342FCE" w:rsidRDefault="00342FCE" w:rsidP="004572A8">
            <w:pPr>
              <w:spacing w:line="360" w:lineRule="auto"/>
              <w:jc w:val="both"/>
              <w:rPr>
                <w:rFonts w:ascii="Tahoma" w:eastAsia="Tahoma" w:hAnsi="Tahoma" w:cs="Tahoma"/>
                <w:bCs/>
                <w:color w:val="808080"/>
                <w:sz w:val="18"/>
                <w:szCs w:val="18"/>
              </w:rPr>
            </w:pPr>
          </w:p>
          <w:p w14:paraId="7393836A" w14:textId="4E50434D" w:rsidR="00B335BA" w:rsidRDefault="00857523" w:rsidP="00A9421C">
            <w:pPr>
              <w:spacing w:line="360" w:lineRule="auto"/>
              <w:jc w:val="both"/>
              <w:rPr>
                <w:rFonts w:ascii="Tahoma" w:eastAsia="Tahoma" w:hAnsi="Tahoma" w:cs="Tahoma"/>
                <w:bCs/>
                <w:color w:val="808080"/>
                <w:sz w:val="18"/>
                <w:szCs w:val="18"/>
              </w:rPr>
            </w:pPr>
            <w:r>
              <w:rPr>
                <w:rFonts w:ascii="Tahoma" w:hAnsi="Tahoma"/>
                <w:color w:val="808080"/>
                <w:sz w:val="18"/>
              </w:rPr>
              <w:t xml:space="preserve">After setting up operations on the German, Slovakian and Czech market, we are striving to obtain orders on the Latvian market. We are taking part in the procedure for Rail Baltica, where a consortium including Budimex has been selected for further negotiations. However, this is just another stage of the tender and at the moment we do not know the final outcome. We have the right equipment, people and experience to execute such complex contracts, and we see this order as an opportunity for strengthening our position as a leading construction company in the CEE region. </w:t>
            </w:r>
          </w:p>
          <w:p w14:paraId="1574205B" w14:textId="77777777" w:rsidR="00A9421C" w:rsidRDefault="00A9421C" w:rsidP="00A9421C">
            <w:pPr>
              <w:spacing w:line="360" w:lineRule="auto"/>
              <w:jc w:val="both"/>
              <w:rPr>
                <w:rFonts w:ascii="Tahoma" w:eastAsia="Tahoma" w:hAnsi="Tahoma" w:cs="Tahoma"/>
                <w:bCs/>
                <w:color w:val="808080"/>
                <w:sz w:val="18"/>
                <w:szCs w:val="18"/>
              </w:rPr>
            </w:pPr>
          </w:p>
          <w:p w14:paraId="14B1DD62" w14:textId="7832B81C" w:rsidR="004572A8" w:rsidRDefault="00916A8F" w:rsidP="004572A8">
            <w:pPr>
              <w:spacing w:line="360" w:lineRule="auto"/>
              <w:jc w:val="both"/>
              <w:rPr>
                <w:rFonts w:ascii="Tahoma" w:eastAsia="Tahoma" w:hAnsi="Tahoma" w:cs="Tahoma"/>
                <w:bCs/>
                <w:color w:val="808080"/>
                <w:sz w:val="18"/>
                <w:szCs w:val="18"/>
              </w:rPr>
            </w:pPr>
            <w:r>
              <w:rPr>
                <w:rFonts w:ascii="Tahoma" w:hAnsi="Tahoma"/>
                <w:color w:val="808080"/>
                <w:sz w:val="18"/>
              </w:rPr>
              <w:t xml:space="preserve">We are continuing to pursue the goals of development in the area of renewable energy investments. In the newly established company, BXF Energia, within 4-5 years we are planning to build a portfolio of renewable energy projects in operation or under construction with approximately 500 MW of wind and solar power. We are currently working on projects with a capacity of over 200 MW and in addition we are reviewing new projects at a very early stage of development. Later this year, we would like to invest around PLN 100 million in green energy projects. </w:t>
            </w:r>
          </w:p>
          <w:p w14:paraId="2F28BE11" w14:textId="77777777" w:rsidR="00342FCE" w:rsidRDefault="00342FCE" w:rsidP="004572A8">
            <w:pPr>
              <w:spacing w:line="360" w:lineRule="auto"/>
              <w:jc w:val="both"/>
              <w:rPr>
                <w:rFonts w:ascii="Tahoma" w:eastAsia="Tahoma" w:hAnsi="Tahoma" w:cs="Tahoma"/>
                <w:bCs/>
                <w:color w:val="808080"/>
                <w:sz w:val="18"/>
                <w:szCs w:val="18"/>
              </w:rPr>
            </w:pPr>
          </w:p>
          <w:p w14:paraId="16610783" w14:textId="3E2965ED" w:rsidR="00342FCE" w:rsidRDefault="00342FCE" w:rsidP="004572A8">
            <w:pPr>
              <w:spacing w:line="360" w:lineRule="auto"/>
              <w:jc w:val="both"/>
              <w:rPr>
                <w:rFonts w:ascii="Tahoma" w:eastAsia="Tahoma" w:hAnsi="Tahoma" w:cs="Tahoma"/>
                <w:bCs/>
                <w:color w:val="808080"/>
                <w:sz w:val="18"/>
                <w:szCs w:val="18"/>
              </w:rPr>
            </w:pPr>
            <w:r>
              <w:rPr>
                <w:rFonts w:ascii="Tahoma" w:hAnsi="Tahoma"/>
                <w:color w:val="808080"/>
                <w:sz w:val="18"/>
              </w:rPr>
              <w:t xml:space="preserve">We are successively building our potential in the area of electromobility. We are becoming involved in the development of the national EV charging infrastructure. A few months after purchasing 112 stations in four Polish cities from Enea Operator, we </w:t>
            </w:r>
            <w:r>
              <w:rPr>
                <w:rFonts w:ascii="Tahoma" w:hAnsi="Tahoma"/>
                <w:color w:val="808080"/>
                <w:sz w:val="18"/>
              </w:rPr>
              <w:lastRenderedPageBreak/>
              <w:t>handed over the first devices with the Budimex Mobility logo for use. 27 new chargers are already used in Bydgoszcz and 9 more in Szczecin.</w:t>
            </w:r>
          </w:p>
          <w:p w14:paraId="2BBD8320" w14:textId="77777777" w:rsidR="004A57C9" w:rsidRDefault="004A57C9" w:rsidP="004572A8">
            <w:pPr>
              <w:spacing w:line="360" w:lineRule="auto"/>
              <w:jc w:val="both"/>
              <w:rPr>
                <w:rFonts w:ascii="Tahoma" w:eastAsia="Tahoma" w:hAnsi="Tahoma" w:cs="Tahoma"/>
                <w:bCs/>
                <w:color w:val="808080"/>
                <w:sz w:val="18"/>
                <w:szCs w:val="18"/>
              </w:rPr>
            </w:pPr>
          </w:p>
          <w:p w14:paraId="593A1BCD" w14:textId="7D33F1C8" w:rsidR="004A57C9" w:rsidRDefault="004A57C9" w:rsidP="004A57C9">
            <w:pPr>
              <w:spacing w:line="360" w:lineRule="auto"/>
              <w:jc w:val="both"/>
              <w:rPr>
                <w:rFonts w:ascii="Tahoma" w:eastAsia="Tahoma" w:hAnsi="Tahoma" w:cs="Tahoma"/>
                <w:b/>
                <w:color w:val="808080"/>
                <w:sz w:val="18"/>
                <w:szCs w:val="18"/>
              </w:rPr>
            </w:pPr>
            <w:r>
              <w:rPr>
                <w:rFonts w:ascii="Tahoma" w:hAnsi="Tahoma"/>
                <w:b/>
                <w:color w:val="808080"/>
                <w:sz w:val="18"/>
              </w:rPr>
              <w:t>Awards and distinctions</w:t>
            </w:r>
          </w:p>
          <w:p w14:paraId="6306DA44" w14:textId="77777777" w:rsidR="004A57C9" w:rsidRDefault="004A57C9" w:rsidP="004A57C9">
            <w:pPr>
              <w:spacing w:line="360" w:lineRule="auto"/>
              <w:jc w:val="both"/>
              <w:rPr>
                <w:rFonts w:ascii="Tahoma" w:eastAsia="Tahoma" w:hAnsi="Tahoma" w:cs="Tahoma"/>
                <w:b/>
                <w:color w:val="808080"/>
                <w:sz w:val="18"/>
                <w:szCs w:val="18"/>
              </w:rPr>
            </w:pPr>
          </w:p>
          <w:p w14:paraId="57BC3C20" w14:textId="7409FA3D" w:rsidR="004A57C9" w:rsidRDefault="004A57C9" w:rsidP="004A57C9">
            <w:pPr>
              <w:spacing w:line="360" w:lineRule="auto"/>
              <w:jc w:val="both"/>
              <w:rPr>
                <w:rFonts w:ascii="Tahoma" w:eastAsia="Tahoma" w:hAnsi="Tahoma" w:cs="Tahoma"/>
                <w:bCs/>
                <w:color w:val="808080"/>
                <w:sz w:val="18"/>
                <w:szCs w:val="18"/>
              </w:rPr>
            </w:pPr>
            <w:r>
              <w:rPr>
                <w:rFonts w:ascii="Tahoma" w:hAnsi="Tahoma"/>
                <w:color w:val="808080"/>
                <w:sz w:val="18"/>
              </w:rPr>
              <w:t>Our diligence and quality in executing the entrusted tasks are appreciated and awarded by the industry. In the past months, Budimex has once again obtained the highest score in a survey conducted by ASM Market Research and Analysis Centre among subcontractors in the construction industry. We have been awarded the title of “General contractor friendly to construction companies”. We have also become the leader in subcategories connected with, among other things, safety or payment conditions as well as timeliness of settlements with subcontractors.</w:t>
            </w:r>
          </w:p>
          <w:p w14:paraId="706408DF" w14:textId="77777777" w:rsidR="004A57C9" w:rsidRDefault="004A57C9" w:rsidP="004A57C9">
            <w:pPr>
              <w:spacing w:line="360" w:lineRule="auto"/>
              <w:jc w:val="both"/>
              <w:rPr>
                <w:rFonts w:ascii="Tahoma" w:eastAsia="Tahoma" w:hAnsi="Tahoma" w:cs="Tahoma"/>
                <w:bCs/>
                <w:color w:val="808080"/>
                <w:sz w:val="18"/>
                <w:szCs w:val="18"/>
              </w:rPr>
            </w:pPr>
          </w:p>
          <w:p w14:paraId="68F4269B" w14:textId="510223AE" w:rsidR="004A57C9" w:rsidRDefault="004A57C9" w:rsidP="004A57C9">
            <w:pPr>
              <w:spacing w:line="360" w:lineRule="auto"/>
              <w:jc w:val="both"/>
              <w:rPr>
                <w:rFonts w:ascii="Tahoma" w:eastAsia="Tahoma" w:hAnsi="Tahoma" w:cs="Tahoma"/>
                <w:bCs/>
                <w:color w:val="808080"/>
                <w:sz w:val="18"/>
                <w:szCs w:val="18"/>
              </w:rPr>
            </w:pPr>
            <w:r>
              <w:rPr>
                <w:rFonts w:ascii="Tahoma" w:hAnsi="Tahoma"/>
                <w:color w:val="808080"/>
                <w:sz w:val="18"/>
              </w:rPr>
              <w:t>In May, we received the Top Builder 2023 award for modernisation of the E-59 railway line on the Rokietnica-Wronki section. This investment required high skills and innovative solutions. A similar contract involved construction of the PepsiCo factory in Środa Śląska – the company's most sustainable plant located in Europe – completed by Budimex at the beginning of the year.</w:t>
            </w:r>
          </w:p>
          <w:p w14:paraId="27162BFB" w14:textId="77777777" w:rsidR="00220B1D" w:rsidRDefault="00220B1D" w:rsidP="004A57C9">
            <w:pPr>
              <w:spacing w:line="360" w:lineRule="auto"/>
              <w:jc w:val="both"/>
              <w:rPr>
                <w:rFonts w:ascii="Tahoma" w:eastAsia="Tahoma" w:hAnsi="Tahoma" w:cs="Tahoma"/>
                <w:bCs/>
                <w:color w:val="808080"/>
                <w:sz w:val="18"/>
                <w:szCs w:val="18"/>
              </w:rPr>
            </w:pPr>
          </w:p>
          <w:p w14:paraId="409B5C26" w14:textId="35B9F560" w:rsidR="00220B1D" w:rsidRDefault="00220B1D" w:rsidP="004572A8">
            <w:pPr>
              <w:spacing w:line="360" w:lineRule="auto"/>
              <w:jc w:val="both"/>
              <w:rPr>
                <w:rFonts w:ascii="Tahoma" w:eastAsia="Tahoma" w:hAnsi="Tahoma" w:cs="Tahoma"/>
                <w:bCs/>
                <w:color w:val="808080"/>
                <w:sz w:val="18"/>
                <w:szCs w:val="18"/>
              </w:rPr>
            </w:pPr>
            <w:r>
              <w:rPr>
                <w:rFonts w:ascii="Tahoma" w:hAnsi="Tahoma"/>
                <w:color w:val="808080"/>
                <w:sz w:val="18"/>
              </w:rPr>
              <w:t xml:space="preserve">In addition to the industry awards, Budimex was recognised by the Polityka weekly, Deloitte consulting company and the Responsible Business Forum as one of the leaders of sustainable development and ESG in Poland. This is another CSR Letter of Polityka to our credit. </w:t>
            </w:r>
          </w:p>
          <w:p w14:paraId="6257B2A1" w14:textId="77777777" w:rsidR="00CE6FB8" w:rsidRDefault="00CE6FB8" w:rsidP="004572A8">
            <w:pPr>
              <w:spacing w:line="360" w:lineRule="auto"/>
              <w:jc w:val="both"/>
              <w:rPr>
                <w:rFonts w:ascii="Tahoma" w:eastAsia="Tahoma" w:hAnsi="Tahoma" w:cs="Tahoma"/>
                <w:bCs/>
                <w:color w:val="808080"/>
                <w:sz w:val="18"/>
                <w:szCs w:val="18"/>
              </w:rPr>
            </w:pPr>
          </w:p>
          <w:p w14:paraId="491F7381" w14:textId="3AA5D203" w:rsidR="00220B1D" w:rsidRDefault="00220B1D" w:rsidP="00220B1D">
            <w:pPr>
              <w:spacing w:line="360" w:lineRule="auto"/>
              <w:jc w:val="both"/>
              <w:rPr>
                <w:rFonts w:ascii="Tahoma" w:eastAsia="Tahoma" w:hAnsi="Tahoma" w:cs="Tahoma"/>
                <w:b/>
                <w:color w:val="808080"/>
                <w:sz w:val="18"/>
                <w:szCs w:val="18"/>
              </w:rPr>
            </w:pPr>
            <w:r>
              <w:rPr>
                <w:rFonts w:ascii="Tahoma" w:hAnsi="Tahoma"/>
                <w:b/>
                <w:color w:val="808080"/>
                <w:sz w:val="18"/>
              </w:rPr>
              <w:t>Responsibility and sustainable development</w:t>
            </w:r>
          </w:p>
          <w:p w14:paraId="0E6F1B4D" w14:textId="77777777" w:rsidR="00220B1D" w:rsidRDefault="00220B1D" w:rsidP="00220B1D">
            <w:pPr>
              <w:spacing w:line="360" w:lineRule="auto"/>
              <w:jc w:val="both"/>
              <w:rPr>
                <w:rFonts w:ascii="Tahoma" w:eastAsia="Tahoma" w:hAnsi="Tahoma" w:cs="Tahoma"/>
                <w:b/>
                <w:color w:val="808080"/>
                <w:sz w:val="18"/>
                <w:szCs w:val="18"/>
              </w:rPr>
            </w:pPr>
          </w:p>
          <w:p w14:paraId="4020F544" w14:textId="6D1C3C55" w:rsidR="00220B1D" w:rsidRDefault="00220B1D" w:rsidP="00220B1D">
            <w:pPr>
              <w:spacing w:line="360" w:lineRule="auto"/>
              <w:jc w:val="both"/>
              <w:rPr>
                <w:rFonts w:ascii="Tahoma" w:eastAsia="Tahoma" w:hAnsi="Tahoma" w:cs="Tahoma"/>
                <w:bCs/>
                <w:color w:val="808080"/>
                <w:sz w:val="18"/>
                <w:szCs w:val="18"/>
              </w:rPr>
            </w:pPr>
            <w:r>
              <w:rPr>
                <w:rFonts w:ascii="Tahoma" w:hAnsi="Tahoma"/>
                <w:color w:val="808080"/>
                <w:sz w:val="18"/>
              </w:rPr>
              <w:t xml:space="preserve">In the Budimex Group we pay close attention to the surrounding reality. We understand that nowadays the business potential cannot be built without environmental and social responsibility. At the beginning of July, we announced the Budimex Strategy for 2023-2026 in the area of sustainable development. The document structures and accelerates our ESG activities. </w:t>
            </w:r>
          </w:p>
          <w:p w14:paraId="29EE0766" w14:textId="4CFF59BA" w:rsidR="00166669" w:rsidRDefault="00166669" w:rsidP="00220B1D">
            <w:pPr>
              <w:spacing w:line="360" w:lineRule="auto"/>
              <w:jc w:val="both"/>
              <w:rPr>
                <w:rFonts w:ascii="Tahoma" w:eastAsia="Tahoma" w:hAnsi="Tahoma" w:cs="Tahoma"/>
                <w:bCs/>
                <w:color w:val="808080"/>
                <w:sz w:val="18"/>
                <w:szCs w:val="18"/>
              </w:rPr>
            </w:pPr>
          </w:p>
          <w:p w14:paraId="08DD4C64" w14:textId="77777777" w:rsidR="003B7F94" w:rsidRDefault="003B7F94" w:rsidP="003B7F94">
            <w:pPr>
              <w:spacing w:line="360" w:lineRule="auto"/>
              <w:jc w:val="both"/>
              <w:rPr>
                <w:rFonts w:ascii="Tahoma" w:eastAsia="Tahoma" w:hAnsi="Tahoma" w:cs="Tahoma"/>
                <w:bCs/>
                <w:color w:val="808080"/>
                <w:sz w:val="18"/>
                <w:szCs w:val="18"/>
              </w:rPr>
            </w:pPr>
            <w:r>
              <w:rPr>
                <w:rFonts w:ascii="Tahoma" w:hAnsi="Tahoma"/>
                <w:color w:val="808080"/>
                <w:sz w:val="18"/>
              </w:rPr>
              <w:t>Budimex wants to achieve climate neutrality by 2050. On the track to zero-carbon, it plans to further invest in the development of renewable energy, reduction of CO</w:t>
            </w:r>
            <w:r>
              <w:rPr>
                <w:rFonts w:ascii="Tahoma" w:hAnsi="Tahoma"/>
                <w:color w:val="808080"/>
                <w:sz w:val="18"/>
                <w:vertAlign w:val="subscript"/>
              </w:rPr>
              <w:t>2</w:t>
            </w:r>
            <w:r>
              <w:rPr>
                <w:rFonts w:ascii="Tahoma" w:hAnsi="Tahoma"/>
                <w:color w:val="808080"/>
                <w:sz w:val="18"/>
              </w:rPr>
              <w:t xml:space="preserve"> emissions and successive implementation of closed-loop economy principles throughout the construction process.</w:t>
            </w:r>
          </w:p>
          <w:p w14:paraId="2CC85146" w14:textId="77777777" w:rsidR="003B7F94" w:rsidRPr="002E2815" w:rsidRDefault="003B7F94" w:rsidP="003B7F94">
            <w:pPr>
              <w:spacing w:line="360" w:lineRule="auto"/>
              <w:jc w:val="both"/>
              <w:rPr>
                <w:rFonts w:ascii="Tahoma" w:eastAsia="Tahoma" w:hAnsi="Tahoma" w:cs="Tahoma"/>
                <w:bCs/>
                <w:color w:val="808080"/>
                <w:sz w:val="18"/>
                <w:szCs w:val="18"/>
              </w:rPr>
            </w:pPr>
          </w:p>
          <w:p w14:paraId="1BE2C612" w14:textId="77777777" w:rsidR="003B7F94" w:rsidRDefault="003B7F94" w:rsidP="003B7F94">
            <w:pPr>
              <w:spacing w:line="360" w:lineRule="auto"/>
              <w:jc w:val="both"/>
              <w:rPr>
                <w:rFonts w:ascii="Tahoma" w:eastAsia="Tahoma" w:hAnsi="Tahoma" w:cs="Tahoma"/>
                <w:bCs/>
                <w:color w:val="808080"/>
                <w:sz w:val="18"/>
                <w:szCs w:val="18"/>
              </w:rPr>
            </w:pPr>
            <w:r>
              <w:rPr>
                <w:rFonts w:ascii="Tahoma" w:hAnsi="Tahoma"/>
                <w:color w:val="808080"/>
                <w:sz w:val="18"/>
              </w:rPr>
              <w:t>In 2026, 100% of the energy produced by the Budimex Group companies for the needs of Budimex will come from renewable energy sources. From 2024, the company will recycle around 70 per cent of soil and land and non-hazardous waste. It will also be one of the first companies in Poland to measure its water footprint.</w:t>
            </w:r>
          </w:p>
          <w:p w14:paraId="65D559A2" w14:textId="77777777" w:rsidR="003B7F94" w:rsidRPr="002E2815" w:rsidRDefault="003B7F94" w:rsidP="003B7F94">
            <w:pPr>
              <w:spacing w:line="360" w:lineRule="auto"/>
              <w:jc w:val="both"/>
              <w:rPr>
                <w:rFonts w:ascii="Tahoma" w:eastAsia="Tahoma" w:hAnsi="Tahoma" w:cs="Tahoma"/>
                <w:bCs/>
                <w:color w:val="808080"/>
                <w:sz w:val="18"/>
                <w:szCs w:val="18"/>
              </w:rPr>
            </w:pPr>
          </w:p>
          <w:p w14:paraId="44DC856D" w14:textId="77777777" w:rsidR="003B7F94" w:rsidRDefault="003B7F94" w:rsidP="003B7F94">
            <w:pPr>
              <w:spacing w:line="360" w:lineRule="auto"/>
              <w:jc w:val="both"/>
              <w:rPr>
                <w:rFonts w:ascii="Tahoma" w:eastAsia="Tahoma" w:hAnsi="Tahoma" w:cs="Tahoma"/>
                <w:bCs/>
                <w:color w:val="808080"/>
                <w:sz w:val="18"/>
                <w:szCs w:val="18"/>
              </w:rPr>
            </w:pPr>
          </w:p>
          <w:p w14:paraId="5AF77DD0" w14:textId="77777777" w:rsidR="003B7F94" w:rsidRPr="000D29F3" w:rsidRDefault="003B7F94" w:rsidP="003B7F94">
            <w:pPr>
              <w:spacing w:line="360" w:lineRule="auto"/>
              <w:jc w:val="both"/>
              <w:rPr>
                <w:rFonts w:ascii="Tahoma" w:eastAsia="Tahoma" w:hAnsi="Tahoma" w:cs="Tahoma"/>
                <w:b/>
                <w:color w:val="808080"/>
                <w:sz w:val="18"/>
                <w:szCs w:val="18"/>
              </w:rPr>
            </w:pPr>
            <w:r>
              <w:rPr>
                <w:rFonts w:ascii="Tahoma" w:hAnsi="Tahoma"/>
                <w:b/>
                <w:color w:val="808080"/>
                <w:sz w:val="18"/>
              </w:rPr>
              <w:t xml:space="preserve">Safety, education and CSR </w:t>
            </w:r>
          </w:p>
          <w:p w14:paraId="63A27EE2" w14:textId="345584BB" w:rsidR="003B7F94" w:rsidRDefault="003B7F94" w:rsidP="003B7F94">
            <w:pPr>
              <w:spacing w:line="360" w:lineRule="auto"/>
              <w:jc w:val="both"/>
              <w:rPr>
                <w:rFonts w:ascii="Tahoma" w:eastAsia="Tahoma" w:hAnsi="Tahoma" w:cs="Tahoma"/>
                <w:bCs/>
                <w:color w:val="808080"/>
                <w:sz w:val="18"/>
                <w:szCs w:val="18"/>
              </w:rPr>
            </w:pPr>
            <w:r>
              <w:rPr>
                <w:rFonts w:ascii="Tahoma" w:hAnsi="Tahoma"/>
                <w:color w:val="808080"/>
                <w:sz w:val="18"/>
              </w:rPr>
              <w:t>In May, together with the entire construction sector we celebrated our Safety Week anniversary under the slogan “Stop has the power. I am careful, I don't expose”, with a series of training and awareness-raising events for our employees. As part of our commitment to environmental protection, we have planted the first 140 trees around the construction of the Warsaw Tramway to Wilanów with the residents of Mokotów and Wilanów. Ultimately, in addition to compensatory planting, more than 400 new trees will be planted around the project.</w:t>
            </w:r>
          </w:p>
          <w:p w14:paraId="6BEA9AA3" w14:textId="77777777" w:rsidR="003B7F94" w:rsidRDefault="003B7F94" w:rsidP="003B7F94">
            <w:pPr>
              <w:spacing w:line="360" w:lineRule="auto"/>
              <w:jc w:val="both"/>
              <w:rPr>
                <w:rFonts w:ascii="Tahoma" w:eastAsia="Tahoma" w:hAnsi="Tahoma" w:cs="Tahoma"/>
                <w:bCs/>
                <w:color w:val="808080"/>
                <w:sz w:val="18"/>
                <w:szCs w:val="18"/>
              </w:rPr>
            </w:pPr>
          </w:p>
          <w:p w14:paraId="223B46B1" w14:textId="77777777" w:rsidR="003B7F94" w:rsidRDefault="003B7F94" w:rsidP="003B7F94">
            <w:pPr>
              <w:spacing w:line="360" w:lineRule="auto"/>
              <w:jc w:val="both"/>
              <w:rPr>
                <w:rFonts w:ascii="Tahoma" w:eastAsia="Tahoma" w:hAnsi="Tahoma" w:cs="Tahoma"/>
                <w:bCs/>
                <w:color w:val="808080"/>
                <w:sz w:val="18"/>
                <w:szCs w:val="18"/>
              </w:rPr>
            </w:pPr>
            <w:r>
              <w:rPr>
                <w:rFonts w:ascii="Tahoma" w:hAnsi="Tahoma"/>
                <w:color w:val="808080"/>
                <w:sz w:val="18"/>
              </w:rPr>
              <w:t xml:space="preserve">The first half of the year was also filled with events related to the Budimex Group's flagship social projects. In June, we opened the 42nd Parent Zone in Ełk. This is a space of rest and play for families created in the paediatric ward of the “Pro-Medica” hospital. On the Children's Day, we also co-organised several special events for the youngest, where, as part of the “Hello ICE. Budimex for Children” program, we held educational sessions on traffic safety. We visited, among others, Warsaw, Ełk or the Kołbaskowo municipality. </w:t>
            </w:r>
          </w:p>
          <w:p w14:paraId="5713C84B" w14:textId="77777777" w:rsidR="003B7F94" w:rsidRDefault="003B7F94" w:rsidP="003B7F94">
            <w:pPr>
              <w:spacing w:line="360" w:lineRule="auto"/>
              <w:jc w:val="both"/>
              <w:rPr>
                <w:rFonts w:ascii="Tahoma" w:eastAsia="Tahoma" w:hAnsi="Tahoma" w:cs="Tahoma"/>
                <w:bCs/>
                <w:color w:val="808080"/>
                <w:sz w:val="18"/>
                <w:szCs w:val="18"/>
              </w:rPr>
            </w:pPr>
          </w:p>
          <w:p w14:paraId="2CF7D6D7" w14:textId="77777777" w:rsidR="003B7F94" w:rsidRPr="00C6502C" w:rsidRDefault="003B7F94" w:rsidP="003B7F94">
            <w:pPr>
              <w:spacing w:line="360" w:lineRule="auto"/>
              <w:jc w:val="both"/>
              <w:rPr>
                <w:rFonts w:ascii="Tahoma" w:eastAsia="Tahoma" w:hAnsi="Tahoma" w:cs="Tahoma"/>
                <w:bCs/>
                <w:color w:val="808080"/>
                <w:sz w:val="18"/>
                <w:szCs w:val="18"/>
              </w:rPr>
            </w:pPr>
            <w:r>
              <w:rPr>
                <w:rFonts w:ascii="Tahoma" w:hAnsi="Tahoma"/>
                <w:color w:val="808080"/>
                <w:sz w:val="18"/>
              </w:rPr>
              <w:t>At Budimex, we believe in the power and ingenuity of young people. Together with the Zwolnieni z Teorii Foundation, we organised a nationwide competition for students of construction technical schools for the most innovative CSR project. During the grand finale held in May in Służewiec, Warsaw, we awarded three winning projects. The competition prize pool exceeded PLN 75 thousand.</w:t>
            </w:r>
          </w:p>
          <w:p w14:paraId="34745126" w14:textId="77777777" w:rsidR="002E2815" w:rsidRPr="002E2815" w:rsidRDefault="002E2815" w:rsidP="002E2815">
            <w:pPr>
              <w:spacing w:line="360" w:lineRule="auto"/>
              <w:jc w:val="both"/>
              <w:rPr>
                <w:rFonts w:ascii="Tahoma" w:eastAsia="Tahoma" w:hAnsi="Tahoma" w:cs="Tahoma"/>
                <w:bCs/>
                <w:color w:val="808080"/>
                <w:sz w:val="18"/>
                <w:szCs w:val="18"/>
              </w:rPr>
            </w:pPr>
          </w:p>
          <w:p w14:paraId="44BE80C7" w14:textId="75187DB9" w:rsidR="00DE4D7D" w:rsidRPr="00FC43CA" w:rsidRDefault="00DE4D7D" w:rsidP="00212FA6">
            <w:pPr>
              <w:spacing w:line="360" w:lineRule="auto"/>
              <w:jc w:val="both"/>
              <w:rPr>
                <w:rFonts w:ascii="Tahoma" w:eastAsia="Tahoma" w:hAnsi="Tahoma" w:cs="Tahoma"/>
                <w:bCs/>
                <w:color w:val="808080"/>
                <w:sz w:val="18"/>
                <w:szCs w:val="18"/>
              </w:rPr>
            </w:pPr>
          </w:p>
        </w:tc>
        <w:tc>
          <w:tcPr>
            <w:tcW w:w="3024" w:type="dxa"/>
          </w:tcPr>
          <w:p w14:paraId="5B5F2F21" w14:textId="2DED115D" w:rsidR="00D824D3" w:rsidRPr="00FC43CA" w:rsidRDefault="00D824D3">
            <w:pPr>
              <w:spacing w:line="360" w:lineRule="auto"/>
              <w:jc w:val="center"/>
              <w:rPr>
                <w:rFonts w:ascii="Tahoma" w:eastAsia="Tahoma" w:hAnsi="Tahoma" w:cs="Tahoma"/>
                <w:bCs/>
                <w:color w:val="FFC000"/>
              </w:rPr>
            </w:pPr>
          </w:p>
          <w:p w14:paraId="6D9FE0D9" w14:textId="77777777" w:rsidR="00D824D3" w:rsidRPr="00FC43CA" w:rsidRDefault="00D824D3">
            <w:pPr>
              <w:spacing w:line="360" w:lineRule="auto"/>
              <w:jc w:val="center"/>
              <w:rPr>
                <w:rFonts w:ascii="Tahoma" w:eastAsia="Tahoma" w:hAnsi="Tahoma" w:cs="Tahoma"/>
                <w:bCs/>
                <w:color w:val="FFC000"/>
              </w:rPr>
            </w:pPr>
          </w:p>
          <w:p w14:paraId="2981D933" w14:textId="77777777" w:rsidR="00D824D3" w:rsidRPr="00FC43CA" w:rsidRDefault="00D824D3">
            <w:pPr>
              <w:spacing w:line="360" w:lineRule="auto"/>
              <w:jc w:val="center"/>
              <w:rPr>
                <w:rFonts w:ascii="Tahoma" w:eastAsia="Tahoma" w:hAnsi="Tahoma" w:cs="Tahoma"/>
                <w:bCs/>
                <w:color w:val="FFC000"/>
              </w:rPr>
            </w:pPr>
          </w:p>
          <w:p w14:paraId="75763072" w14:textId="77777777" w:rsidR="00D824D3" w:rsidRPr="00FC43CA" w:rsidRDefault="00D824D3">
            <w:pPr>
              <w:spacing w:line="360" w:lineRule="auto"/>
              <w:jc w:val="center"/>
              <w:rPr>
                <w:rFonts w:ascii="Tahoma" w:eastAsia="Tahoma" w:hAnsi="Tahoma" w:cs="Tahoma"/>
                <w:bCs/>
                <w:color w:val="FFC000"/>
              </w:rPr>
            </w:pPr>
          </w:p>
          <w:p w14:paraId="522D8B16" w14:textId="77777777" w:rsidR="00D824D3" w:rsidRPr="00FC43CA" w:rsidRDefault="00D824D3">
            <w:pPr>
              <w:spacing w:line="360" w:lineRule="auto"/>
              <w:jc w:val="center"/>
              <w:rPr>
                <w:rFonts w:ascii="Tahoma" w:eastAsia="Tahoma" w:hAnsi="Tahoma" w:cs="Tahoma"/>
                <w:bCs/>
                <w:color w:val="FFC000"/>
              </w:rPr>
            </w:pPr>
          </w:p>
          <w:p w14:paraId="383DA6A1" w14:textId="77777777" w:rsidR="00D824D3" w:rsidRPr="00FC43CA" w:rsidRDefault="00D824D3">
            <w:pPr>
              <w:spacing w:line="360" w:lineRule="auto"/>
              <w:jc w:val="center"/>
              <w:rPr>
                <w:rFonts w:ascii="Tahoma" w:eastAsia="Tahoma" w:hAnsi="Tahoma" w:cs="Tahoma"/>
                <w:bCs/>
                <w:color w:val="FFC000"/>
              </w:rPr>
            </w:pPr>
          </w:p>
          <w:p w14:paraId="302E4DF3" w14:textId="77777777" w:rsidR="00D824D3" w:rsidRPr="00FC43CA" w:rsidRDefault="00D824D3">
            <w:pPr>
              <w:spacing w:after="120" w:line="360" w:lineRule="auto"/>
              <w:rPr>
                <w:rFonts w:ascii="Verdana" w:eastAsia="Verdana" w:hAnsi="Verdana" w:cs="Verdana"/>
                <w:bCs/>
                <w:color w:val="FFC000"/>
                <w:sz w:val="20"/>
                <w:szCs w:val="20"/>
              </w:rPr>
            </w:pPr>
          </w:p>
          <w:p w14:paraId="7B71267C" w14:textId="77777777" w:rsidR="00D824D3" w:rsidRPr="00775CAB" w:rsidRDefault="00B63B5B">
            <w:pPr>
              <w:spacing w:after="120" w:line="360" w:lineRule="auto"/>
              <w:rPr>
                <w:rFonts w:ascii="Verdana" w:eastAsia="Verdana" w:hAnsi="Verdana" w:cs="Verdana"/>
                <w:bCs/>
                <w:color w:val="FFC000"/>
                <w:sz w:val="20"/>
                <w:szCs w:val="20"/>
              </w:rPr>
            </w:pPr>
            <w:r>
              <w:rPr>
                <w:rFonts w:ascii="Verdana" w:hAnsi="Verdana"/>
                <w:color w:val="FFC000"/>
                <w:sz w:val="20"/>
              </w:rPr>
              <w:t xml:space="preserve">Contact: </w:t>
            </w:r>
          </w:p>
          <w:p w14:paraId="3EDE60A1" w14:textId="45C07FB4" w:rsidR="00D824D3" w:rsidRPr="00775CAB" w:rsidRDefault="00B63B5B">
            <w:pPr>
              <w:spacing w:after="120" w:line="360" w:lineRule="auto"/>
              <w:rPr>
                <w:rFonts w:ascii="Verdana" w:eastAsia="Verdana" w:hAnsi="Verdana" w:cs="Verdana"/>
                <w:bCs/>
                <w:color w:val="808080"/>
                <w:sz w:val="18"/>
                <w:szCs w:val="18"/>
              </w:rPr>
            </w:pPr>
            <w:r>
              <w:rPr>
                <w:rFonts w:ascii="Verdana" w:hAnsi="Verdana"/>
                <w:color w:val="808080"/>
                <w:sz w:val="18"/>
              </w:rPr>
              <w:t>Michał Wrzosek – Spokesman</w:t>
            </w:r>
          </w:p>
          <w:p w14:paraId="742DC472" w14:textId="77777777" w:rsidR="00D824D3" w:rsidRPr="00775CAB" w:rsidRDefault="00B63B5B">
            <w:pPr>
              <w:spacing w:line="360" w:lineRule="auto"/>
              <w:rPr>
                <w:rFonts w:ascii="Verdana" w:eastAsia="Verdana" w:hAnsi="Verdana" w:cs="Verdana"/>
                <w:bCs/>
                <w:color w:val="808080"/>
                <w:sz w:val="18"/>
                <w:szCs w:val="18"/>
              </w:rPr>
            </w:pPr>
            <w:r>
              <w:rPr>
                <w:rFonts w:ascii="Verdana" w:hAnsi="Verdana"/>
                <w:color w:val="808080"/>
                <w:sz w:val="18"/>
              </w:rPr>
              <w:t xml:space="preserve">phone (22) 62 36 164, 512 478 522, </w:t>
            </w:r>
          </w:p>
          <w:p w14:paraId="1AD63FF4" w14:textId="77777777" w:rsidR="00D824D3" w:rsidRPr="00775CAB" w:rsidRDefault="00000000">
            <w:pPr>
              <w:spacing w:line="360" w:lineRule="auto"/>
              <w:rPr>
                <w:rFonts w:ascii="Verdana" w:eastAsia="Verdana" w:hAnsi="Verdana" w:cs="Verdana"/>
                <w:bCs/>
                <w:color w:val="808080"/>
                <w:sz w:val="18"/>
                <w:szCs w:val="18"/>
              </w:rPr>
            </w:pPr>
            <w:hyperlink r:id="rId12">
              <w:r w:rsidR="005D0189">
                <w:rPr>
                  <w:rFonts w:ascii="Verdana" w:hAnsi="Verdana"/>
                  <w:color w:val="808080"/>
                  <w:sz w:val="18"/>
                  <w:u w:val="single"/>
                </w:rPr>
                <w:t>michal.wrzosek@budimex.pl</w:t>
              </w:r>
            </w:hyperlink>
          </w:p>
          <w:p w14:paraId="286034E8" w14:textId="77777777" w:rsidR="00D824D3" w:rsidRPr="00775CAB" w:rsidRDefault="00000000">
            <w:pPr>
              <w:spacing w:before="280" w:after="280" w:line="360" w:lineRule="auto"/>
              <w:jc w:val="both"/>
              <w:rPr>
                <w:rFonts w:ascii="Tahoma" w:eastAsia="Tahoma" w:hAnsi="Tahoma" w:cs="Tahoma"/>
                <w:bCs/>
                <w:color w:val="7F7F7F"/>
                <w:sz w:val="18"/>
                <w:szCs w:val="18"/>
              </w:rPr>
            </w:pPr>
            <w:hyperlink r:id="rId13">
              <w:r w:rsidR="005D0189">
                <w:rPr>
                  <w:rFonts w:ascii="Tahoma" w:hAnsi="Tahoma"/>
                  <w:color w:val="7F7F7F"/>
                  <w:sz w:val="18"/>
                  <w:u w:val="single"/>
                </w:rPr>
                <w:t>www.media.budimex.pl</w:t>
              </w:r>
            </w:hyperlink>
          </w:p>
          <w:p w14:paraId="0DDA63C7" w14:textId="77777777" w:rsidR="00D824D3" w:rsidRPr="00775CAB" w:rsidRDefault="00D824D3">
            <w:pPr>
              <w:spacing w:line="360" w:lineRule="auto"/>
              <w:jc w:val="center"/>
              <w:rPr>
                <w:rFonts w:ascii="Tahoma" w:eastAsia="Tahoma" w:hAnsi="Tahoma" w:cs="Tahoma"/>
                <w:bCs/>
                <w:color w:val="FFC000"/>
              </w:rPr>
            </w:pPr>
          </w:p>
          <w:p w14:paraId="0E328550" w14:textId="77777777" w:rsidR="00D824D3" w:rsidRPr="00775CAB" w:rsidRDefault="00D824D3">
            <w:pPr>
              <w:spacing w:line="360" w:lineRule="auto"/>
              <w:jc w:val="center"/>
              <w:rPr>
                <w:rFonts w:ascii="Tahoma" w:eastAsia="Tahoma" w:hAnsi="Tahoma" w:cs="Tahoma"/>
                <w:bCs/>
                <w:color w:val="FFC000"/>
              </w:rPr>
            </w:pPr>
          </w:p>
          <w:p w14:paraId="4331147F" w14:textId="77777777" w:rsidR="00D824D3" w:rsidRPr="00775CAB" w:rsidRDefault="00D824D3">
            <w:pPr>
              <w:spacing w:line="360" w:lineRule="auto"/>
              <w:jc w:val="center"/>
              <w:rPr>
                <w:rFonts w:ascii="Tahoma" w:eastAsia="Tahoma" w:hAnsi="Tahoma" w:cs="Tahoma"/>
                <w:bCs/>
                <w:color w:val="FFC000"/>
              </w:rPr>
            </w:pPr>
          </w:p>
          <w:p w14:paraId="4CEC1C16" w14:textId="77777777" w:rsidR="00D824D3" w:rsidRPr="00775CAB" w:rsidRDefault="00D824D3">
            <w:pPr>
              <w:spacing w:line="360" w:lineRule="auto"/>
              <w:jc w:val="center"/>
              <w:rPr>
                <w:rFonts w:ascii="Tahoma" w:eastAsia="Tahoma" w:hAnsi="Tahoma" w:cs="Tahoma"/>
                <w:bCs/>
                <w:color w:val="FFC000"/>
              </w:rPr>
            </w:pPr>
          </w:p>
        </w:tc>
      </w:tr>
    </w:tbl>
    <w:p w14:paraId="6E7F5698" w14:textId="7B88D0D5" w:rsidR="00D824D3" w:rsidRDefault="00D824D3" w:rsidP="00AD7834">
      <w:pPr>
        <w:spacing w:line="360" w:lineRule="auto"/>
        <w:ind w:right="1"/>
        <w:jc w:val="both"/>
        <w:rPr>
          <w:rFonts w:ascii="Tahoma" w:eastAsia="Tahoma" w:hAnsi="Tahoma" w:cs="Tahoma"/>
          <w:color w:val="808080"/>
          <w:sz w:val="18"/>
          <w:szCs w:val="18"/>
        </w:rPr>
      </w:pPr>
    </w:p>
    <w:sectPr w:rsidR="00D824D3">
      <w:headerReference w:type="even" r:id="rId14"/>
      <w:headerReference w:type="default" r:id="rId15"/>
      <w:footerReference w:type="even" r:id="rId16"/>
      <w:footerReference w:type="default" r:id="rId17"/>
      <w:headerReference w:type="first" r:id="rId18"/>
      <w:footerReference w:type="first" r:id="rId19"/>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25C3" w14:textId="77777777" w:rsidR="00C7384A" w:rsidRDefault="00C7384A">
      <w:pPr>
        <w:spacing w:after="0" w:line="240" w:lineRule="auto"/>
      </w:pPr>
      <w:r>
        <w:separator/>
      </w:r>
    </w:p>
  </w:endnote>
  <w:endnote w:type="continuationSeparator" w:id="0">
    <w:p w14:paraId="56786F5A" w14:textId="77777777" w:rsidR="00C7384A" w:rsidRDefault="00C7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00D7"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5B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BC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58C9" w14:textId="77777777" w:rsidR="00C7384A" w:rsidRDefault="00C7384A">
      <w:pPr>
        <w:spacing w:after="0" w:line="240" w:lineRule="auto"/>
      </w:pPr>
      <w:r>
        <w:separator/>
      </w:r>
    </w:p>
  </w:footnote>
  <w:footnote w:type="continuationSeparator" w:id="0">
    <w:p w14:paraId="4BD2400F" w14:textId="77777777" w:rsidR="00C7384A" w:rsidRDefault="00C7384A">
      <w:pPr>
        <w:spacing w:after="0" w:line="240" w:lineRule="auto"/>
      </w:pPr>
      <w:r>
        <w:continuationSeparator/>
      </w:r>
    </w:p>
  </w:footnote>
  <w:footnote w:id="1">
    <w:p w14:paraId="5CB3F0DA" w14:textId="2BB99B7D" w:rsidR="0069685B" w:rsidRPr="0069685B" w:rsidRDefault="0069685B">
      <w:pPr>
        <w:pStyle w:val="Tekstprzypisudolnego"/>
        <w:rPr>
          <w:rFonts w:ascii="Tahoma" w:hAnsi="Tahoma" w:cs="Tahoma"/>
        </w:rPr>
      </w:pPr>
      <w:r>
        <w:rPr>
          <w:rStyle w:val="Odwoanieprzypisudolnego"/>
          <w:rFonts w:ascii="Tahoma" w:hAnsi="Tahoma" w:cs="Tahoma"/>
          <w:color w:val="A6A6A6" w:themeColor="background1" w:themeShade="A6"/>
          <w:sz w:val="18"/>
          <w:szCs w:val="18"/>
        </w:rPr>
        <w:footnoteRef/>
      </w:r>
      <w:r>
        <w:rPr>
          <w:rFonts w:ascii="Tahoma" w:hAnsi="Tahoma"/>
          <w:color w:val="A6A6A6" w:themeColor="background1" w:themeShade="A6"/>
          <w:sz w:val="18"/>
        </w:rPr>
        <w:t xml:space="preserve"> attributable to shareholders of the Parent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AD38"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F148" w14:textId="77777777" w:rsidR="00D824D3" w:rsidRDefault="00B63B5B">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rPr>
      <w:drawing>
        <wp:anchor distT="0" distB="0" distL="114300" distR="114300" simplePos="0" relativeHeight="251658240" behindDoc="0" locked="0" layoutInCell="1" hidden="0" allowOverlap="1" wp14:anchorId="126564C0" wp14:editId="56D6C67B">
          <wp:simplePos x="0" y="0"/>
          <wp:positionH relativeFrom="column">
            <wp:posOffset>764</wp:posOffset>
          </wp:positionH>
          <wp:positionV relativeFrom="paragraph">
            <wp:posOffset>693</wp:posOffset>
          </wp:positionV>
          <wp:extent cx="1396800" cy="478800"/>
          <wp:effectExtent l="0" t="0" r="0" b="0"/>
          <wp:wrapNone/>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153E2250" w14:textId="77777777" w:rsidR="00D824D3" w:rsidRDefault="00B63B5B">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hAnsi="Tahoma"/>
        <w:b/>
        <w:color w:val="808080"/>
        <w:sz w:val="28"/>
      </w:rPr>
      <w:t>Press release</w:t>
    </w:r>
  </w:p>
  <w:p w14:paraId="0BB711A9" w14:textId="77777777" w:rsidR="00D824D3" w:rsidRDefault="00D824D3">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3E24"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0672"/>
    <w:multiLevelType w:val="multilevel"/>
    <w:tmpl w:val="CC9AE5D8"/>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ABB07B9"/>
    <w:multiLevelType w:val="hybridMultilevel"/>
    <w:tmpl w:val="FFAAB1F4"/>
    <w:lvl w:ilvl="0" w:tplc="4C107D68">
      <w:start w:val="1"/>
      <w:numFmt w:val="bullet"/>
      <w:lvlText w:val=""/>
      <w:lvlJc w:val="left"/>
      <w:pPr>
        <w:ind w:left="720" w:hanging="360"/>
      </w:pPr>
      <w:rPr>
        <w:rFonts w:ascii="Wingdings" w:hAnsi="Wingdings" w:hint="default"/>
        <w:color w:val="F2B8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6C0F3B"/>
    <w:multiLevelType w:val="hybridMultilevel"/>
    <w:tmpl w:val="049630C4"/>
    <w:lvl w:ilvl="0" w:tplc="18606A88">
      <w:start w:val="1"/>
      <w:numFmt w:val="bullet"/>
      <w:lvlText w:val="•"/>
      <w:lvlJc w:val="left"/>
      <w:pPr>
        <w:tabs>
          <w:tab w:val="num" w:pos="720"/>
        </w:tabs>
        <w:ind w:left="720" w:hanging="360"/>
      </w:pPr>
      <w:rPr>
        <w:rFonts w:ascii="Arial" w:hAnsi="Arial" w:hint="default"/>
      </w:rPr>
    </w:lvl>
    <w:lvl w:ilvl="1" w:tplc="5A9465E8" w:tentative="1">
      <w:start w:val="1"/>
      <w:numFmt w:val="bullet"/>
      <w:lvlText w:val="•"/>
      <w:lvlJc w:val="left"/>
      <w:pPr>
        <w:tabs>
          <w:tab w:val="num" w:pos="1440"/>
        </w:tabs>
        <w:ind w:left="1440" w:hanging="360"/>
      </w:pPr>
      <w:rPr>
        <w:rFonts w:ascii="Arial" w:hAnsi="Arial" w:hint="default"/>
      </w:rPr>
    </w:lvl>
    <w:lvl w:ilvl="2" w:tplc="E4B4936E" w:tentative="1">
      <w:start w:val="1"/>
      <w:numFmt w:val="bullet"/>
      <w:lvlText w:val="•"/>
      <w:lvlJc w:val="left"/>
      <w:pPr>
        <w:tabs>
          <w:tab w:val="num" w:pos="2160"/>
        </w:tabs>
        <w:ind w:left="2160" w:hanging="360"/>
      </w:pPr>
      <w:rPr>
        <w:rFonts w:ascii="Arial" w:hAnsi="Arial" w:hint="default"/>
      </w:rPr>
    </w:lvl>
    <w:lvl w:ilvl="3" w:tplc="78BE8834" w:tentative="1">
      <w:start w:val="1"/>
      <w:numFmt w:val="bullet"/>
      <w:lvlText w:val="•"/>
      <w:lvlJc w:val="left"/>
      <w:pPr>
        <w:tabs>
          <w:tab w:val="num" w:pos="2880"/>
        </w:tabs>
        <w:ind w:left="2880" w:hanging="360"/>
      </w:pPr>
      <w:rPr>
        <w:rFonts w:ascii="Arial" w:hAnsi="Arial" w:hint="default"/>
      </w:rPr>
    </w:lvl>
    <w:lvl w:ilvl="4" w:tplc="ACD28438" w:tentative="1">
      <w:start w:val="1"/>
      <w:numFmt w:val="bullet"/>
      <w:lvlText w:val="•"/>
      <w:lvlJc w:val="left"/>
      <w:pPr>
        <w:tabs>
          <w:tab w:val="num" w:pos="3600"/>
        </w:tabs>
        <w:ind w:left="3600" w:hanging="360"/>
      </w:pPr>
      <w:rPr>
        <w:rFonts w:ascii="Arial" w:hAnsi="Arial" w:hint="default"/>
      </w:rPr>
    </w:lvl>
    <w:lvl w:ilvl="5" w:tplc="EE640EDE" w:tentative="1">
      <w:start w:val="1"/>
      <w:numFmt w:val="bullet"/>
      <w:lvlText w:val="•"/>
      <w:lvlJc w:val="left"/>
      <w:pPr>
        <w:tabs>
          <w:tab w:val="num" w:pos="4320"/>
        </w:tabs>
        <w:ind w:left="4320" w:hanging="360"/>
      </w:pPr>
      <w:rPr>
        <w:rFonts w:ascii="Arial" w:hAnsi="Arial" w:hint="default"/>
      </w:rPr>
    </w:lvl>
    <w:lvl w:ilvl="6" w:tplc="D2B85FF4" w:tentative="1">
      <w:start w:val="1"/>
      <w:numFmt w:val="bullet"/>
      <w:lvlText w:val="•"/>
      <w:lvlJc w:val="left"/>
      <w:pPr>
        <w:tabs>
          <w:tab w:val="num" w:pos="5040"/>
        </w:tabs>
        <w:ind w:left="5040" w:hanging="360"/>
      </w:pPr>
      <w:rPr>
        <w:rFonts w:ascii="Arial" w:hAnsi="Arial" w:hint="default"/>
      </w:rPr>
    </w:lvl>
    <w:lvl w:ilvl="7" w:tplc="75EEB68E" w:tentative="1">
      <w:start w:val="1"/>
      <w:numFmt w:val="bullet"/>
      <w:lvlText w:val="•"/>
      <w:lvlJc w:val="left"/>
      <w:pPr>
        <w:tabs>
          <w:tab w:val="num" w:pos="5760"/>
        </w:tabs>
        <w:ind w:left="5760" w:hanging="360"/>
      </w:pPr>
      <w:rPr>
        <w:rFonts w:ascii="Arial" w:hAnsi="Arial" w:hint="default"/>
      </w:rPr>
    </w:lvl>
    <w:lvl w:ilvl="8" w:tplc="F96096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6E6820"/>
    <w:multiLevelType w:val="hybridMultilevel"/>
    <w:tmpl w:val="C59CA3F4"/>
    <w:lvl w:ilvl="0" w:tplc="4D483C9C">
      <w:start w:val="1"/>
      <w:numFmt w:val="bullet"/>
      <w:lvlText w:val="•"/>
      <w:lvlJc w:val="left"/>
      <w:pPr>
        <w:tabs>
          <w:tab w:val="num" w:pos="720"/>
        </w:tabs>
        <w:ind w:left="720" w:hanging="360"/>
      </w:pPr>
      <w:rPr>
        <w:rFonts w:ascii="Arial" w:hAnsi="Arial" w:hint="default"/>
      </w:rPr>
    </w:lvl>
    <w:lvl w:ilvl="1" w:tplc="B8425C44" w:tentative="1">
      <w:start w:val="1"/>
      <w:numFmt w:val="bullet"/>
      <w:lvlText w:val="•"/>
      <w:lvlJc w:val="left"/>
      <w:pPr>
        <w:tabs>
          <w:tab w:val="num" w:pos="1440"/>
        </w:tabs>
        <w:ind w:left="1440" w:hanging="360"/>
      </w:pPr>
      <w:rPr>
        <w:rFonts w:ascii="Arial" w:hAnsi="Arial" w:hint="default"/>
      </w:rPr>
    </w:lvl>
    <w:lvl w:ilvl="2" w:tplc="F9CC9DAA" w:tentative="1">
      <w:start w:val="1"/>
      <w:numFmt w:val="bullet"/>
      <w:lvlText w:val="•"/>
      <w:lvlJc w:val="left"/>
      <w:pPr>
        <w:tabs>
          <w:tab w:val="num" w:pos="2160"/>
        </w:tabs>
        <w:ind w:left="2160" w:hanging="360"/>
      </w:pPr>
      <w:rPr>
        <w:rFonts w:ascii="Arial" w:hAnsi="Arial" w:hint="default"/>
      </w:rPr>
    </w:lvl>
    <w:lvl w:ilvl="3" w:tplc="FC02A586" w:tentative="1">
      <w:start w:val="1"/>
      <w:numFmt w:val="bullet"/>
      <w:lvlText w:val="•"/>
      <w:lvlJc w:val="left"/>
      <w:pPr>
        <w:tabs>
          <w:tab w:val="num" w:pos="2880"/>
        </w:tabs>
        <w:ind w:left="2880" w:hanging="360"/>
      </w:pPr>
      <w:rPr>
        <w:rFonts w:ascii="Arial" w:hAnsi="Arial" w:hint="default"/>
      </w:rPr>
    </w:lvl>
    <w:lvl w:ilvl="4" w:tplc="78A0F9C8" w:tentative="1">
      <w:start w:val="1"/>
      <w:numFmt w:val="bullet"/>
      <w:lvlText w:val="•"/>
      <w:lvlJc w:val="left"/>
      <w:pPr>
        <w:tabs>
          <w:tab w:val="num" w:pos="3600"/>
        </w:tabs>
        <w:ind w:left="3600" w:hanging="360"/>
      </w:pPr>
      <w:rPr>
        <w:rFonts w:ascii="Arial" w:hAnsi="Arial" w:hint="default"/>
      </w:rPr>
    </w:lvl>
    <w:lvl w:ilvl="5" w:tplc="12BAD974" w:tentative="1">
      <w:start w:val="1"/>
      <w:numFmt w:val="bullet"/>
      <w:lvlText w:val="•"/>
      <w:lvlJc w:val="left"/>
      <w:pPr>
        <w:tabs>
          <w:tab w:val="num" w:pos="4320"/>
        </w:tabs>
        <w:ind w:left="4320" w:hanging="360"/>
      </w:pPr>
      <w:rPr>
        <w:rFonts w:ascii="Arial" w:hAnsi="Arial" w:hint="default"/>
      </w:rPr>
    </w:lvl>
    <w:lvl w:ilvl="6" w:tplc="BBEE4CB6" w:tentative="1">
      <w:start w:val="1"/>
      <w:numFmt w:val="bullet"/>
      <w:lvlText w:val="•"/>
      <w:lvlJc w:val="left"/>
      <w:pPr>
        <w:tabs>
          <w:tab w:val="num" w:pos="5040"/>
        </w:tabs>
        <w:ind w:left="5040" w:hanging="360"/>
      </w:pPr>
      <w:rPr>
        <w:rFonts w:ascii="Arial" w:hAnsi="Arial" w:hint="default"/>
      </w:rPr>
    </w:lvl>
    <w:lvl w:ilvl="7" w:tplc="3A90326E" w:tentative="1">
      <w:start w:val="1"/>
      <w:numFmt w:val="bullet"/>
      <w:lvlText w:val="•"/>
      <w:lvlJc w:val="left"/>
      <w:pPr>
        <w:tabs>
          <w:tab w:val="num" w:pos="5760"/>
        </w:tabs>
        <w:ind w:left="5760" w:hanging="360"/>
      </w:pPr>
      <w:rPr>
        <w:rFonts w:ascii="Arial" w:hAnsi="Arial" w:hint="default"/>
      </w:rPr>
    </w:lvl>
    <w:lvl w:ilvl="8" w:tplc="1B8AEA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660AA0"/>
    <w:multiLevelType w:val="multilevel"/>
    <w:tmpl w:val="77F47152"/>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45467660">
    <w:abstractNumId w:val="0"/>
  </w:num>
  <w:num w:numId="2" w16cid:durableId="1547525273">
    <w:abstractNumId w:val="5"/>
  </w:num>
  <w:num w:numId="3" w16cid:durableId="1196965386">
    <w:abstractNumId w:val="2"/>
  </w:num>
  <w:num w:numId="4" w16cid:durableId="1619530281">
    <w:abstractNumId w:val="3"/>
  </w:num>
  <w:num w:numId="5" w16cid:durableId="110520937">
    <w:abstractNumId w:val="4"/>
  </w:num>
  <w:num w:numId="6" w16cid:durableId="1049841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2NDQ1MDOysLA0MzRT0lEKTi0uzszPAykwrAUAP32WMywAAAA="/>
  </w:docVars>
  <w:rsids>
    <w:rsidRoot w:val="00D824D3"/>
    <w:rsid w:val="0000116D"/>
    <w:rsid w:val="00002FA2"/>
    <w:rsid w:val="00005901"/>
    <w:rsid w:val="0001222E"/>
    <w:rsid w:val="000150C1"/>
    <w:rsid w:val="0001727E"/>
    <w:rsid w:val="00027A52"/>
    <w:rsid w:val="00031C8A"/>
    <w:rsid w:val="00032F3D"/>
    <w:rsid w:val="00033E4A"/>
    <w:rsid w:val="00033EEE"/>
    <w:rsid w:val="0003473D"/>
    <w:rsid w:val="0003691C"/>
    <w:rsid w:val="00044B01"/>
    <w:rsid w:val="000471E4"/>
    <w:rsid w:val="00053E58"/>
    <w:rsid w:val="000602EE"/>
    <w:rsid w:val="0006084D"/>
    <w:rsid w:val="00061B68"/>
    <w:rsid w:val="00061F85"/>
    <w:rsid w:val="0006314F"/>
    <w:rsid w:val="000644F6"/>
    <w:rsid w:val="00080EA6"/>
    <w:rsid w:val="00081F90"/>
    <w:rsid w:val="00083EB2"/>
    <w:rsid w:val="0008411D"/>
    <w:rsid w:val="00084D2C"/>
    <w:rsid w:val="00084DAA"/>
    <w:rsid w:val="000908AD"/>
    <w:rsid w:val="0009261F"/>
    <w:rsid w:val="000935B7"/>
    <w:rsid w:val="00093C5B"/>
    <w:rsid w:val="00094318"/>
    <w:rsid w:val="00096E60"/>
    <w:rsid w:val="000A0D19"/>
    <w:rsid w:val="000A29DB"/>
    <w:rsid w:val="000A4C94"/>
    <w:rsid w:val="000B0FF0"/>
    <w:rsid w:val="000B2C44"/>
    <w:rsid w:val="000B38FA"/>
    <w:rsid w:val="000B4EAD"/>
    <w:rsid w:val="000B570C"/>
    <w:rsid w:val="000B7985"/>
    <w:rsid w:val="000C0857"/>
    <w:rsid w:val="000C60FB"/>
    <w:rsid w:val="000D29F3"/>
    <w:rsid w:val="000D4CA2"/>
    <w:rsid w:val="000D51F1"/>
    <w:rsid w:val="000D6166"/>
    <w:rsid w:val="000E4D10"/>
    <w:rsid w:val="000E5514"/>
    <w:rsid w:val="000F478F"/>
    <w:rsid w:val="000F734A"/>
    <w:rsid w:val="000F7CDD"/>
    <w:rsid w:val="00102CF5"/>
    <w:rsid w:val="00103FBA"/>
    <w:rsid w:val="00106347"/>
    <w:rsid w:val="00120F42"/>
    <w:rsid w:val="00121797"/>
    <w:rsid w:val="00125739"/>
    <w:rsid w:val="0012600E"/>
    <w:rsid w:val="00131EA2"/>
    <w:rsid w:val="00135A1E"/>
    <w:rsid w:val="001378BE"/>
    <w:rsid w:val="001415FC"/>
    <w:rsid w:val="00146C8B"/>
    <w:rsid w:val="00147473"/>
    <w:rsid w:val="0015239C"/>
    <w:rsid w:val="00154AF9"/>
    <w:rsid w:val="00164288"/>
    <w:rsid w:val="001652FF"/>
    <w:rsid w:val="0016660D"/>
    <w:rsid w:val="00166669"/>
    <w:rsid w:val="00171E71"/>
    <w:rsid w:val="00176796"/>
    <w:rsid w:val="00176B23"/>
    <w:rsid w:val="00177F03"/>
    <w:rsid w:val="00180DCA"/>
    <w:rsid w:val="00183716"/>
    <w:rsid w:val="00184033"/>
    <w:rsid w:val="00184B5B"/>
    <w:rsid w:val="00185CBD"/>
    <w:rsid w:val="0019013E"/>
    <w:rsid w:val="001906A3"/>
    <w:rsid w:val="00191813"/>
    <w:rsid w:val="00192F14"/>
    <w:rsid w:val="00193800"/>
    <w:rsid w:val="00196E4D"/>
    <w:rsid w:val="001A13BD"/>
    <w:rsid w:val="001A4444"/>
    <w:rsid w:val="001A4687"/>
    <w:rsid w:val="001A5E03"/>
    <w:rsid w:val="001B18F8"/>
    <w:rsid w:val="001B3A88"/>
    <w:rsid w:val="001B53AC"/>
    <w:rsid w:val="001C05E8"/>
    <w:rsid w:val="001C6BED"/>
    <w:rsid w:val="001C78CD"/>
    <w:rsid w:val="001D1508"/>
    <w:rsid w:val="001D3BBF"/>
    <w:rsid w:val="001D4924"/>
    <w:rsid w:val="001D6D47"/>
    <w:rsid w:val="001E2FCE"/>
    <w:rsid w:val="001E3718"/>
    <w:rsid w:val="001E5D2F"/>
    <w:rsid w:val="001E5F16"/>
    <w:rsid w:val="001E6465"/>
    <w:rsid w:val="001E655D"/>
    <w:rsid w:val="001E7216"/>
    <w:rsid w:val="001F3AC1"/>
    <w:rsid w:val="001F3B78"/>
    <w:rsid w:val="001F540C"/>
    <w:rsid w:val="001F6968"/>
    <w:rsid w:val="00200282"/>
    <w:rsid w:val="00205C0B"/>
    <w:rsid w:val="00207D56"/>
    <w:rsid w:val="00210B3A"/>
    <w:rsid w:val="00210B70"/>
    <w:rsid w:val="0021267C"/>
    <w:rsid w:val="00212FA6"/>
    <w:rsid w:val="0022070B"/>
    <w:rsid w:val="00220B1D"/>
    <w:rsid w:val="00224B03"/>
    <w:rsid w:val="00224D91"/>
    <w:rsid w:val="002332A6"/>
    <w:rsid w:val="00234145"/>
    <w:rsid w:val="00235BCA"/>
    <w:rsid w:val="0023777F"/>
    <w:rsid w:val="00241059"/>
    <w:rsid w:val="002431E6"/>
    <w:rsid w:val="00244B52"/>
    <w:rsid w:val="002451CA"/>
    <w:rsid w:val="00246369"/>
    <w:rsid w:val="00247108"/>
    <w:rsid w:val="002560E2"/>
    <w:rsid w:val="002572B2"/>
    <w:rsid w:val="0026041E"/>
    <w:rsid w:val="002606E5"/>
    <w:rsid w:val="0026199D"/>
    <w:rsid w:val="002666B2"/>
    <w:rsid w:val="00270259"/>
    <w:rsid w:val="002705D2"/>
    <w:rsid w:val="00271E13"/>
    <w:rsid w:val="00276417"/>
    <w:rsid w:val="00277101"/>
    <w:rsid w:val="002773EE"/>
    <w:rsid w:val="002831E6"/>
    <w:rsid w:val="00286464"/>
    <w:rsid w:val="00287756"/>
    <w:rsid w:val="00291889"/>
    <w:rsid w:val="002925D8"/>
    <w:rsid w:val="0029747F"/>
    <w:rsid w:val="002A381C"/>
    <w:rsid w:val="002A5397"/>
    <w:rsid w:val="002A572C"/>
    <w:rsid w:val="002A6649"/>
    <w:rsid w:val="002A6AC8"/>
    <w:rsid w:val="002A6E36"/>
    <w:rsid w:val="002B24AA"/>
    <w:rsid w:val="002B2FB1"/>
    <w:rsid w:val="002B47CE"/>
    <w:rsid w:val="002B6F72"/>
    <w:rsid w:val="002C0A13"/>
    <w:rsid w:val="002C4D36"/>
    <w:rsid w:val="002C6B44"/>
    <w:rsid w:val="002C71F2"/>
    <w:rsid w:val="002C72FF"/>
    <w:rsid w:val="002D0A73"/>
    <w:rsid w:val="002D3F9A"/>
    <w:rsid w:val="002D52EE"/>
    <w:rsid w:val="002E2815"/>
    <w:rsid w:val="002E348B"/>
    <w:rsid w:val="002E4678"/>
    <w:rsid w:val="002E4732"/>
    <w:rsid w:val="002F2A15"/>
    <w:rsid w:val="002F35F7"/>
    <w:rsid w:val="003023A0"/>
    <w:rsid w:val="0030310D"/>
    <w:rsid w:val="00310980"/>
    <w:rsid w:val="00312C4B"/>
    <w:rsid w:val="00314819"/>
    <w:rsid w:val="0031612E"/>
    <w:rsid w:val="00323D83"/>
    <w:rsid w:val="003242A3"/>
    <w:rsid w:val="00330315"/>
    <w:rsid w:val="00330932"/>
    <w:rsid w:val="003355E9"/>
    <w:rsid w:val="00335E0E"/>
    <w:rsid w:val="003371B4"/>
    <w:rsid w:val="00337C34"/>
    <w:rsid w:val="00337F4C"/>
    <w:rsid w:val="003413EC"/>
    <w:rsid w:val="00342FCE"/>
    <w:rsid w:val="00343F41"/>
    <w:rsid w:val="00352719"/>
    <w:rsid w:val="00356480"/>
    <w:rsid w:val="00360B0E"/>
    <w:rsid w:val="003615FB"/>
    <w:rsid w:val="003711C0"/>
    <w:rsid w:val="003734D3"/>
    <w:rsid w:val="00374264"/>
    <w:rsid w:val="00375A37"/>
    <w:rsid w:val="00377098"/>
    <w:rsid w:val="00380BE2"/>
    <w:rsid w:val="00382683"/>
    <w:rsid w:val="0038295F"/>
    <w:rsid w:val="00383BB6"/>
    <w:rsid w:val="00384766"/>
    <w:rsid w:val="0038504E"/>
    <w:rsid w:val="003858D5"/>
    <w:rsid w:val="00392AC2"/>
    <w:rsid w:val="003A0B81"/>
    <w:rsid w:val="003A74B7"/>
    <w:rsid w:val="003B17EA"/>
    <w:rsid w:val="003B19D7"/>
    <w:rsid w:val="003B2692"/>
    <w:rsid w:val="003B3277"/>
    <w:rsid w:val="003B7F94"/>
    <w:rsid w:val="003C0EF3"/>
    <w:rsid w:val="003C1C0C"/>
    <w:rsid w:val="003C2CDF"/>
    <w:rsid w:val="003C6385"/>
    <w:rsid w:val="003C69DD"/>
    <w:rsid w:val="003C6FEF"/>
    <w:rsid w:val="003D46A5"/>
    <w:rsid w:val="003D4B50"/>
    <w:rsid w:val="003D66BD"/>
    <w:rsid w:val="003E1C5E"/>
    <w:rsid w:val="003E4795"/>
    <w:rsid w:val="003F0366"/>
    <w:rsid w:val="003F479C"/>
    <w:rsid w:val="003F7F86"/>
    <w:rsid w:val="00406D9D"/>
    <w:rsid w:val="004151F3"/>
    <w:rsid w:val="00417A3F"/>
    <w:rsid w:val="0042081D"/>
    <w:rsid w:val="0042119F"/>
    <w:rsid w:val="004226D7"/>
    <w:rsid w:val="00423508"/>
    <w:rsid w:val="00424ADA"/>
    <w:rsid w:val="00426430"/>
    <w:rsid w:val="0044439A"/>
    <w:rsid w:val="00447762"/>
    <w:rsid w:val="00450B7A"/>
    <w:rsid w:val="004510B2"/>
    <w:rsid w:val="00452E75"/>
    <w:rsid w:val="00453309"/>
    <w:rsid w:val="00456535"/>
    <w:rsid w:val="00456A67"/>
    <w:rsid w:val="004572A8"/>
    <w:rsid w:val="004609BE"/>
    <w:rsid w:val="0046106B"/>
    <w:rsid w:val="00463013"/>
    <w:rsid w:val="00463ABF"/>
    <w:rsid w:val="00463DBB"/>
    <w:rsid w:val="00464544"/>
    <w:rsid w:val="00467362"/>
    <w:rsid w:val="00467924"/>
    <w:rsid w:val="00471B82"/>
    <w:rsid w:val="00475BFB"/>
    <w:rsid w:val="004763AA"/>
    <w:rsid w:val="00486407"/>
    <w:rsid w:val="00493212"/>
    <w:rsid w:val="004A002F"/>
    <w:rsid w:val="004A25A7"/>
    <w:rsid w:val="004A417F"/>
    <w:rsid w:val="004A4455"/>
    <w:rsid w:val="004A57C9"/>
    <w:rsid w:val="004B19B6"/>
    <w:rsid w:val="004B4F60"/>
    <w:rsid w:val="004C1457"/>
    <w:rsid w:val="004C2725"/>
    <w:rsid w:val="004D0CC7"/>
    <w:rsid w:val="004D1903"/>
    <w:rsid w:val="004D5354"/>
    <w:rsid w:val="004D578B"/>
    <w:rsid w:val="004D57DB"/>
    <w:rsid w:val="004D5A7C"/>
    <w:rsid w:val="004D6574"/>
    <w:rsid w:val="004D7BB2"/>
    <w:rsid w:val="004E039F"/>
    <w:rsid w:val="004E053D"/>
    <w:rsid w:val="004E25E2"/>
    <w:rsid w:val="004E3670"/>
    <w:rsid w:val="004E381F"/>
    <w:rsid w:val="004E3BF3"/>
    <w:rsid w:val="004E4375"/>
    <w:rsid w:val="004E514D"/>
    <w:rsid w:val="004E664B"/>
    <w:rsid w:val="004E7219"/>
    <w:rsid w:val="004E7872"/>
    <w:rsid w:val="004F5F2B"/>
    <w:rsid w:val="004F656D"/>
    <w:rsid w:val="004F76E3"/>
    <w:rsid w:val="0050050B"/>
    <w:rsid w:val="0050128F"/>
    <w:rsid w:val="005030B7"/>
    <w:rsid w:val="005106E9"/>
    <w:rsid w:val="00513957"/>
    <w:rsid w:val="005170F0"/>
    <w:rsid w:val="00517459"/>
    <w:rsid w:val="00522CB9"/>
    <w:rsid w:val="00523279"/>
    <w:rsid w:val="0052392A"/>
    <w:rsid w:val="00523965"/>
    <w:rsid w:val="005319A4"/>
    <w:rsid w:val="0053398D"/>
    <w:rsid w:val="00533CB6"/>
    <w:rsid w:val="0053503C"/>
    <w:rsid w:val="005403F2"/>
    <w:rsid w:val="00543269"/>
    <w:rsid w:val="00544A7C"/>
    <w:rsid w:val="0055003D"/>
    <w:rsid w:val="00551364"/>
    <w:rsid w:val="005525D3"/>
    <w:rsid w:val="00552AF7"/>
    <w:rsid w:val="00553801"/>
    <w:rsid w:val="005539C6"/>
    <w:rsid w:val="00553A39"/>
    <w:rsid w:val="00553D50"/>
    <w:rsid w:val="00556C60"/>
    <w:rsid w:val="0056066B"/>
    <w:rsid w:val="005623F5"/>
    <w:rsid w:val="00562455"/>
    <w:rsid w:val="0056314F"/>
    <w:rsid w:val="00563A0B"/>
    <w:rsid w:val="005717E9"/>
    <w:rsid w:val="00574EC5"/>
    <w:rsid w:val="00577B5C"/>
    <w:rsid w:val="0058424C"/>
    <w:rsid w:val="00584EAB"/>
    <w:rsid w:val="005863A7"/>
    <w:rsid w:val="0059770F"/>
    <w:rsid w:val="00597B7F"/>
    <w:rsid w:val="005A5043"/>
    <w:rsid w:val="005B039B"/>
    <w:rsid w:val="005B155B"/>
    <w:rsid w:val="005B248C"/>
    <w:rsid w:val="005B3CF6"/>
    <w:rsid w:val="005B5026"/>
    <w:rsid w:val="005C07AB"/>
    <w:rsid w:val="005C58F7"/>
    <w:rsid w:val="005C7276"/>
    <w:rsid w:val="005D0189"/>
    <w:rsid w:val="005D25D3"/>
    <w:rsid w:val="005D7C59"/>
    <w:rsid w:val="005E0107"/>
    <w:rsid w:val="005E090C"/>
    <w:rsid w:val="005E2831"/>
    <w:rsid w:val="005E4881"/>
    <w:rsid w:val="005E6ABC"/>
    <w:rsid w:val="005F1CF1"/>
    <w:rsid w:val="005F3B41"/>
    <w:rsid w:val="005F4BD2"/>
    <w:rsid w:val="005F65B4"/>
    <w:rsid w:val="005F6802"/>
    <w:rsid w:val="005F6D3C"/>
    <w:rsid w:val="005F75ED"/>
    <w:rsid w:val="005F7CFF"/>
    <w:rsid w:val="00607CC8"/>
    <w:rsid w:val="00610F49"/>
    <w:rsid w:val="00611BD0"/>
    <w:rsid w:val="006137A4"/>
    <w:rsid w:val="0061486F"/>
    <w:rsid w:val="00615980"/>
    <w:rsid w:val="006217C8"/>
    <w:rsid w:val="006221EC"/>
    <w:rsid w:val="00622393"/>
    <w:rsid w:val="00624E80"/>
    <w:rsid w:val="006273F5"/>
    <w:rsid w:val="006335D0"/>
    <w:rsid w:val="00634818"/>
    <w:rsid w:val="00634ACE"/>
    <w:rsid w:val="0063575A"/>
    <w:rsid w:val="00636727"/>
    <w:rsid w:val="00636F6F"/>
    <w:rsid w:val="0064310D"/>
    <w:rsid w:val="006449AE"/>
    <w:rsid w:val="00650F76"/>
    <w:rsid w:val="006511B1"/>
    <w:rsid w:val="006514B7"/>
    <w:rsid w:val="00651C6F"/>
    <w:rsid w:val="00652414"/>
    <w:rsid w:val="00653204"/>
    <w:rsid w:val="00654549"/>
    <w:rsid w:val="00660924"/>
    <w:rsid w:val="00660A27"/>
    <w:rsid w:val="00661489"/>
    <w:rsid w:val="00661E49"/>
    <w:rsid w:val="00662B0E"/>
    <w:rsid w:val="00663C56"/>
    <w:rsid w:val="00664FA5"/>
    <w:rsid w:val="00665EE0"/>
    <w:rsid w:val="006670FF"/>
    <w:rsid w:val="0067655C"/>
    <w:rsid w:val="00684AEF"/>
    <w:rsid w:val="00685FB2"/>
    <w:rsid w:val="006908D3"/>
    <w:rsid w:val="00691304"/>
    <w:rsid w:val="006913B6"/>
    <w:rsid w:val="00693AAB"/>
    <w:rsid w:val="006943AF"/>
    <w:rsid w:val="0069685B"/>
    <w:rsid w:val="006A1C56"/>
    <w:rsid w:val="006B12A4"/>
    <w:rsid w:val="006B342C"/>
    <w:rsid w:val="006B4024"/>
    <w:rsid w:val="006B4545"/>
    <w:rsid w:val="006B4A0C"/>
    <w:rsid w:val="006B4EE8"/>
    <w:rsid w:val="006B683D"/>
    <w:rsid w:val="006B7429"/>
    <w:rsid w:val="006C0560"/>
    <w:rsid w:val="006C26EC"/>
    <w:rsid w:val="006C7212"/>
    <w:rsid w:val="006D060D"/>
    <w:rsid w:val="006D1428"/>
    <w:rsid w:val="006D5288"/>
    <w:rsid w:val="006D546B"/>
    <w:rsid w:val="006D640A"/>
    <w:rsid w:val="006D721C"/>
    <w:rsid w:val="006E072B"/>
    <w:rsid w:val="006E130B"/>
    <w:rsid w:val="006E238E"/>
    <w:rsid w:val="006E566D"/>
    <w:rsid w:val="006E5944"/>
    <w:rsid w:val="006E61C6"/>
    <w:rsid w:val="006E716B"/>
    <w:rsid w:val="006F30C5"/>
    <w:rsid w:val="006F3FA9"/>
    <w:rsid w:val="007012C0"/>
    <w:rsid w:val="00702E01"/>
    <w:rsid w:val="00703F19"/>
    <w:rsid w:val="00704F7D"/>
    <w:rsid w:val="00705048"/>
    <w:rsid w:val="007065F1"/>
    <w:rsid w:val="00707906"/>
    <w:rsid w:val="0071028C"/>
    <w:rsid w:val="00710618"/>
    <w:rsid w:val="00710E33"/>
    <w:rsid w:val="00712B2C"/>
    <w:rsid w:val="007143D6"/>
    <w:rsid w:val="007157E1"/>
    <w:rsid w:val="007172F7"/>
    <w:rsid w:val="00717A8C"/>
    <w:rsid w:val="00725A96"/>
    <w:rsid w:val="00726BDF"/>
    <w:rsid w:val="00734DF8"/>
    <w:rsid w:val="007426FD"/>
    <w:rsid w:val="007429FA"/>
    <w:rsid w:val="00745755"/>
    <w:rsid w:val="00747599"/>
    <w:rsid w:val="00756852"/>
    <w:rsid w:val="00762BB9"/>
    <w:rsid w:val="007659C0"/>
    <w:rsid w:val="00770099"/>
    <w:rsid w:val="00770BC3"/>
    <w:rsid w:val="007724D1"/>
    <w:rsid w:val="00775CAB"/>
    <w:rsid w:val="0077747E"/>
    <w:rsid w:val="00777A92"/>
    <w:rsid w:val="007843E3"/>
    <w:rsid w:val="00794031"/>
    <w:rsid w:val="007A6067"/>
    <w:rsid w:val="007B4EE7"/>
    <w:rsid w:val="007C3807"/>
    <w:rsid w:val="007C69AF"/>
    <w:rsid w:val="007C6D66"/>
    <w:rsid w:val="007C79AA"/>
    <w:rsid w:val="007D043C"/>
    <w:rsid w:val="007D1D38"/>
    <w:rsid w:val="007D2158"/>
    <w:rsid w:val="007D3A36"/>
    <w:rsid w:val="007D5978"/>
    <w:rsid w:val="007D6975"/>
    <w:rsid w:val="007D7046"/>
    <w:rsid w:val="007D790E"/>
    <w:rsid w:val="007D7917"/>
    <w:rsid w:val="007E19BC"/>
    <w:rsid w:val="007E21D6"/>
    <w:rsid w:val="007F0AAC"/>
    <w:rsid w:val="007F4369"/>
    <w:rsid w:val="007F54CB"/>
    <w:rsid w:val="007F775D"/>
    <w:rsid w:val="00803A9E"/>
    <w:rsid w:val="00804DC5"/>
    <w:rsid w:val="00806358"/>
    <w:rsid w:val="00806625"/>
    <w:rsid w:val="008071F7"/>
    <w:rsid w:val="0080729F"/>
    <w:rsid w:val="00807471"/>
    <w:rsid w:val="00807C4C"/>
    <w:rsid w:val="00810CB0"/>
    <w:rsid w:val="00811901"/>
    <w:rsid w:val="00815619"/>
    <w:rsid w:val="00815E45"/>
    <w:rsid w:val="008166BC"/>
    <w:rsid w:val="008230DA"/>
    <w:rsid w:val="00824271"/>
    <w:rsid w:val="00825812"/>
    <w:rsid w:val="00825FA7"/>
    <w:rsid w:val="008300BE"/>
    <w:rsid w:val="008373EA"/>
    <w:rsid w:val="00840917"/>
    <w:rsid w:val="00841029"/>
    <w:rsid w:val="00842EA5"/>
    <w:rsid w:val="00850178"/>
    <w:rsid w:val="00850757"/>
    <w:rsid w:val="0085210D"/>
    <w:rsid w:val="00854FCC"/>
    <w:rsid w:val="00857523"/>
    <w:rsid w:val="0086463D"/>
    <w:rsid w:val="00864650"/>
    <w:rsid w:val="00867B13"/>
    <w:rsid w:val="00871CAB"/>
    <w:rsid w:val="00875D93"/>
    <w:rsid w:val="00887135"/>
    <w:rsid w:val="00890BCD"/>
    <w:rsid w:val="00893D6E"/>
    <w:rsid w:val="00895F6D"/>
    <w:rsid w:val="008A0044"/>
    <w:rsid w:val="008A1549"/>
    <w:rsid w:val="008A32BF"/>
    <w:rsid w:val="008A6A8C"/>
    <w:rsid w:val="008B17C9"/>
    <w:rsid w:val="008B19CA"/>
    <w:rsid w:val="008B1D6D"/>
    <w:rsid w:val="008B4670"/>
    <w:rsid w:val="008B5B79"/>
    <w:rsid w:val="008C2D2B"/>
    <w:rsid w:val="008C3396"/>
    <w:rsid w:val="008C3407"/>
    <w:rsid w:val="008C6503"/>
    <w:rsid w:val="008D3344"/>
    <w:rsid w:val="008D3B53"/>
    <w:rsid w:val="008D6295"/>
    <w:rsid w:val="008E179B"/>
    <w:rsid w:val="008E49DC"/>
    <w:rsid w:val="008E5974"/>
    <w:rsid w:val="008E6AC7"/>
    <w:rsid w:val="008F0F82"/>
    <w:rsid w:val="008F47AB"/>
    <w:rsid w:val="008F662C"/>
    <w:rsid w:val="009004D4"/>
    <w:rsid w:val="00903035"/>
    <w:rsid w:val="0090320E"/>
    <w:rsid w:val="00904BD3"/>
    <w:rsid w:val="009060CB"/>
    <w:rsid w:val="00916A8F"/>
    <w:rsid w:val="00917D66"/>
    <w:rsid w:val="00917E35"/>
    <w:rsid w:val="00917F22"/>
    <w:rsid w:val="0092398F"/>
    <w:rsid w:val="00926AB4"/>
    <w:rsid w:val="00934D02"/>
    <w:rsid w:val="00934E3C"/>
    <w:rsid w:val="00935CAC"/>
    <w:rsid w:val="009412FA"/>
    <w:rsid w:val="009423FC"/>
    <w:rsid w:val="009440A3"/>
    <w:rsid w:val="00950989"/>
    <w:rsid w:val="00950CD1"/>
    <w:rsid w:val="00951D6E"/>
    <w:rsid w:val="00953058"/>
    <w:rsid w:val="00954753"/>
    <w:rsid w:val="0095559D"/>
    <w:rsid w:val="009625D9"/>
    <w:rsid w:val="00980272"/>
    <w:rsid w:val="00985437"/>
    <w:rsid w:val="00985A8D"/>
    <w:rsid w:val="00985D5B"/>
    <w:rsid w:val="00986024"/>
    <w:rsid w:val="0099010B"/>
    <w:rsid w:val="00990A62"/>
    <w:rsid w:val="009923E1"/>
    <w:rsid w:val="009934D7"/>
    <w:rsid w:val="009966F7"/>
    <w:rsid w:val="009A0BA1"/>
    <w:rsid w:val="009A2A41"/>
    <w:rsid w:val="009A6A6A"/>
    <w:rsid w:val="009B023E"/>
    <w:rsid w:val="009B24AE"/>
    <w:rsid w:val="009B5EAF"/>
    <w:rsid w:val="009B7B45"/>
    <w:rsid w:val="009C59A0"/>
    <w:rsid w:val="009C79F3"/>
    <w:rsid w:val="009C7D4A"/>
    <w:rsid w:val="009C7EB1"/>
    <w:rsid w:val="009D744F"/>
    <w:rsid w:val="009E34F6"/>
    <w:rsid w:val="009E4C4D"/>
    <w:rsid w:val="009F768E"/>
    <w:rsid w:val="00A01C61"/>
    <w:rsid w:val="00A04962"/>
    <w:rsid w:val="00A04EE4"/>
    <w:rsid w:val="00A10619"/>
    <w:rsid w:val="00A11950"/>
    <w:rsid w:val="00A13CA8"/>
    <w:rsid w:val="00A2286E"/>
    <w:rsid w:val="00A242D0"/>
    <w:rsid w:val="00A2774D"/>
    <w:rsid w:val="00A30799"/>
    <w:rsid w:val="00A356C3"/>
    <w:rsid w:val="00A405AF"/>
    <w:rsid w:val="00A40E99"/>
    <w:rsid w:val="00A427E8"/>
    <w:rsid w:val="00A508CB"/>
    <w:rsid w:val="00A542E3"/>
    <w:rsid w:val="00A56E7C"/>
    <w:rsid w:val="00A66652"/>
    <w:rsid w:val="00A67FDE"/>
    <w:rsid w:val="00A70255"/>
    <w:rsid w:val="00A75A99"/>
    <w:rsid w:val="00A85A81"/>
    <w:rsid w:val="00A91984"/>
    <w:rsid w:val="00A9414D"/>
    <w:rsid w:val="00A9421C"/>
    <w:rsid w:val="00A94DDE"/>
    <w:rsid w:val="00A95921"/>
    <w:rsid w:val="00A96B52"/>
    <w:rsid w:val="00AA6CD3"/>
    <w:rsid w:val="00AA6F3B"/>
    <w:rsid w:val="00AB0617"/>
    <w:rsid w:val="00AB0BC8"/>
    <w:rsid w:val="00AB123B"/>
    <w:rsid w:val="00AB2D79"/>
    <w:rsid w:val="00AB2DD9"/>
    <w:rsid w:val="00AB3C2E"/>
    <w:rsid w:val="00AB5794"/>
    <w:rsid w:val="00AC4603"/>
    <w:rsid w:val="00AC6E6F"/>
    <w:rsid w:val="00AD1935"/>
    <w:rsid w:val="00AD1A09"/>
    <w:rsid w:val="00AD1C65"/>
    <w:rsid w:val="00AD7834"/>
    <w:rsid w:val="00AD7A82"/>
    <w:rsid w:val="00AE43FD"/>
    <w:rsid w:val="00AE4646"/>
    <w:rsid w:val="00AE7510"/>
    <w:rsid w:val="00AF215D"/>
    <w:rsid w:val="00AF4889"/>
    <w:rsid w:val="00B011E4"/>
    <w:rsid w:val="00B03683"/>
    <w:rsid w:val="00B11EAE"/>
    <w:rsid w:val="00B133ED"/>
    <w:rsid w:val="00B220A6"/>
    <w:rsid w:val="00B2487A"/>
    <w:rsid w:val="00B31685"/>
    <w:rsid w:val="00B335BA"/>
    <w:rsid w:val="00B36AEC"/>
    <w:rsid w:val="00B37B89"/>
    <w:rsid w:val="00B40E99"/>
    <w:rsid w:val="00B45602"/>
    <w:rsid w:val="00B47F50"/>
    <w:rsid w:val="00B50CA0"/>
    <w:rsid w:val="00B51181"/>
    <w:rsid w:val="00B51709"/>
    <w:rsid w:val="00B5735A"/>
    <w:rsid w:val="00B60995"/>
    <w:rsid w:val="00B63B5B"/>
    <w:rsid w:val="00B669D5"/>
    <w:rsid w:val="00B72AF4"/>
    <w:rsid w:val="00B7408F"/>
    <w:rsid w:val="00B763A5"/>
    <w:rsid w:val="00B76DEA"/>
    <w:rsid w:val="00B83EAA"/>
    <w:rsid w:val="00B84905"/>
    <w:rsid w:val="00B855F5"/>
    <w:rsid w:val="00B8647C"/>
    <w:rsid w:val="00B86B9D"/>
    <w:rsid w:val="00B90474"/>
    <w:rsid w:val="00B94D5E"/>
    <w:rsid w:val="00B96C47"/>
    <w:rsid w:val="00BA3215"/>
    <w:rsid w:val="00BB20C3"/>
    <w:rsid w:val="00BB37BF"/>
    <w:rsid w:val="00BB574B"/>
    <w:rsid w:val="00BB5EFD"/>
    <w:rsid w:val="00BB6BF7"/>
    <w:rsid w:val="00BC3261"/>
    <w:rsid w:val="00BD0353"/>
    <w:rsid w:val="00BD0F23"/>
    <w:rsid w:val="00BD24EB"/>
    <w:rsid w:val="00BD399A"/>
    <w:rsid w:val="00BD63C9"/>
    <w:rsid w:val="00BD708C"/>
    <w:rsid w:val="00BE0EAA"/>
    <w:rsid w:val="00BE0F4A"/>
    <w:rsid w:val="00BE1816"/>
    <w:rsid w:val="00BE194F"/>
    <w:rsid w:val="00BE2321"/>
    <w:rsid w:val="00BE3FC4"/>
    <w:rsid w:val="00BE4E23"/>
    <w:rsid w:val="00BE7948"/>
    <w:rsid w:val="00BF116E"/>
    <w:rsid w:val="00BF1497"/>
    <w:rsid w:val="00BF1ADB"/>
    <w:rsid w:val="00BF2F6F"/>
    <w:rsid w:val="00BF549F"/>
    <w:rsid w:val="00BF55EE"/>
    <w:rsid w:val="00BF615C"/>
    <w:rsid w:val="00C01170"/>
    <w:rsid w:val="00C02D68"/>
    <w:rsid w:val="00C040ED"/>
    <w:rsid w:val="00C050CB"/>
    <w:rsid w:val="00C06355"/>
    <w:rsid w:val="00C07082"/>
    <w:rsid w:val="00C07D71"/>
    <w:rsid w:val="00C07D7B"/>
    <w:rsid w:val="00C1161C"/>
    <w:rsid w:val="00C11B8B"/>
    <w:rsid w:val="00C12F0F"/>
    <w:rsid w:val="00C1552F"/>
    <w:rsid w:val="00C1683A"/>
    <w:rsid w:val="00C21BFC"/>
    <w:rsid w:val="00C220E3"/>
    <w:rsid w:val="00C22311"/>
    <w:rsid w:val="00C2526F"/>
    <w:rsid w:val="00C25482"/>
    <w:rsid w:val="00C2719B"/>
    <w:rsid w:val="00C3176E"/>
    <w:rsid w:val="00C32C83"/>
    <w:rsid w:val="00C40A1C"/>
    <w:rsid w:val="00C41615"/>
    <w:rsid w:val="00C43084"/>
    <w:rsid w:val="00C44E46"/>
    <w:rsid w:val="00C45404"/>
    <w:rsid w:val="00C47A3A"/>
    <w:rsid w:val="00C47CAD"/>
    <w:rsid w:val="00C51318"/>
    <w:rsid w:val="00C51F92"/>
    <w:rsid w:val="00C55A9C"/>
    <w:rsid w:val="00C56073"/>
    <w:rsid w:val="00C611C9"/>
    <w:rsid w:val="00C6200A"/>
    <w:rsid w:val="00C6502C"/>
    <w:rsid w:val="00C66C0B"/>
    <w:rsid w:val="00C71D6B"/>
    <w:rsid w:val="00C7384A"/>
    <w:rsid w:val="00C743F6"/>
    <w:rsid w:val="00C808F2"/>
    <w:rsid w:val="00C81D11"/>
    <w:rsid w:val="00C81E1B"/>
    <w:rsid w:val="00C82D9C"/>
    <w:rsid w:val="00C83974"/>
    <w:rsid w:val="00C84E31"/>
    <w:rsid w:val="00C853EF"/>
    <w:rsid w:val="00C874E5"/>
    <w:rsid w:val="00C927B2"/>
    <w:rsid w:val="00C93B45"/>
    <w:rsid w:val="00C93FA1"/>
    <w:rsid w:val="00C960B7"/>
    <w:rsid w:val="00C96B2F"/>
    <w:rsid w:val="00CA1190"/>
    <w:rsid w:val="00CA4090"/>
    <w:rsid w:val="00CA7F9C"/>
    <w:rsid w:val="00CC47BA"/>
    <w:rsid w:val="00CC4B59"/>
    <w:rsid w:val="00CC52EC"/>
    <w:rsid w:val="00CD1EBE"/>
    <w:rsid w:val="00CD548E"/>
    <w:rsid w:val="00CD57DA"/>
    <w:rsid w:val="00CE063A"/>
    <w:rsid w:val="00CE1ED2"/>
    <w:rsid w:val="00CE292D"/>
    <w:rsid w:val="00CE37C5"/>
    <w:rsid w:val="00CE45B6"/>
    <w:rsid w:val="00CE6FB8"/>
    <w:rsid w:val="00CF024B"/>
    <w:rsid w:val="00CF0586"/>
    <w:rsid w:val="00CF7BF1"/>
    <w:rsid w:val="00D02632"/>
    <w:rsid w:val="00D03B68"/>
    <w:rsid w:val="00D06C6B"/>
    <w:rsid w:val="00D07BAF"/>
    <w:rsid w:val="00D136C3"/>
    <w:rsid w:val="00D156F0"/>
    <w:rsid w:val="00D22E38"/>
    <w:rsid w:val="00D23E56"/>
    <w:rsid w:val="00D2623A"/>
    <w:rsid w:val="00D265B4"/>
    <w:rsid w:val="00D31DC8"/>
    <w:rsid w:val="00D35BF0"/>
    <w:rsid w:val="00D40A41"/>
    <w:rsid w:val="00D41A04"/>
    <w:rsid w:val="00D4399C"/>
    <w:rsid w:val="00D46F70"/>
    <w:rsid w:val="00D473D3"/>
    <w:rsid w:val="00D47FF3"/>
    <w:rsid w:val="00D504A3"/>
    <w:rsid w:val="00D505B8"/>
    <w:rsid w:val="00D51161"/>
    <w:rsid w:val="00D5155E"/>
    <w:rsid w:val="00D51FBF"/>
    <w:rsid w:val="00D603CB"/>
    <w:rsid w:val="00D609D1"/>
    <w:rsid w:val="00D63EA5"/>
    <w:rsid w:val="00D65068"/>
    <w:rsid w:val="00D660C1"/>
    <w:rsid w:val="00D66FC2"/>
    <w:rsid w:val="00D67C64"/>
    <w:rsid w:val="00D67FAC"/>
    <w:rsid w:val="00D72565"/>
    <w:rsid w:val="00D74729"/>
    <w:rsid w:val="00D824D3"/>
    <w:rsid w:val="00D872A4"/>
    <w:rsid w:val="00D904EF"/>
    <w:rsid w:val="00D90E88"/>
    <w:rsid w:val="00D911F2"/>
    <w:rsid w:val="00D93DDA"/>
    <w:rsid w:val="00D93F38"/>
    <w:rsid w:val="00D942B1"/>
    <w:rsid w:val="00DA12A6"/>
    <w:rsid w:val="00DA19CD"/>
    <w:rsid w:val="00DB09FE"/>
    <w:rsid w:val="00DB1AAB"/>
    <w:rsid w:val="00DC08D2"/>
    <w:rsid w:val="00DC48AE"/>
    <w:rsid w:val="00DC5519"/>
    <w:rsid w:val="00DD0598"/>
    <w:rsid w:val="00DD2632"/>
    <w:rsid w:val="00DD51A5"/>
    <w:rsid w:val="00DD5C87"/>
    <w:rsid w:val="00DD7855"/>
    <w:rsid w:val="00DE0B69"/>
    <w:rsid w:val="00DE14C7"/>
    <w:rsid w:val="00DE23F2"/>
    <w:rsid w:val="00DE3C90"/>
    <w:rsid w:val="00DE3D22"/>
    <w:rsid w:val="00DE4D7D"/>
    <w:rsid w:val="00DE5AC6"/>
    <w:rsid w:val="00DF138C"/>
    <w:rsid w:val="00DF4A77"/>
    <w:rsid w:val="00DF554A"/>
    <w:rsid w:val="00DF6A22"/>
    <w:rsid w:val="00DF6F79"/>
    <w:rsid w:val="00DF7CA2"/>
    <w:rsid w:val="00E0076A"/>
    <w:rsid w:val="00E05EDA"/>
    <w:rsid w:val="00E11DAD"/>
    <w:rsid w:val="00E122F1"/>
    <w:rsid w:val="00E12ADB"/>
    <w:rsid w:val="00E229C5"/>
    <w:rsid w:val="00E22AAD"/>
    <w:rsid w:val="00E25398"/>
    <w:rsid w:val="00E25B72"/>
    <w:rsid w:val="00E31F2A"/>
    <w:rsid w:val="00E335F9"/>
    <w:rsid w:val="00E33BD7"/>
    <w:rsid w:val="00E45030"/>
    <w:rsid w:val="00E45930"/>
    <w:rsid w:val="00E50E54"/>
    <w:rsid w:val="00E52A46"/>
    <w:rsid w:val="00E5451A"/>
    <w:rsid w:val="00E54E6C"/>
    <w:rsid w:val="00E55A63"/>
    <w:rsid w:val="00E56278"/>
    <w:rsid w:val="00E56327"/>
    <w:rsid w:val="00E617F8"/>
    <w:rsid w:val="00E645EB"/>
    <w:rsid w:val="00E67E20"/>
    <w:rsid w:val="00E70471"/>
    <w:rsid w:val="00E7157F"/>
    <w:rsid w:val="00E71F38"/>
    <w:rsid w:val="00E7344B"/>
    <w:rsid w:val="00E762B6"/>
    <w:rsid w:val="00E808DB"/>
    <w:rsid w:val="00E80F4B"/>
    <w:rsid w:val="00E82BA3"/>
    <w:rsid w:val="00E83C60"/>
    <w:rsid w:val="00E90772"/>
    <w:rsid w:val="00E90EDE"/>
    <w:rsid w:val="00E92562"/>
    <w:rsid w:val="00E94DE1"/>
    <w:rsid w:val="00E95C5C"/>
    <w:rsid w:val="00E97B5F"/>
    <w:rsid w:val="00EA176A"/>
    <w:rsid w:val="00EA1A0A"/>
    <w:rsid w:val="00EA1E5B"/>
    <w:rsid w:val="00EA5DB3"/>
    <w:rsid w:val="00EB1D28"/>
    <w:rsid w:val="00EB1ECE"/>
    <w:rsid w:val="00EB2AA4"/>
    <w:rsid w:val="00EB40E2"/>
    <w:rsid w:val="00EC21EA"/>
    <w:rsid w:val="00EC76D5"/>
    <w:rsid w:val="00EE53F4"/>
    <w:rsid w:val="00EE667C"/>
    <w:rsid w:val="00EE6ED3"/>
    <w:rsid w:val="00EF0A90"/>
    <w:rsid w:val="00EF1599"/>
    <w:rsid w:val="00EF26DC"/>
    <w:rsid w:val="00EF28BA"/>
    <w:rsid w:val="00EF2D8F"/>
    <w:rsid w:val="00F00CA9"/>
    <w:rsid w:val="00F03ED2"/>
    <w:rsid w:val="00F04AEE"/>
    <w:rsid w:val="00F0573C"/>
    <w:rsid w:val="00F06A02"/>
    <w:rsid w:val="00F110BA"/>
    <w:rsid w:val="00F11899"/>
    <w:rsid w:val="00F122BB"/>
    <w:rsid w:val="00F12F8A"/>
    <w:rsid w:val="00F140FF"/>
    <w:rsid w:val="00F156F3"/>
    <w:rsid w:val="00F16B5D"/>
    <w:rsid w:val="00F20985"/>
    <w:rsid w:val="00F2191E"/>
    <w:rsid w:val="00F21BA7"/>
    <w:rsid w:val="00F221C4"/>
    <w:rsid w:val="00F243DA"/>
    <w:rsid w:val="00F26121"/>
    <w:rsid w:val="00F30C90"/>
    <w:rsid w:val="00F33731"/>
    <w:rsid w:val="00F35A29"/>
    <w:rsid w:val="00F41795"/>
    <w:rsid w:val="00F44AEC"/>
    <w:rsid w:val="00F450AF"/>
    <w:rsid w:val="00F47FCC"/>
    <w:rsid w:val="00F50280"/>
    <w:rsid w:val="00F56A92"/>
    <w:rsid w:val="00F57825"/>
    <w:rsid w:val="00F61211"/>
    <w:rsid w:val="00F64BAE"/>
    <w:rsid w:val="00F65CEF"/>
    <w:rsid w:val="00F72D5F"/>
    <w:rsid w:val="00F8117A"/>
    <w:rsid w:val="00F81B2F"/>
    <w:rsid w:val="00F87957"/>
    <w:rsid w:val="00F9365D"/>
    <w:rsid w:val="00F97203"/>
    <w:rsid w:val="00F972A2"/>
    <w:rsid w:val="00F97B52"/>
    <w:rsid w:val="00FA0597"/>
    <w:rsid w:val="00FA1922"/>
    <w:rsid w:val="00FA1BB6"/>
    <w:rsid w:val="00FA2F9E"/>
    <w:rsid w:val="00FA321D"/>
    <w:rsid w:val="00FA36B8"/>
    <w:rsid w:val="00FA715E"/>
    <w:rsid w:val="00FB0F22"/>
    <w:rsid w:val="00FB3D83"/>
    <w:rsid w:val="00FC0473"/>
    <w:rsid w:val="00FC1BEE"/>
    <w:rsid w:val="00FC43CA"/>
    <w:rsid w:val="00FC48AB"/>
    <w:rsid w:val="00FC60E2"/>
    <w:rsid w:val="00FC7783"/>
    <w:rsid w:val="00FD01B0"/>
    <w:rsid w:val="00FD14F3"/>
    <w:rsid w:val="00FD5083"/>
    <w:rsid w:val="00FD63B7"/>
    <w:rsid w:val="00FD7691"/>
    <w:rsid w:val="00FE00A1"/>
    <w:rsid w:val="00FE2F6B"/>
    <w:rsid w:val="00FE712E"/>
    <w:rsid w:val="00FF3ABE"/>
    <w:rsid w:val="00FF5A97"/>
    <w:rsid w:val="00FF6C45"/>
    <w:rsid w:val="00FF7703"/>
    <w:rsid w:val="00FF786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44742"/>
  <w15:docId w15:val="{A94129C8-DD1F-4BBB-9835-624E2C2F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8"/>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8"/>
    <w:pPr>
      <w:spacing w:after="0" w:line="240" w:lineRule="auto"/>
    </w:pPr>
    <w:tblPr>
      <w:tblStyleRowBandSize w:val="1"/>
      <w:tblStyleColBandSize w:val="1"/>
      <w:tblCellMar>
        <w:left w:w="255" w:type="dxa"/>
        <w:right w:w="108" w:type="dxa"/>
      </w:tblCellMar>
    </w:tblPr>
  </w:style>
  <w:style w:type="table" w:customStyle="1" w:styleId="a1">
    <w:basedOn w:val="TableNormal8"/>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6"/>
    <w:pPr>
      <w:spacing w:after="0" w:line="240" w:lineRule="auto"/>
    </w:pPr>
    <w:tblPr>
      <w:tblStyleRowBandSize w:val="1"/>
      <w:tblStyleColBandSize w:val="1"/>
      <w:tblCellMar>
        <w:left w:w="255" w:type="dxa"/>
        <w:right w:w="108" w:type="dxa"/>
      </w:tblCellMar>
    </w:tblPr>
  </w:style>
  <w:style w:type="table" w:customStyle="1" w:styleId="a3">
    <w:basedOn w:val="TableNormal5"/>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4"/>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3"/>
    <w:pPr>
      <w:spacing w:after="0" w:line="240" w:lineRule="auto"/>
    </w:pPr>
    <w:tblPr>
      <w:tblStyleRowBandSize w:val="1"/>
      <w:tblStyleColBandSize w:val="1"/>
      <w:tblCellMar>
        <w:left w:w="255" w:type="dxa"/>
        <w:right w:w="108" w:type="dxa"/>
      </w:tblCellMar>
    </w:tblPr>
  </w:style>
  <w:style w:type="table" w:customStyle="1" w:styleId="a6">
    <w:basedOn w:val="TableNormal2"/>
    <w:pPr>
      <w:spacing w:after="0" w:line="240" w:lineRule="auto"/>
    </w:pPr>
    <w:tblPr>
      <w:tblStyleRowBandSize w:val="1"/>
      <w:tblStyleColBandSize w:val="1"/>
      <w:tblCellMar>
        <w:left w:w="255" w:type="dxa"/>
        <w:right w:w="108" w:type="dxa"/>
      </w:tblCellMar>
    </w:tblPr>
  </w:style>
  <w:style w:type="table" w:customStyle="1" w:styleId="a7">
    <w:basedOn w:val="TableNormal1"/>
    <w:pPr>
      <w:spacing w:after="0" w:line="240" w:lineRule="auto"/>
    </w:pPr>
    <w:tblPr>
      <w:tblStyleRowBandSize w:val="1"/>
      <w:tblStyleColBandSize w:val="1"/>
      <w:tblCellMar>
        <w:left w:w="255" w:type="dxa"/>
        <w:right w:w="108" w:type="dxa"/>
      </w:tblCellMar>
    </w:tblPr>
  </w:style>
  <w:style w:type="table" w:customStyle="1" w:styleId="a8">
    <w:basedOn w:val="TableNormal1"/>
    <w:pPr>
      <w:spacing w:after="0" w:line="240" w:lineRule="auto"/>
    </w:pPr>
    <w:tblPr>
      <w:tblStyleRowBandSize w:val="1"/>
      <w:tblStyleColBandSize w:val="1"/>
      <w:tblCellMar>
        <w:left w:w="255" w:type="dxa"/>
        <w:right w:w="108" w:type="dxa"/>
      </w:tblCellMar>
    </w:tblPr>
  </w:style>
  <w:style w:type="paragraph" w:styleId="Tekstprzypisudolnego">
    <w:name w:val="footnote text"/>
    <w:basedOn w:val="Normalny"/>
    <w:link w:val="TekstprzypisudolnegoZnak"/>
    <w:uiPriority w:val="99"/>
    <w:semiHidden/>
    <w:unhideWhenUsed/>
    <w:rsid w:val="00D51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1161"/>
    <w:rPr>
      <w:sz w:val="20"/>
      <w:szCs w:val="20"/>
    </w:rPr>
  </w:style>
  <w:style w:type="character" w:styleId="Odwoanieprzypisudolnego">
    <w:name w:val="footnote reference"/>
    <w:basedOn w:val="Domylnaczcionkaakapitu"/>
    <w:uiPriority w:val="99"/>
    <w:semiHidden/>
    <w:unhideWhenUsed/>
    <w:rsid w:val="00D51161"/>
    <w:rPr>
      <w:vertAlign w:val="superscript"/>
    </w:rPr>
  </w:style>
  <w:style w:type="paragraph" w:styleId="Poprawka">
    <w:name w:val="Revision"/>
    <w:hidden/>
    <w:uiPriority w:val="99"/>
    <w:semiHidden/>
    <w:rsid w:val="00770099"/>
    <w:pPr>
      <w:spacing w:after="0" w:line="240" w:lineRule="auto"/>
    </w:pPr>
  </w:style>
  <w:style w:type="paragraph" w:styleId="Tekstprzypisukocowego">
    <w:name w:val="endnote text"/>
    <w:basedOn w:val="Normalny"/>
    <w:link w:val="TekstprzypisukocowegoZnak"/>
    <w:uiPriority w:val="99"/>
    <w:semiHidden/>
    <w:unhideWhenUsed/>
    <w:rsid w:val="00556C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C60"/>
    <w:rPr>
      <w:sz w:val="20"/>
      <w:szCs w:val="20"/>
    </w:rPr>
  </w:style>
  <w:style w:type="character" w:styleId="Odwoanieprzypisukocowego">
    <w:name w:val="endnote reference"/>
    <w:basedOn w:val="Domylnaczcionkaakapitu"/>
    <w:uiPriority w:val="99"/>
    <w:semiHidden/>
    <w:unhideWhenUsed/>
    <w:rsid w:val="00556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164">
      <w:bodyDiv w:val="1"/>
      <w:marLeft w:val="0"/>
      <w:marRight w:val="0"/>
      <w:marTop w:val="0"/>
      <w:marBottom w:val="0"/>
      <w:divBdr>
        <w:top w:val="none" w:sz="0" w:space="0" w:color="auto"/>
        <w:left w:val="none" w:sz="0" w:space="0" w:color="auto"/>
        <w:bottom w:val="none" w:sz="0" w:space="0" w:color="auto"/>
        <w:right w:val="none" w:sz="0" w:space="0" w:color="auto"/>
      </w:divBdr>
    </w:div>
    <w:div w:id="120422272">
      <w:bodyDiv w:val="1"/>
      <w:marLeft w:val="0"/>
      <w:marRight w:val="0"/>
      <w:marTop w:val="0"/>
      <w:marBottom w:val="0"/>
      <w:divBdr>
        <w:top w:val="none" w:sz="0" w:space="0" w:color="auto"/>
        <w:left w:val="none" w:sz="0" w:space="0" w:color="auto"/>
        <w:bottom w:val="none" w:sz="0" w:space="0" w:color="auto"/>
        <w:right w:val="none" w:sz="0" w:space="0" w:color="auto"/>
      </w:divBdr>
    </w:div>
    <w:div w:id="149756265">
      <w:bodyDiv w:val="1"/>
      <w:marLeft w:val="0"/>
      <w:marRight w:val="0"/>
      <w:marTop w:val="0"/>
      <w:marBottom w:val="0"/>
      <w:divBdr>
        <w:top w:val="none" w:sz="0" w:space="0" w:color="auto"/>
        <w:left w:val="none" w:sz="0" w:space="0" w:color="auto"/>
        <w:bottom w:val="none" w:sz="0" w:space="0" w:color="auto"/>
        <w:right w:val="none" w:sz="0" w:space="0" w:color="auto"/>
      </w:divBdr>
    </w:div>
    <w:div w:id="180120788">
      <w:bodyDiv w:val="1"/>
      <w:marLeft w:val="0"/>
      <w:marRight w:val="0"/>
      <w:marTop w:val="0"/>
      <w:marBottom w:val="0"/>
      <w:divBdr>
        <w:top w:val="none" w:sz="0" w:space="0" w:color="auto"/>
        <w:left w:val="none" w:sz="0" w:space="0" w:color="auto"/>
        <w:bottom w:val="none" w:sz="0" w:space="0" w:color="auto"/>
        <w:right w:val="none" w:sz="0" w:space="0" w:color="auto"/>
      </w:divBdr>
    </w:div>
    <w:div w:id="265701647">
      <w:bodyDiv w:val="1"/>
      <w:marLeft w:val="0"/>
      <w:marRight w:val="0"/>
      <w:marTop w:val="0"/>
      <w:marBottom w:val="0"/>
      <w:divBdr>
        <w:top w:val="none" w:sz="0" w:space="0" w:color="auto"/>
        <w:left w:val="none" w:sz="0" w:space="0" w:color="auto"/>
        <w:bottom w:val="none" w:sz="0" w:space="0" w:color="auto"/>
        <w:right w:val="none" w:sz="0" w:space="0" w:color="auto"/>
      </w:divBdr>
    </w:div>
    <w:div w:id="270742011">
      <w:bodyDiv w:val="1"/>
      <w:marLeft w:val="0"/>
      <w:marRight w:val="0"/>
      <w:marTop w:val="0"/>
      <w:marBottom w:val="0"/>
      <w:divBdr>
        <w:top w:val="none" w:sz="0" w:space="0" w:color="auto"/>
        <w:left w:val="none" w:sz="0" w:space="0" w:color="auto"/>
        <w:bottom w:val="none" w:sz="0" w:space="0" w:color="auto"/>
        <w:right w:val="none" w:sz="0" w:space="0" w:color="auto"/>
      </w:divBdr>
    </w:div>
    <w:div w:id="411776145">
      <w:bodyDiv w:val="1"/>
      <w:marLeft w:val="0"/>
      <w:marRight w:val="0"/>
      <w:marTop w:val="0"/>
      <w:marBottom w:val="0"/>
      <w:divBdr>
        <w:top w:val="none" w:sz="0" w:space="0" w:color="auto"/>
        <w:left w:val="none" w:sz="0" w:space="0" w:color="auto"/>
        <w:bottom w:val="none" w:sz="0" w:space="0" w:color="auto"/>
        <w:right w:val="none" w:sz="0" w:space="0" w:color="auto"/>
      </w:divBdr>
    </w:div>
    <w:div w:id="563296835">
      <w:bodyDiv w:val="1"/>
      <w:marLeft w:val="0"/>
      <w:marRight w:val="0"/>
      <w:marTop w:val="0"/>
      <w:marBottom w:val="0"/>
      <w:divBdr>
        <w:top w:val="none" w:sz="0" w:space="0" w:color="auto"/>
        <w:left w:val="none" w:sz="0" w:space="0" w:color="auto"/>
        <w:bottom w:val="none" w:sz="0" w:space="0" w:color="auto"/>
        <w:right w:val="none" w:sz="0" w:space="0" w:color="auto"/>
      </w:divBdr>
    </w:div>
    <w:div w:id="782186530">
      <w:bodyDiv w:val="1"/>
      <w:marLeft w:val="0"/>
      <w:marRight w:val="0"/>
      <w:marTop w:val="0"/>
      <w:marBottom w:val="0"/>
      <w:divBdr>
        <w:top w:val="none" w:sz="0" w:space="0" w:color="auto"/>
        <w:left w:val="none" w:sz="0" w:space="0" w:color="auto"/>
        <w:bottom w:val="none" w:sz="0" w:space="0" w:color="auto"/>
        <w:right w:val="none" w:sz="0" w:space="0" w:color="auto"/>
      </w:divBdr>
    </w:div>
    <w:div w:id="812915191">
      <w:bodyDiv w:val="1"/>
      <w:marLeft w:val="0"/>
      <w:marRight w:val="0"/>
      <w:marTop w:val="0"/>
      <w:marBottom w:val="0"/>
      <w:divBdr>
        <w:top w:val="none" w:sz="0" w:space="0" w:color="auto"/>
        <w:left w:val="none" w:sz="0" w:space="0" w:color="auto"/>
        <w:bottom w:val="none" w:sz="0" w:space="0" w:color="auto"/>
        <w:right w:val="none" w:sz="0" w:space="0" w:color="auto"/>
      </w:divBdr>
    </w:div>
    <w:div w:id="814417376">
      <w:bodyDiv w:val="1"/>
      <w:marLeft w:val="0"/>
      <w:marRight w:val="0"/>
      <w:marTop w:val="0"/>
      <w:marBottom w:val="0"/>
      <w:divBdr>
        <w:top w:val="none" w:sz="0" w:space="0" w:color="auto"/>
        <w:left w:val="none" w:sz="0" w:space="0" w:color="auto"/>
        <w:bottom w:val="none" w:sz="0" w:space="0" w:color="auto"/>
        <w:right w:val="none" w:sz="0" w:space="0" w:color="auto"/>
      </w:divBdr>
    </w:div>
    <w:div w:id="816339999">
      <w:bodyDiv w:val="1"/>
      <w:marLeft w:val="0"/>
      <w:marRight w:val="0"/>
      <w:marTop w:val="0"/>
      <w:marBottom w:val="0"/>
      <w:divBdr>
        <w:top w:val="none" w:sz="0" w:space="0" w:color="auto"/>
        <w:left w:val="none" w:sz="0" w:space="0" w:color="auto"/>
        <w:bottom w:val="none" w:sz="0" w:space="0" w:color="auto"/>
        <w:right w:val="none" w:sz="0" w:space="0" w:color="auto"/>
      </w:divBdr>
    </w:div>
    <w:div w:id="850222127">
      <w:bodyDiv w:val="1"/>
      <w:marLeft w:val="0"/>
      <w:marRight w:val="0"/>
      <w:marTop w:val="0"/>
      <w:marBottom w:val="0"/>
      <w:divBdr>
        <w:top w:val="none" w:sz="0" w:space="0" w:color="auto"/>
        <w:left w:val="none" w:sz="0" w:space="0" w:color="auto"/>
        <w:bottom w:val="none" w:sz="0" w:space="0" w:color="auto"/>
        <w:right w:val="none" w:sz="0" w:space="0" w:color="auto"/>
      </w:divBdr>
    </w:div>
    <w:div w:id="923143818">
      <w:bodyDiv w:val="1"/>
      <w:marLeft w:val="0"/>
      <w:marRight w:val="0"/>
      <w:marTop w:val="0"/>
      <w:marBottom w:val="0"/>
      <w:divBdr>
        <w:top w:val="none" w:sz="0" w:space="0" w:color="auto"/>
        <w:left w:val="none" w:sz="0" w:space="0" w:color="auto"/>
        <w:bottom w:val="none" w:sz="0" w:space="0" w:color="auto"/>
        <w:right w:val="none" w:sz="0" w:space="0" w:color="auto"/>
      </w:divBdr>
    </w:div>
    <w:div w:id="943418401">
      <w:bodyDiv w:val="1"/>
      <w:marLeft w:val="0"/>
      <w:marRight w:val="0"/>
      <w:marTop w:val="0"/>
      <w:marBottom w:val="0"/>
      <w:divBdr>
        <w:top w:val="none" w:sz="0" w:space="0" w:color="auto"/>
        <w:left w:val="none" w:sz="0" w:space="0" w:color="auto"/>
        <w:bottom w:val="none" w:sz="0" w:space="0" w:color="auto"/>
        <w:right w:val="none" w:sz="0" w:space="0" w:color="auto"/>
      </w:divBdr>
    </w:div>
    <w:div w:id="1047989724">
      <w:bodyDiv w:val="1"/>
      <w:marLeft w:val="0"/>
      <w:marRight w:val="0"/>
      <w:marTop w:val="0"/>
      <w:marBottom w:val="0"/>
      <w:divBdr>
        <w:top w:val="none" w:sz="0" w:space="0" w:color="auto"/>
        <w:left w:val="none" w:sz="0" w:space="0" w:color="auto"/>
        <w:bottom w:val="none" w:sz="0" w:space="0" w:color="auto"/>
        <w:right w:val="none" w:sz="0" w:space="0" w:color="auto"/>
      </w:divBdr>
    </w:div>
    <w:div w:id="1122653823">
      <w:bodyDiv w:val="1"/>
      <w:marLeft w:val="0"/>
      <w:marRight w:val="0"/>
      <w:marTop w:val="0"/>
      <w:marBottom w:val="0"/>
      <w:divBdr>
        <w:top w:val="none" w:sz="0" w:space="0" w:color="auto"/>
        <w:left w:val="none" w:sz="0" w:space="0" w:color="auto"/>
        <w:bottom w:val="none" w:sz="0" w:space="0" w:color="auto"/>
        <w:right w:val="none" w:sz="0" w:space="0" w:color="auto"/>
      </w:divBdr>
    </w:div>
    <w:div w:id="1227257740">
      <w:bodyDiv w:val="1"/>
      <w:marLeft w:val="0"/>
      <w:marRight w:val="0"/>
      <w:marTop w:val="0"/>
      <w:marBottom w:val="0"/>
      <w:divBdr>
        <w:top w:val="none" w:sz="0" w:space="0" w:color="auto"/>
        <w:left w:val="none" w:sz="0" w:space="0" w:color="auto"/>
        <w:bottom w:val="none" w:sz="0" w:space="0" w:color="auto"/>
        <w:right w:val="none" w:sz="0" w:space="0" w:color="auto"/>
      </w:divBdr>
    </w:div>
    <w:div w:id="1400518115">
      <w:bodyDiv w:val="1"/>
      <w:marLeft w:val="0"/>
      <w:marRight w:val="0"/>
      <w:marTop w:val="0"/>
      <w:marBottom w:val="0"/>
      <w:divBdr>
        <w:top w:val="none" w:sz="0" w:space="0" w:color="auto"/>
        <w:left w:val="none" w:sz="0" w:space="0" w:color="auto"/>
        <w:bottom w:val="none" w:sz="0" w:space="0" w:color="auto"/>
        <w:right w:val="none" w:sz="0" w:space="0" w:color="auto"/>
      </w:divBdr>
    </w:div>
    <w:div w:id="1417047523">
      <w:bodyDiv w:val="1"/>
      <w:marLeft w:val="0"/>
      <w:marRight w:val="0"/>
      <w:marTop w:val="0"/>
      <w:marBottom w:val="0"/>
      <w:divBdr>
        <w:top w:val="none" w:sz="0" w:space="0" w:color="auto"/>
        <w:left w:val="none" w:sz="0" w:space="0" w:color="auto"/>
        <w:bottom w:val="none" w:sz="0" w:space="0" w:color="auto"/>
        <w:right w:val="none" w:sz="0" w:space="0" w:color="auto"/>
      </w:divBdr>
    </w:div>
    <w:div w:id="1446925157">
      <w:bodyDiv w:val="1"/>
      <w:marLeft w:val="0"/>
      <w:marRight w:val="0"/>
      <w:marTop w:val="0"/>
      <w:marBottom w:val="0"/>
      <w:divBdr>
        <w:top w:val="none" w:sz="0" w:space="0" w:color="auto"/>
        <w:left w:val="none" w:sz="0" w:space="0" w:color="auto"/>
        <w:bottom w:val="none" w:sz="0" w:space="0" w:color="auto"/>
        <w:right w:val="none" w:sz="0" w:space="0" w:color="auto"/>
      </w:divBdr>
    </w:div>
    <w:div w:id="1700624772">
      <w:bodyDiv w:val="1"/>
      <w:marLeft w:val="0"/>
      <w:marRight w:val="0"/>
      <w:marTop w:val="0"/>
      <w:marBottom w:val="0"/>
      <w:divBdr>
        <w:top w:val="none" w:sz="0" w:space="0" w:color="auto"/>
        <w:left w:val="none" w:sz="0" w:space="0" w:color="auto"/>
        <w:bottom w:val="none" w:sz="0" w:space="0" w:color="auto"/>
        <w:right w:val="none" w:sz="0" w:space="0" w:color="auto"/>
      </w:divBdr>
    </w:div>
    <w:div w:id="1737505226">
      <w:bodyDiv w:val="1"/>
      <w:marLeft w:val="0"/>
      <w:marRight w:val="0"/>
      <w:marTop w:val="0"/>
      <w:marBottom w:val="0"/>
      <w:divBdr>
        <w:top w:val="none" w:sz="0" w:space="0" w:color="auto"/>
        <w:left w:val="none" w:sz="0" w:space="0" w:color="auto"/>
        <w:bottom w:val="none" w:sz="0" w:space="0" w:color="auto"/>
        <w:right w:val="none" w:sz="0" w:space="0" w:color="auto"/>
      </w:divBdr>
    </w:div>
    <w:div w:id="1870333076">
      <w:bodyDiv w:val="1"/>
      <w:marLeft w:val="0"/>
      <w:marRight w:val="0"/>
      <w:marTop w:val="0"/>
      <w:marBottom w:val="0"/>
      <w:divBdr>
        <w:top w:val="none" w:sz="0" w:space="0" w:color="auto"/>
        <w:left w:val="none" w:sz="0" w:space="0" w:color="auto"/>
        <w:bottom w:val="none" w:sz="0" w:space="0" w:color="auto"/>
        <w:right w:val="none" w:sz="0" w:space="0" w:color="auto"/>
      </w:divBdr>
    </w:div>
    <w:div w:id="1879468714">
      <w:bodyDiv w:val="1"/>
      <w:marLeft w:val="0"/>
      <w:marRight w:val="0"/>
      <w:marTop w:val="0"/>
      <w:marBottom w:val="0"/>
      <w:divBdr>
        <w:top w:val="none" w:sz="0" w:space="0" w:color="auto"/>
        <w:left w:val="none" w:sz="0" w:space="0" w:color="auto"/>
        <w:bottom w:val="none" w:sz="0" w:space="0" w:color="auto"/>
        <w:right w:val="none" w:sz="0" w:space="0" w:color="auto"/>
      </w:divBdr>
      <w:divsChild>
        <w:div w:id="1665082779">
          <w:marLeft w:val="274"/>
          <w:marRight w:val="0"/>
          <w:marTop w:val="0"/>
          <w:marBottom w:val="0"/>
          <w:divBdr>
            <w:top w:val="none" w:sz="0" w:space="0" w:color="auto"/>
            <w:left w:val="none" w:sz="0" w:space="0" w:color="auto"/>
            <w:bottom w:val="none" w:sz="0" w:space="0" w:color="auto"/>
            <w:right w:val="none" w:sz="0" w:space="0" w:color="auto"/>
          </w:divBdr>
        </w:div>
        <w:div w:id="727654409">
          <w:marLeft w:val="274"/>
          <w:marRight w:val="0"/>
          <w:marTop w:val="0"/>
          <w:marBottom w:val="0"/>
          <w:divBdr>
            <w:top w:val="none" w:sz="0" w:space="0" w:color="auto"/>
            <w:left w:val="none" w:sz="0" w:space="0" w:color="auto"/>
            <w:bottom w:val="none" w:sz="0" w:space="0" w:color="auto"/>
            <w:right w:val="none" w:sz="0" w:space="0" w:color="auto"/>
          </w:divBdr>
        </w:div>
        <w:div w:id="2072995510">
          <w:marLeft w:val="274"/>
          <w:marRight w:val="0"/>
          <w:marTop w:val="0"/>
          <w:marBottom w:val="0"/>
          <w:divBdr>
            <w:top w:val="none" w:sz="0" w:space="0" w:color="auto"/>
            <w:left w:val="none" w:sz="0" w:space="0" w:color="auto"/>
            <w:bottom w:val="none" w:sz="0" w:space="0" w:color="auto"/>
            <w:right w:val="none" w:sz="0" w:space="0" w:color="auto"/>
          </w:divBdr>
        </w:div>
      </w:divsChild>
    </w:div>
    <w:div w:id="1932277973">
      <w:bodyDiv w:val="1"/>
      <w:marLeft w:val="0"/>
      <w:marRight w:val="0"/>
      <w:marTop w:val="0"/>
      <w:marBottom w:val="0"/>
      <w:divBdr>
        <w:top w:val="none" w:sz="0" w:space="0" w:color="auto"/>
        <w:left w:val="none" w:sz="0" w:space="0" w:color="auto"/>
        <w:bottom w:val="none" w:sz="0" w:space="0" w:color="auto"/>
        <w:right w:val="none" w:sz="0" w:space="0" w:color="auto"/>
      </w:divBdr>
      <w:divsChild>
        <w:div w:id="701780476">
          <w:marLeft w:val="274"/>
          <w:marRight w:val="0"/>
          <w:marTop w:val="0"/>
          <w:marBottom w:val="0"/>
          <w:divBdr>
            <w:top w:val="none" w:sz="0" w:space="0" w:color="auto"/>
            <w:left w:val="none" w:sz="0" w:space="0" w:color="auto"/>
            <w:bottom w:val="none" w:sz="0" w:space="0" w:color="auto"/>
            <w:right w:val="none" w:sz="0" w:space="0" w:color="auto"/>
          </w:divBdr>
        </w:div>
        <w:div w:id="2006014328">
          <w:marLeft w:val="274"/>
          <w:marRight w:val="0"/>
          <w:marTop w:val="0"/>
          <w:marBottom w:val="0"/>
          <w:divBdr>
            <w:top w:val="none" w:sz="0" w:space="0" w:color="auto"/>
            <w:left w:val="none" w:sz="0" w:space="0" w:color="auto"/>
            <w:bottom w:val="none" w:sz="0" w:space="0" w:color="auto"/>
            <w:right w:val="none" w:sz="0" w:space="0" w:color="auto"/>
          </w:divBdr>
        </w:div>
        <w:div w:id="1957592980">
          <w:marLeft w:val="274"/>
          <w:marRight w:val="0"/>
          <w:marTop w:val="0"/>
          <w:marBottom w:val="0"/>
          <w:divBdr>
            <w:top w:val="none" w:sz="0" w:space="0" w:color="auto"/>
            <w:left w:val="none" w:sz="0" w:space="0" w:color="auto"/>
            <w:bottom w:val="none" w:sz="0" w:space="0" w:color="auto"/>
            <w:right w:val="none" w:sz="0" w:space="0" w:color="auto"/>
          </w:divBdr>
        </w:div>
        <w:div w:id="1913925148">
          <w:marLeft w:val="274"/>
          <w:marRight w:val="0"/>
          <w:marTop w:val="0"/>
          <w:marBottom w:val="0"/>
          <w:divBdr>
            <w:top w:val="none" w:sz="0" w:space="0" w:color="auto"/>
            <w:left w:val="none" w:sz="0" w:space="0" w:color="auto"/>
            <w:bottom w:val="none" w:sz="0" w:space="0" w:color="auto"/>
            <w:right w:val="none" w:sz="0" w:space="0" w:color="auto"/>
          </w:divBdr>
        </w:div>
        <w:div w:id="1296761978">
          <w:marLeft w:val="274"/>
          <w:marRight w:val="0"/>
          <w:marTop w:val="0"/>
          <w:marBottom w:val="0"/>
          <w:divBdr>
            <w:top w:val="none" w:sz="0" w:space="0" w:color="auto"/>
            <w:left w:val="none" w:sz="0" w:space="0" w:color="auto"/>
            <w:bottom w:val="none" w:sz="0" w:space="0" w:color="auto"/>
            <w:right w:val="none" w:sz="0" w:space="0" w:color="auto"/>
          </w:divBdr>
        </w:div>
        <w:div w:id="1376197949">
          <w:marLeft w:val="274"/>
          <w:marRight w:val="0"/>
          <w:marTop w:val="0"/>
          <w:marBottom w:val="0"/>
          <w:divBdr>
            <w:top w:val="none" w:sz="0" w:space="0" w:color="auto"/>
            <w:left w:val="none" w:sz="0" w:space="0" w:color="auto"/>
            <w:bottom w:val="none" w:sz="0" w:space="0" w:color="auto"/>
            <w:right w:val="none" w:sz="0" w:space="0" w:color="auto"/>
          </w:divBdr>
        </w:div>
        <w:div w:id="1407612887">
          <w:marLeft w:val="274"/>
          <w:marRight w:val="0"/>
          <w:marTop w:val="0"/>
          <w:marBottom w:val="0"/>
          <w:divBdr>
            <w:top w:val="none" w:sz="0" w:space="0" w:color="auto"/>
            <w:left w:val="none" w:sz="0" w:space="0" w:color="auto"/>
            <w:bottom w:val="none" w:sz="0" w:space="0" w:color="auto"/>
            <w:right w:val="none" w:sz="0" w:space="0" w:color="auto"/>
          </w:divBdr>
        </w:div>
        <w:div w:id="1259484508">
          <w:marLeft w:val="274"/>
          <w:marRight w:val="0"/>
          <w:marTop w:val="0"/>
          <w:marBottom w:val="0"/>
          <w:divBdr>
            <w:top w:val="none" w:sz="0" w:space="0" w:color="auto"/>
            <w:left w:val="none" w:sz="0" w:space="0" w:color="auto"/>
            <w:bottom w:val="none" w:sz="0" w:space="0" w:color="auto"/>
            <w:right w:val="none" w:sz="0" w:space="0" w:color="auto"/>
          </w:divBdr>
        </w:div>
        <w:div w:id="430779976">
          <w:marLeft w:val="274"/>
          <w:marRight w:val="0"/>
          <w:marTop w:val="0"/>
          <w:marBottom w:val="0"/>
          <w:divBdr>
            <w:top w:val="none" w:sz="0" w:space="0" w:color="auto"/>
            <w:left w:val="none" w:sz="0" w:space="0" w:color="auto"/>
            <w:bottom w:val="none" w:sz="0" w:space="0" w:color="auto"/>
            <w:right w:val="none" w:sz="0" w:space="0" w:color="auto"/>
          </w:divBdr>
        </w:div>
        <w:div w:id="1311399437">
          <w:marLeft w:val="274"/>
          <w:marRight w:val="0"/>
          <w:marTop w:val="0"/>
          <w:marBottom w:val="0"/>
          <w:divBdr>
            <w:top w:val="none" w:sz="0" w:space="0" w:color="auto"/>
            <w:left w:val="none" w:sz="0" w:space="0" w:color="auto"/>
            <w:bottom w:val="none" w:sz="0" w:space="0" w:color="auto"/>
            <w:right w:val="none" w:sz="0" w:space="0" w:color="auto"/>
          </w:divBdr>
        </w:div>
        <w:div w:id="1061636868">
          <w:marLeft w:val="274"/>
          <w:marRight w:val="0"/>
          <w:marTop w:val="0"/>
          <w:marBottom w:val="0"/>
          <w:divBdr>
            <w:top w:val="none" w:sz="0" w:space="0" w:color="auto"/>
            <w:left w:val="none" w:sz="0" w:space="0" w:color="auto"/>
            <w:bottom w:val="none" w:sz="0" w:space="0" w:color="auto"/>
            <w:right w:val="none" w:sz="0" w:space="0" w:color="auto"/>
          </w:divBdr>
        </w:div>
      </w:divsChild>
    </w:div>
    <w:div w:id="1973166243">
      <w:bodyDiv w:val="1"/>
      <w:marLeft w:val="0"/>
      <w:marRight w:val="0"/>
      <w:marTop w:val="0"/>
      <w:marBottom w:val="0"/>
      <w:divBdr>
        <w:top w:val="none" w:sz="0" w:space="0" w:color="auto"/>
        <w:left w:val="none" w:sz="0" w:space="0" w:color="auto"/>
        <w:bottom w:val="none" w:sz="0" w:space="0" w:color="auto"/>
        <w:right w:val="none" w:sz="0" w:space="0" w:color="auto"/>
      </w:divBdr>
    </w:div>
    <w:div w:id="2006858521">
      <w:bodyDiv w:val="1"/>
      <w:marLeft w:val="0"/>
      <w:marRight w:val="0"/>
      <w:marTop w:val="0"/>
      <w:marBottom w:val="0"/>
      <w:divBdr>
        <w:top w:val="none" w:sz="0" w:space="0" w:color="auto"/>
        <w:left w:val="none" w:sz="0" w:space="0" w:color="auto"/>
        <w:bottom w:val="none" w:sz="0" w:space="0" w:color="auto"/>
        <w:right w:val="none" w:sz="0" w:space="0" w:color="auto"/>
      </w:divBdr>
    </w:div>
    <w:div w:id="2139642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budimex.p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ichal.wrzosek@budimex.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23bhZiq9gIJc2H6Ifib6JsTyw==">AMUW2mUxnMf2l6g7cEe03YceFHGW7RsJmkmY4cBNkhj7hAmSFzS6Wj4IC0z4guUoq5kFp31sT6fnmUdqVOmx+z9fhSaoZCbggrsr/yX+1ow2mQww0y5B8+pelFlr/b6OreRGoMprXVru3gV4FUDPM7N0q9217hTYGA==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CE1AF6-A0EE-41F2-A491-45D0E3D876BA}">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Template>
  <TotalTime>2</TotalTime>
  <Pages>7</Pages>
  <Words>2078</Words>
  <Characters>12474</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Wójcik</dc:creator>
  <cp:lastModifiedBy>karwlo</cp:lastModifiedBy>
  <cp:revision>3</cp:revision>
  <cp:lastPrinted>2023-04-18T10:50:00Z</cp:lastPrinted>
  <dcterms:created xsi:type="dcterms:W3CDTF">2023-07-26T07:42:00Z</dcterms:created>
  <dcterms:modified xsi:type="dcterms:W3CDTF">2023-07-28T10:48:00Z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44989d6e3b91d1ddfcd11d0e5060d34ac46ff7391e28517136f43d5258acc987</vt:lpwstr>
  </property>
</Properties>
</file>