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3A60CC" w:rsidR="0064434C" w:rsidRDefault="00000000" w:rsidP="00E04ACA">
      <w:pPr>
        <w:jc w:val="right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Materiał prasowy, 0</w:t>
      </w:r>
      <w:r w:rsidR="00E04ACA">
        <w:rPr>
          <w:rFonts w:ascii="Century Gothic" w:eastAsia="Century Gothic" w:hAnsi="Century Gothic" w:cs="Century Gothic"/>
          <w:sz w:val="18"/>
          <w:szCs w:val="18"/>
        </w:rPr>
        <w:t>3</w:t>
      </w:r>
      <w:r>
        <w:rPr>
          <w:rFonts w:ascii="Century Gothic" w:eastAsia="Century Gothic" w:hAnsi="Century Gothic" w:cs="Century Gothic"/>
          <w:sz w:val="18"/>
          <w:szCs w:val="18"/>
        </w:rPr>
        <w:t>.08.2023</w:t>
      </w:r>
    </w:p>
    <w:p w14:paraId="00000002" w14:textId="77777777" w:rsidR="0064434C" w:rsidRDefault="0064434C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03" w14:textId="77777777" w:rsidR="0064434C" w:rsidRDefault="00000000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Czas na Bliski Wschód i Afrykę Północn</w:t>
      </w:r>
      <w:r>
        <w:rPr>
          <w:rFonts w:ascii="Century Gothic" w:eastAsia="Century Gothic" w:hAnsi="Century Gothic" w:cs="Century Gothic"/>
          <w:b/>
          <w:sz w:val="32"/>
          <w:szCs w:val="32"/>
        </w:rPr>
        <w:t>ą</w:t>
      </w:r>
      <w:r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 xml:space="preserve"> –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WhitePress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 xml:space="preserve"> obecny na ponad 30 zagranicznych rynkach</w:t>
      </w:r>
    </w:p>
    <w:p w14:paraId="00000004" w14:textId="77777777" w:rsidR="0064434C" w:rsidRDefault="0064434C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05" w14:textId="67AF2B98" w:rsidR="0064434C" w:rsidRDefault="0000000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Według danych platformy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Statista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, prognozuje się, że wydatki na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digital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marketing w regionie MENA</w:t>
      </w:r>
      <w:r>
        <w:rPr>
          <w:rFonts w:ascii="Century Gothic" w:eastAsia="Century Gothic" w:hAnsi="Century Gothic" w:cs="Century Gothic"/>
          <w:b/>
          <w:sz w:val="20"/>
          <w:szCs w:val="20"/>
          <w:vertAlign w:val="superscript"/>
        </w:rPr>
        <w:footnoteReference w:id="1"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do 2024 r. wzrosną nawet do blisko 8 mld dolarów (4,4 mld w 2020 r.).</w:t>
      </w:r>
      <w:r>
        <w:rPr>
          <w:rFonts w:ascii="Century Gothic" w:eastAsia="Century Gothic" w:hAnsi="Century Gothic" w:cs="Century Gothic"/>
          <w:b/>
          <w:sz w:val="20"/>
          <w:szCs w:val="20"/>
          <w:vertAlign w:val="superscript"/>
        </w:rPr>
        <w:footnoteReference w:id="2"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Co więcej, szacuje się, że do końca roku prawi</w:t>
      </w:r>
      <w:r w:rsidR="00773837">
        <w:rPr>
          <w:rFonts w:ascii="Century Gothic" w:eastAsia="Century Gothic" w:hAnsi="Century Gothic" w:cs="Century Gothic"/>
          <w:b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8 na 10 mieszkańców tego regionu będzie korzystać </w:t>
      </w:r>
      <w:r w:rsidR="000E0E67">
        <w:rPr>
          <w:rFonts w:ascii="Century Gothic" w:eastAsia="Century Gothic" w:hAnsi="Century Gothic" w:cs="Century Gothic"/>
          <w:b/>
          <w:sz w:val="20"/>
          <w:szCs w:val="20"/>
        </w:rPr>
        <w:t xml:space="preserve">            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z usług online, co czyni go czwartym, co do wielkości, rynkiem internetowym na świecie. </w:t>
      </w:r>
      <w:r w:rsidR="000E0E67">
        <w:rPr>
          <w:rFonts w:ascii="Century Gothic" w:eastAsia="Century Gothic" w:hAnsi="Century Gothic" w:cs="Century Gothic"/>
          <w:b/>
          <w:sz w:val="20"/>
          <w:szCs w:val="20"/>
        </w:rPr>
        <w:t xml:space="preserve">          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W 2021 roku Zjednoczone Emiraty Arabskie, należące do regionu MENA, zajęły 4 miejsce pod względem atrakcyjności dla agencji marketingowych. Nic więc dziwnego, że to kolejny kierunek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WhitePress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na drodze do międzynarodowego rozwoju i to właśnie te rynki marka zdecydowała się objąć zasięgiem platformy. Już teraz można zamówić publikacje na ponad 200 portalach z regionu MENA i docierać do odpowiedniej grupy odbiorców.</w:t>
      </w:r>
    </w:p>
    <w:p w14:paraId="00000006" w14:textId="77777777" w:rsidR="0064434C" w:rsidRDefault="0064434C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07" w14:textId="48E04751" w:rsidR="0064434C" w:rsidRDefault="00000000">
      <w:pPr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WhitePress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działa już w większości krajów europejskich, dlatego teraz robimy kolejne kroki </w:t>
      </w:r>
      <w:r w:rsidR="000E0E67">
        <w:rPr>
          <w:rFonts w:ascii="Century Gothic" w:eastAsia="Century Gothic" w:hAnsi="Century Gothic" w:cs="Century Gothic"/>
          <w:i/>
          <w:sz w:val="20"/>
          <w:szCs w:val="20"/>
        </w:rPr>
        <w:t xml:space="preserve">         </w:t>
      </w:r>
      <w:r>
        <w:rPr>
          <w:rFonts w:ascii="Century Gothic" w:eastAsia="Century Gothic" w:hAnsi="Century Gothic" w:cs="Century Gothic"/>
          <w:i/>
          <w:sz w:val="20"/>
          <w:szCs w:val="20"/>
        </w:rPr>
        <w:t>w tym obszarze i stawiamy na bardziej odległe rynki, Czemu dopiero teraz? W pierwszej kolejności budowaliśmy swoją pozycję w krajach, które były nam bliższe kulturowo, a kwestie prawne nieco prostsze. Była to również odpowiedź na potrzeby naszych klientów, którzy chcieli zaistnieć przede wszystkim w Europie.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Aktualnie rozwijamy się również w Ameryce Północnej</w:t>
      </w:r>
      <w:r w:rsidR="003265FC">
        <w:rPr>
          <w:rFonts w:ascii="Century Gothic" w:eastAsia="Century Gothic" w:hAnsi="Century Gothic" w:cs="Century Gothic"/>
          <w:i/>
          <w:sz w:val="20"/>
          <w:szCs w:val="20"/>
        </w:rPr>
        <w:br/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i Południowej, a teraz przyszedł czas na Bliski Wschód i Afrykę Północną. Każda nasza ekspansja poprzedzona jest dokładną analizą warunków otoczenia, zarówno ekonomicznych, prawnych, jak i kulturowych, dzięki czemu z powodzeniem otwieramy się na nawet na ten najodleglejszy świat –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mówi Patrycja Górecka,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Head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of Marketing,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WhitePress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.</w:t>
      </w:r>
    </w:p>
    <w:p w14:paraId="00000008" w14:textId="77777777" w:rsidR="0064434C" w:rsidRDefault="0064434C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09" w14:textId="77777777" w:rsidR="0064434C" w:rsidRDefault="0000000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Duży potencjał Orientu </w:t>
      </w:r>
    </w:p>
    <w:p w14:paraId="0000000A" w14:textId="77777777" w:rsidR="0064434C" w:rsidRDefault="0064434C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0B" w14:textId="77777777" w:rsidR="0064434C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Szacuje się, że rynek e-commerce w regionie MENA wzrósł o ponad 30 proc. w latach 2018-2022, osiągając wartość 37 miliardów dolarów. Z kolei jego wartość do 2026 roku ma wynieść 57 miliardów dolarów. Pod względem usług online najbardziej rozwija się Izrael, Arabia Saudyjska i Zjednoczone Emiraty Arabskie, które można uznać za kluczowe rynki zbytu na tym obszarze. Duży potencjał mają tam branże z zakresu elektroniki, mody czy FMCG.</w:t>
      </w:r>
      <w:r>
        <w:rPr>
          <w:rFonts w:ascii="Century Gothic" w:eastAsia="Century Gothic" w:hAnsi="Century Gothic" w:cs="Century Gothic"/>
          <w:sz w:val="20"/>
          <w:szCs w:val="20"/>
          <w:vertAlign w:val="superscript"/>
        </w:rPr>
        <w:footnoteReference w:id="3"/>
      </w:r>
    </w:p>
    <w:p w14:paraId="0000000C" w14:textId="77777777" w:rsidR="0064434C" w:rsidRDefault="0064434C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0D" w14:textId="77777777" w:rsidR="0064434C" w:rsidRDefault="00000000">
      <w:pPr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Wejście do krajów z obszaru MENA jest dla nas ważnym krokiem na drodze do jeszcze większego rozwoju platformy, w szczególności, że obserwujemy wzrost inicjatyw w dziedzinie marketingu cyfrowego, zwłaszcza w krajach takich jak Arabia Saudyjska czy Katar. Szacuje się, że w tym roku liczba użytkowników, korzystających z usług online, ma wzrosnąć do blisko 80 proc, co oznacza, że państwa z regionu MENA staną się czwartym rynkiem internetowym na świecie, biorąc pod uwagę jego wielkość –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komentuje Tomasz Domański, Dyrektor ds. ekspansji międzynarodowej,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WhitePress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.</w:t>
      </w:r>
    </w:p>
    <w:p w14:paraId="0000000E" w14:textId="77777777" w:rsidR="0064434C" w:rsidRDefault="0064434C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0F" w14:textId="124847B7" w:rsidR="0064434C" w:rsidRDefault="00000000">
      <w:pPr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Z kolei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Anna Halama, Marketing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Teams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Leader,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WhitePress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zaznacza, że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jako marka chcą być obecni tam, gdzie pojawiają się ich klienci </w:t>
      </w:r>
      <w:r>
        <w:rPr>
          <w:rFonts w:ascii="Century Gothic" w:eastAsia="Century Gothic" w:hAnsi="Century Gothic" w:cs="Century Gothic"/>
          <w:i/>
          <w:sz w:val="20"/>
          <w:szCs w:val="20"/>
        </w:rPr>
        <w:t>– SEO-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wcy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i marketingowcy stale poszukują nowych źródeł dobrej jakości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contentu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czy rozwiązań skutecznie wspierających działania link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buildingowe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. Między innymi dlatego rośnie zainteresowanie takimi platformami, jak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WhitePress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, która efektywnie łączy ze sobą podmioty ze środowiska agencyjnego, reklamowego </w:t>
      </w:r>
      <w:r w:rsidR="003265FC">
        <w:rPr>
          <w:rFonts w:ascii="Century Gothic" w:eastAsia="Century Gothic" w:hAnsi="Century Gothic" w:cs="Century Gothic"/>
          <w:i/>
          <w:sz w:val="20"/>
          <w:szCs w:val="20"/>
        </w:rPr>
        <w:br/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i wydawniczego na całym świecie. Dzięki takim narzędziom, przedsiębiorcy mogą skalować swój biznes lub zacząć myśleć o ekspansji na inne rynki. Tym bardziej, że zamawianie publikacji artykułów na zagranicznych portalach w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WhitePress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® jest bardzo proste i odbywa się w języku polskim lub innym, preferowanym przez użytkownika. </w:t>
      </w:r>
    </w:p>
    <w:p w14:paraId="00000010" w14:textId="77777777" w:rsidR="0064434C" w:rsidRDefault="0064434C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11" w14:textId="77777777" w:rsidR="0064434C" w:rsidRDefault="0000000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 xml:space="preserve">Możliwości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WhitePress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w regionie MENA</w:t>
      </w:r>
    </w:p>
    <w:p w14:paraId="00000012" w14:textId="77777777" w:rsidR="0064434C" w:rsidRDefault="0064434C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13" w14:textId="07F6E4AC" w:rsidR="0064434C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Aktualnie za pomocą platformy </w:t>
      </w:r>
      <w:r w:rsidR="000E0E67">
        <w:rPr>
          <w:rFonts w:ascii="Century Gothic" w:eastAsia="Century Gothic" w:hAnsi="Century Gothic" w:cs="Century Gothic"/>
          <w:sz w:val="20"/>
          <w:szCs w:val="20"/>
        </w:rPr>
        <w:t>w regionie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Azji Zachodniej i Afryki Północnej można zamówić publikację artykułów na ponad 200 portalach, które skupiają się na tematyce ekonomicznej, sportowej, politycznej, modowej, zdrowia czy podróżniczej. W bazie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WhitePress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dostępni są popularni Wydawcy, tacy jak: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Layalina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Mawdoo3,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Arabian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Business czy Arab GT. Reklamodawcy mogą również skorzystać z usług lokalnych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copywriterów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00000014" w14:textId="77777777" w:rsidR="0064434C" w:rsidRDefault="0064434C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15" w14:textId="61090382" w:rsidR="0064434C" w:rsidRDefault="0000000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Usługa native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copywritingu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, którą oferujemy, współpracując z dziennikarzami z lokalnego rynku MENA, pozwala dostosować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content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do odmiennych od naszych wymogów kulturowych oraz zachować poprawność językową przygotowywanych treści. To bardzo ważne dla firm, które chcą z jak najlepszej strony pokazać zagranicznym klientom swoje produkty i usługi – </w:t>
      </w:r>
      <w:r>
        <w:rPr>
          <w:rFonts w:ascii="Century Gothic" w:eastAsia="Century Gothic" w:hAnsi="Century Gothic" w:cs="Century Gothic"/>
          <w:b/>
          <w:sz w:val="20"/>
          <w:szCs w:val="20"/>
        </w:rPr>
        <w:t>podsumowuje Tomasz Domański.</w:t>
      </w:r>
    </w:p>
    <w:p w14:paraId="00000016" w14:textId="77777777" w:rsidR="0064434C" w:rsidRDefault="0064434C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17" w14:textId="77777777" w:rsidR="0064434C" w:rsidRDefault="0064434C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ADEE2F3" w14:textId="77777777" w:rsidR="00E04ACA" w:rsidRDefault="00E04ACA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DA97A16" w14:textId="77777777" w:rsidR="00E04ACA" w:rsidRPr="004565E9" w:rsidRDefault="00E04ACA" w:rsidP="00E04ACA">
      <w:pPr>
        <w:jc w:val="both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 w:rsidRPr="004565E9">
        <w:rPr>
          <w:rFonts w:ascii="Century Gothic" w:eastAsia="Century Gothic" w:hAnsi="Century Gothic" w:cs="Century Gothic"/>
          <w:b/>
          <w:bCs/>
          <w:sz w:val="18"/>
          <w:szCs w:val="18"/>
        </w:rPr>
        <w:t>Więcej informacji:</w:t>
      </w:r>
    </w:p>
    <w:p w14:paraId="19BD8E9D" w14:textId="77777777" w:rsidR="00E04ACA" w:rsidRPr="004565E9" w:rsidRDefault="00E04ACA" w:rsidP="00E04ACA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1814D0D0" w14:textId="77777777" w:rsidR="00E04ACA" w:rsidRPr="004565E9" w:rsidRDefault="00E04ACA" w:rsidP="00E04ACA">
      <w:pPr>
        <w:jc w:val="both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 w:rsidRPr="004565E9">
        <w:rPr>
          <w:rFonts w:ascii="Century Gothic" w:eastAsia="Century Gothic" w:hAnsi="Century Gothic" w:cs="Century Gothic"/>
          <w:b/>
          <w:bCs/>
          <w:sz w:val="18"/>
          <w:szCs w:val="18"/>
        </w:rPr>
        <w:t>Pamela Tomicka</w:t>
      </w:r>
    </w:p>
    <w:p w14:paraId="719B82BE" w14:textId="77777777" w:rsidR="00E04ACA" w:rsidRPr="004565E9" w:rsidRDefault="00000000" w:rsidP="00E04ACA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hyperlink r:id="rId7" w:history="1">
        <w:r w:rsidR="00E04ACA" w:rsidRPr="004565E9">
          <w:rPr>
            <w:rStyle w:val="Hipercze"/>
            <w:rFonts w:ascii="Century Gothic" w:eastAsia="Century Gothic" w:hAnsi="Century Gothic" w:cs="Century Gothic"/>
            <w:sz w:val="18"/>
            <w:szCs w:val="18"/>
          </w:rPr>
          <w:t>p.tomicka@lightscape.pl</w:t>
        </w:r>
      </w:hyperlink>
    </w:p>
    <w:p w14:paraId="75F3A24A" w14:textId="77777777" w:rsidR="00E04ACA" w:rsidRPr="004565E9" w:rsidRDefault="00E04ACA" w:rsidP="00E04ACA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4565E9">
        <w:rPr>
          <w:rFonts w:ascii="Century Gothic" w:eastAsia="Century Gothic" w:hAnsi="Century Gothic" w:cs="Century Gothic"/>
          <w:sz w:val="18"/>
          <w:szCs w:val="18"/>
        </w:rPr>
        <w:t>tel.</w:t>
      </w:r>
      <w:r w:rsidRPr="004565E9">
        <w:rPr>
          <w:rFonts w:ascii="Century Gothic" w:hAnsi="Century Gothic"/>
          <w:color w:val="000000"/>
          <w:sz w:val="15"/>
          <w:szCs w:val="15"/>
        </w:rPr>
        <w:t xml:space="preserve"> 601 918 306 </w:t>
      </w:r>
    </w:p>
    <w:p w14:paraId="1EA5E70C" w14:textId="77777777" w:rsidR="00E04ACA" w:rsidRPr="004565E9" w:rsidRDefault="00E04ACA" w:rsidP="00E04ACA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5D9D7C11" w14:textId="77777777" w:rsidR="00E04ACA" w:rsidRPr="004565E9" w:rsidRDefault="00E04ACA" w:rsidP="00E04ACA">
      <w:pPr>
        <w:jc w:val="both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Karolina Góral</w:t>
      </w:r>
    </w:p>
    <w:p w14:paraId="7DAD87AA" w14:textId="77777777" w:rsidR="00E04ACA" w:rsidRPr="004565E9" w:rsidRDefault="00000000" w:rsidP="00E04ACA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hyperlink r:id="rId8" w:history="1">
        <w:r w:rsidR="00E04ACA" w:rsidRPr="00F14566">
          <w:rPr>
            <w:rStyle w:val="Hipercze"/>
            <w:rFonts w:ascii="Century Gothic" w:eastAsia="Century Gothic" w:hAnsi="Century Gothic" w:cs="Century Gothic"/>
            <w:sz w:val="18"/>
            <w:szCs w:val="18"/>
          </w:rPr>
          <w:t>k.goral@lightscape.pl</w:t>
        </w:r>
      </w:hyperlink>
    </w:p>
    <w:p w14:paraId="053A8FC1" w14:textId="581F4ADF" w:rsidR="00E04ACA" w:rsidRPr="00DC2942" w:rsidRDefault="00E04ACA" w:rsidP="00E04ACA">
      <w:pPr>
        <w:spacing w:line="288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4565E9">
        <w:rPr>
          <w:rFonts w:ascii="Century Gothic" w:eastAsia="Century Gothic" w:hAnsi="Century Gothic" w:cs="Century Gothic"/>
          <w:sz w:val="18"/>
          <w:szCs w:val="18"/>
        </w:rPr>
        <w:t xml:space="preserve">tel. </w:t>
      </w:r>
      <w:r w:rsidRPr="004565E9">
        <w:rPr>
          <w:rFonts w:ascii="Century Gothic" w:hAnsi="Century Gothic"/>
          <w:color w:val="000000"/>
          <w:sz w:val="15"/>
          <w:szCs w:val="15"/>
          <w:shd w:val="clear" w:color="auto" w:fill="FFFFFF"/>
        </w:rPr>
        <w:t>53</w:t>
      </w:r>
      <w:r>
        <w:rPr>
          <w:rFonts w:ascii="Century Gothic" w:hAnsi="Century Gothic"/>
          <w:color w:val="000000"/>
          <w:sz w:val="15"/>
          <w:szCs w:val="15"/>
          <w:shd w:val="clear" w:color="auto" w:fill="FFFFFF"/>
        </w:rPr>
        <w:t>2</w:t>
      </w:r>
      <w:r w:rsidRPr="004565E9">
        <w:rPr>
          <w:rFonts w:ascii="Century Gothic" w:hAnsi="Century Gothic"/>
          <w:color w:val="000000"/>
          <w:sz w:val="15"/>
          <w:szCs w:val="15"/>
          <w:shd w:val="clear" w:color="auto" w:fill="FFFFFF"/>
        </w:rPr>
        <w:t xml:space="preserve"> 1</w:t>
      </w:r>
      <w:r>
        <w:rPr>
          <w:rFonts w:ascii="Century Gothic" w:hAnsi="Century Gothic"/>
          <w:color w:val="000000"/>
          <w:sz w:val="15"/>
          <w:szCs w:val="15"/>
          <w:shd w:val="clear" w:color="auto" w:fill="FFFFFF"/>
        </w:rPr>
        <w:t>86 </w:t>
      </w:r>
      <w:r w:rsidRPr="004565E9">
        <w:rPr>
          <w:rFonts w:ascii="Century Gothic" w:hAnsi="Century Gothic"/>
          <w:color w:val="000000"/>
          <w:sz w:val="15"/>
          <w:szCs w:val="15"/>
          <w:shd w:val="clear" w:color="auto" w:fill="FFFFFF"/>
        </w:rPr>
        <w:t>7</w:t>
      </w:r>
      <w:r>
        <w:rPr>
          <w:rFonts w:ascii="Century Gothic" w:hAnsi="Century Gothic"/>
          <w:color w:val="000000"/>
          <w:sz w:val="15"/>
          <w:szCs w:val="15"/>
          <w:shd w:val="clear" w:color="auto" w:fill="FFFFFF"/>
        </w:rPr>
        <w:t>48</w:t>
      </w:r>
    </w:p>
    <w:p w14:paraId="00000018" w14:textId="77777777" w:rsidR="0064434C" w:rsidRDefault="0064434C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64434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F300" w14:textId="77777777" w:rsidR="00C85C3F" w:rsidRDefault="00C85C3F">
      <w:r>
        <w:separator/>
      </w:r>
    </w:p>
  </w:endnote>
  <w:endnote w:type="continuationSeparator" w:id="0">
    <w:p w14:paraId="10AE2C6C" w14:textId="77777777" w:rsidR="00C85C3F" w:rsidRDefault="00C8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5A31" w14:textId="77777777" w:rsidR="00C85C3F" w:rsidRDefault="00C85C3F">
      <w:r>
        <w:separator/>
      </w:r>
    </w:p>
  </w:footnote>
  <w:footnote w:type="continuationSeparator" w:id="0">
    <w:p w14:paraId="7E52EA9E" w14:textId="77777777" w:rsidR="00C85C3F" w:rsidRDefault="00C85C3F">
      <w:r>
        <w:continuationSeparator/>
      </w:r>
    </w:p>
  </w:footnote>
  <w:footnote w:id="1">
    <w:p w14:paraId="00000019" w14:textId="77777777" w:rsidR="0064434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MENA – region obejmujący, m.in.: Azję Zachodnią, Afrykę Północną, Egipt, Iran, Kuwejt czy Katar</w:t>
      </w:r>
    </w:p>
  </w:footnote>
  <w:footnote w:id="2">
    <w:p w14:paraId="0000001A" w14:textId="77777777" w:rsidR="0064434C" w:rsidRPr="00E04AC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E04ACA">
        <w:rPr>
          <w:color w:val="000000"/>
          <w:sz w:val="20"/>
          <w:szCs w:val="20"/>
          <w:lang w:val="en-US"/>
        </w:rPr>
        <w:t xml:space="preserve"> Digital advertising in the Middle East and North Africa - statistics &amp; facts, Statista.com </w:t>
      </w:r>
    </w:p>
  </w:footnote>
  <w:footnote w:id="3">
    <w:p w14:paraId="0000001B" w14:textId="77777777" w:rsidR="0064434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E-commerce </w:t>
      </w:r>
      <w:proofErr w:type="spellStart"/>
      <w:r>
        <w:rPr>
          <w:color w:val="000000"/>
          <w:sz w:val="20"/>
          <w:szCs w:val="20"/>
        </w:rPr>
        <w:t>Sector</w:t>
      </w:r>
      <w:proofErr w:type="spellEnd"/>
      <w:r>
        <w:rPr>
          <w:color w:val="000000"/>
          <w:sz w:val="20"/>
          <w:szCs w:val="20"/>
        </w:rPr>
        <w:t xml:space="preserve"> in the MENA Region, Ezdubai.ae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4C"/>
    <w:rsid w:val="000E0E67"/>
    <w:rsid w:val="001F4D1D"/>
    <w:rsid w:val="003265FC"/>
    <w:rsid w:val="0061142C"/>
    <w:rsid w:val="0064434C"/>
    <w:rsid w:val="00773837"/>
    <w:rsid w:val="008261CE"/>
    <w:rsid w:val="009D27DA"/>
    <w:rsid w:val="00C85C3F"/>
    <w:rsid w:val="00E0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22C45"/>
  <w15:docId w15:val="{7A184141-F6F3-9649-97A2-A602F8D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9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9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010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03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0B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0B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B5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8B1"/>
  </w:style>
  <w:style w:type="paragraph" w:styleId="Stopka">
    <w:name w:val="footer"/>
    <w:basedOn w:val="Normalny"/>
    <w:link w:val="StopkaZnak"/>
    <w:uiPriority w:val="99"/>
    <w:unhideWhenUsed/>
    <w:rsid w:val="003E4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8B1"/>
  </w:style>
  <w:style w:type="character" w:customStyle="1" w:styleId="apple-converted-space">
    <w:name w:val="apple-converted-space"/>
    <w:basedOn w:val="Domylnaczcionkaakapitu"/>
    <w:rsid w:val="00DA4BB1"/>
  </w:style>
  <w:style w:type="character" w:customStyle="1" w:styleId="searchhighlight">
    <w:name w:val="searchhighlight"/>
    <w:basedOn w:val="Domylnaczcionkaakapitu"/>
    <w:rsid w:val="00DA4BB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al@lightscap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tomicka@lightscap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CwILRKPl2tqved7pJ1/uBp19w==">CgMxLjA4AHIhMW5ndDBTWGJNTGRNbTVOa2FieTlpWlZIZmhCS1g5MDdQ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Góral</dc:creator>
  <cp:lastModifiedBy>Maksymilian Szer</cp:lastModifiedBy>
  <cp:revision>7</cp:revision>
  <dcterms:created xsi:type="dcterms:W3CDTF">2023-08-01T08:53:00Z</dcterms:created>
  <dcterms:modified xsi:type="dcterms:W3CDTF">2023-08-04T07:28:00Z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0x0101006E04646B7DE3844A955A273E04B16774</vt:lpwstr>
  </property>
</Properties>
</file>