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0027D" w14:textId="77777777" w:rsidR="00045F40" w:rsidRDefault="000460C8">
      <w:pPr>
        <w:pBdr>
          <w:bottom w:val="single" w:sz="12" w:space="1" w:color="auto"/>
        </w:pBdr>
        <w:jc w:val="both"/>
        <w:rPr>
          <w:rFonts w:asciiTheme="majorHAnsi" w:hAnsiTheme="majorHAnsi" w:cs="Times New Roman"/>
          <w:b/>
          <w:color w:val="auto"/>
          <w:sz w:val="28"/>
          <w:szCs w:val="18"/>
          <w:lang w:val="lv-LV"/>
        </w:rPr>
      </w:pPr>
      <w:r>
        <w:rPr>
          <w:rFonts w:asciiTheme="majorHAnsi" w:hAnsiTheme="majorHAnsi"/>
          <w:b/>
          <w:sz w:val="28"/>
          <w:szCs w:val="18"/>
          <w:lang w:val="lv-LV"/>
        </w:rPr>
        <w:t>INFORMACJA PRASOWA</w:t>
      </w:r>
    </w:p>
    <w:p w14:paraId="04A0027E" w14:textId="45AB979A" w:rsidR="00045F40" w:rsidRDefault="000460C8">
      <w:pPr>
        <w:jc w:val="both"/>
        <w:rPr>
          <w:rFonts w:asciiTheme="majorHAnsi" w:hAnsiTheme="majorHAnsi"/>
          <w:sz w:val="18"/>
          <w:szCs w:val="18"/>
          <w:lang w:val="lv-LV"/>
        </w:rPr>
      </w:pPr>
      <w:r w:rsidRPr="00FE4F2F">
        <w:rPr>
          <w:rFonts w:asciiTheme="majorHAnsi" w:hAnsiTheme="majorHAnsi"/>
          <w:sz w:val="18"/>
          <w:szCs w:val="18"/>
          <w:lang w:val="lv-LV"/>
        </w:rPr>
        <w:t xml:space="preserve">Gdańsk, </w:t>
      </w:r>
      <w:r w:rsidR="00735BEE">
        <w:rPr>
          <w:rFonts w:asciiTheme="majorHAnsi" w:hAnsiTheme="majorHAnsi"/>
          <w:sz w:val="18"/>
          <w:szCs w:val="18"/>
          <w:lang w:val="lv-LV"/>
        </w:rPr>
        <w:t>6</w:t>
      </w:r>
      <w:r w:rsidRPr="00FE4F2F">
        <w:rPr>
          <w:rFonts w:asciiTheme="majorHAnsi" w:hAnsiTheme="majorHAnsi"/>
          <w:sz w:val="18"/>
          <w:szCs w:val="18"/>
          <w:lang w:val="lv-LV"/>
        </w:rPr>
        <w:t xml:space="preserve"> </w:t>
      </w:r>
      <w:r w:rsidR="0071381E">
        <w:rPr>
          <w:rFonts w:asciiTheme="majorHAnsi" w:hAnsiTheme="majorHAnsi"/>
          <w:sz w:val="18"/>
          <w:szCs w:val="18"/>
          <w:lang w:val="lv-LV"/>
        </w:rPr>
        <w:t>września</w:t>
      </w:r>
      <w:r w:rsidRPr="00FE4F2F">
        <w:rPr>
          <w:rFonts w:asciiTheme="majorHAnsi" w:hAnsiTheme="majorHAnsi"/>
          <w:sz w:val="18"/>
          <w:szCs w:val="18"/>
          <w:lang w:val="lv-LV"/>
        </w:rPr>
        <w:t xml:space="preserve"> 202</w:t>
      </w:r>
      <w:r w:rsidR="00F03137" w:rsidRPr="00FE4F2F">
        <w:rPr>
          <w:rFonts w:asciiTheme="majorHAnsi" w:hAnsiTheme="majorHAnsi"/>
          <w:sz w:val="18"/>
          <w:szCs w:val="18"/>
          <w:lang w:val="lv-LV"/>
        </w:rPr>
        <w:t>3</w:t>
      </w:r>
      <w:r w:rsidRPr="00FE4F2F">
        <w:rPr>
          <w:rFonts w:asciiTheme="majorHAnsi" w:hAnsiTheme="majorHAnsi"/>
          <w:sz w:val="18"/>
          <w:szCs w:val="18"/>
          <w:lang w:val="lv-LV"/>
        </w:rPr>
        <w:t xml:space="preserve"> r</w:t>
      </w:r>
      <w:r w:rsidR="00BA49AA" w:rsidRPr="00FE4F2F">
        <w:rPr>
          <w:rFonts w:asciiTheme="majorHAnsi" w:hAnsiTheme="majorHAnsi"/>
          <w:sz w:val="18"/>
          <w:szCs w:val="18"/>
          <w:lang w:val="lv-LV"/>
        </w:rPr>
        <w:t>.</w:t>
      </w:r>
    </w:p>
    <w:p w14:paraId="04A0027F" w14:textId="77777777" w:rsidR="00045F40" w:rsidRDefault="00045F40">
      <w:pPr>
        <w:spacing w:line="276" w:lineRule="auto"/>
        <w:jc w:val="both"/>
        <w:rPr>
          <w:rFonts w:asciiTheme="majorHAnsi" w:hAnsiTheme="majorHAnsi" w:cstheme="minorHAnsi"/>
          <w:b/>
          <w:bCs/>
          <w:iCs/>
          <w:color w:val="314173"/>
          <w:sz w:val="24"/>
          <w:szCs w:val="21"/>
        </w:rPr>
      </w:pPr>
    </w:p>
    <w:p w14:paraId="04A00280" w14:textId="33D6A1E6" w:rsidR="00045F40" w:rsidRDefault="0071381E">
      <w:pPr>
        <w:spacing w:line="276" w:lineRule="auto"/>
        <w:jc w:val="both"/>
        <w:rPr>
          <w:rFonts w:asciiTheme="majorHAnsi" w:hAnsiTheme="majorHAnsi" w:cstheme="minorHAnsi"/>
          <w:b/>
          <w:bCs/>
          <w:iCs/>
          <w:color w:val="314173"/>
          <w:sz w:val="28"/>
          <w:szCs w:val="28"/>
        </w:rPr>
      </w:pPr>
      <w:bookmarkStart w:id="0" w:name="_Hlk144370456"/>
      <w:r w:rsidRPr="0071381E">
        <w:rPr>
          <w:rFonts w:asciiTheme="majorHAnsi" w:hAnsiTheme="majorHAnsi" w:cstheme="minorHAnsi"/>
          <w:b/>
          <w:bCs/>
          <w:iCs/>
          <w:color w:val="314173"/>
          <w:sz w:val="28"/>
          <w:szCs w:val="28"/>
        </w:rPr>
        <w:t>Dyrektywa NPL zmieni rynek windykacyjny w Polsce? Debata podczas XIV Kongresu Zarządzania Wierzytelnościami we Wrocławiu</w:t>
      </w:r>
    </w:p>
    <w:bookmarkEnd w:id="0"/>
    <w:p w14:paraId="04A00281" w14:textId="77777777" w:rsidR="00045F40" w:rsidRDefault="00045F40">
      <w:pPr>
        <w:spacing w:line="276" w:lineRule="auto"/>
        <w:jc w:val="both"/>
        <w:rPr>
          <w:rFonts w:asciiTheme="majorHAnsi" w:hAnsiTheme="majorHAnsi"/>
          <w:iCs/>
          <w:color w:val="auto"/>
          <w:spacing w:val="-2"/>
          <w:sz w:val="21"/>
          <w:szCs w:val="21"/>
        </w:rPr>
      </w:pPr>
    </w:p>
    <w:p w14:paraId="2D669C90" w14:textId="7B27A919" w:rsidR="00443D95" w:rsidRDefault="0071381E" w:rsidP="00DE22DD">
      <w:pPr>
        <w:spacing w:line="276" w:lineRule="auto"/>
        <w:jc w:val="both"/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</w:pPr>
      <w:bookmarkStart w:id="1" w:name="_Hlk138917714"/>
      <w:r w:rsidRPr="0071381E"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  <w:t>Ministerstwo Finansów przygotowało już pierwszą wersję projektu ustawy, której celem jest wdrożenie unijnej Dyrektywy NPL. To najważniejszy akt prawny, który w najbliższych latach będzie wyznaczał wspólne ramy działania firm windykacyjnych w Europie</w:t>
      </w:r>
      <w:r w:rsidR="006D74B4" w:rsidRPr="006D74B4"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  <w:t>.</w:t>
      </w:r>
      <w:bookmarkEnd w:id="1"/>
    </w:p>
    <w:p w14:paraId="6273C092" w14:textId="77777777" w:rsidR="00765CA7" w:rsidRPr="00DE22DD" w:rsidRDefault="00765CA7" w:rsidP="00DE22DD">
      <w:pPr>
        <w:spacing w:line="276" w:lineRule="auto"/>
        <w:jc w:val="both"/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</w:pPr>
    </w:p>
    <w:p w14:paraId="55FE2A0D" w14:textId="5C5701FF" w:rsidR="0071381E" w:rsidRDefault="0071381E" w:rsidP="0071381E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  <w:bookmarkStart w:id="2" w:name="_Hlk144370487"/>
      <w:r w:rsidRPr="0071381E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>Ujednolicenie zasad nadzoru nad podmiotami z rynku wierzytelności, uregulowanie stosunków prawnych z wierzycielami, transgraniczność usług - to tylko niektóre z głównych założeń Dyrektywy NPL (Non-Performing Loans), opracowanej przez Komisję Europejską.</w:t>
      </w:r>
    </w:p>
    <w:p w14:paraId="0EDEB30D" w14:textId="77777777" w:rsidR="0071381E" w:rsidRPr="0071381E" w:rsidRDefault="0071381E" w:rsidP="0071381E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</w:p>
    <w:p w14:paraId="73B9AF49" w14:textId="42AA1111" w:rsidR="006D74B4" w:rsidRDefault="0071381E" w:rsidP="0071381E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  <w:r w:rsidRPr="0071381E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>O tym, jaki wpływ będzie miało wprowadzenie unijnych przepisów na rynek firm zarządzających wierzytelnościami w Polsce, będą rozmawiać goście zaproszeni do debaty zorganizowanej w ramach XIV Kongresu Zarządzania Wierzytelnościami 14-15 września we Wrocławiu. Organizatorem wydarzenia jest Związek Przedsiębiorstw Finansowych w Polsce (ZPF).</w:t>
      </w:r>
      <w:bookmarkEnd w:id="2"/>
    </w:p>
    <w:p w14:paraId="0D5D7E2B" w14:textId="4003C972" w:rsidR="0071381E" w:rsidRDefault="00D247A8" w:rsidP="00D247A8">
      <w:pPr>
        <w:tabs>
          <w:tab w:val="left" w:pos="5412"/>
        </w:tabs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  <w:r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ab/>
      </w:r>
    </w:p>
    <w:p w14:paraId="39311897" w14:textId="77777777" w:rsidR="0071381E" w:rsidRPr="0071381E" w:rsidRDefault="0071381E" w:rsidP="0071381E">
      <w:pPr>
        <w:spacing w:line="276" w:lineRule="auto"/>
        <w:jc w:val="both"/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</w:pPr>
      <w:r w:rsidRPr="0071381E"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  <w:t>Opinie ekspertów na temat Dyrektywy NPL</w:t>
      </w:r>
    </w:p>
    <w:p w14:paraId="4FCE45CC" w14:textId="77777777" w:rsidR="0071381E" w:rsidRPr="0071381E" w:rsidRDefault="0071381E" w:rsidP="0071381E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</w:p>
    <w:p w14:paraId="2B893DC9" w14:textId="77777777" w:rsidR="0071381E" w:rsidRDefault="0071381E" w:rsidP="0071381E">
      <w:pPr>
        <w:spacing w:line="276" w:lineRule="auto"/>
        <w:jc w:val="both"/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</w:pPr>
      <w:r w:rsidRPr="0071381E"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  <w:t>Marcin Czugan, radca prawny, prezes ZPF</w:t>
      </w:r>
    </w:p>
    <w:p w14:paraId="571D7AB3" w14:textId="77777777" w:rsidR="0071381E" w:rsidRPr="0071381E" w:rsidRDefault="0071381E" w:rsidP="0071381E">
      <w:pPr>
        <w:spacing w:line="276" w:lineRule="auto"/>
        <w:jc w:val="both"/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</w:pPr>
    </w:p>
    <w:p w14:paraId="4B141532" w14:textId="73F81901" w:rsidR="0071381E" w:rsidRDefault="0071381E" w:rsidP="0071381E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  <w:r w:rsidRPr="0071381E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>Komisja Europejska jest jedną z instytucji, któr</w:t>
      </w:r>
      <w:r w:rsidR="00EB00D1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>a</w:t>
      </w:r>
      <w:r w:rsidRPr="0071381E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 xml:space="preserve"> </w:t>
      </w:r>
      <w:r w:rsidR="00EB00D1" w:rsidRPr="0071381E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>dostrzeg</w:t>
      </w:r>
      <w:r w:rsidR="00EB00D1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>ła</w:t>
      </w:r>
      <w:r w:rsidRPr="0071381E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>, że prawidłowo funkcjonujący rynek wierzytelności jest istotnym gwarantem dobrze działającego systemu finansowego.</w:t>
      </w:r>
    </w:p>
    <w:p w14:paraId="0E9516F3" w14:textId="77777777" w:rsidR="0071381E" w:rsidRPr="0071381E" w:rsidRDefault="0071381E" w:rsidP="0071381E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</w:p>
    <w:p w14:paraId="5C7DFC73" w14:textId="2FFF2EC3" w:rsidR="0071381E" w:rsidRDefault="0071381E" w:rsidP="0071381E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  <w:r w:rsidRPr="0071381E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 xml:space="preserve">Dyrektywa NPL to zdecydowanie najważniejszy akt prawny, który w najbliższych latach będzie wyznaczał wspólne ramy działania firm windykacyjnych w Europie. Podmioty zostaną poddane pod nadzór finansowy, </w:t>
      </w:r>
      <w:r w:rsidR="00D247A8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>będą</w:t>
      </w:r>
      <w:r w:rsidR="00D247A8" w:rsidRPr="0071381E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 xml:space="preserve"> </w:t>
      </w:r>
      <w:r w:rsidRPr="0071381E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 xml:space="preserve">wprowadzone jednolite zasady uzyskania zezwolenia na </w:t>
      </w:r>
      <w:r w:rsidR="002179CD" w:rsidRPr="0071381E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>działalność, Dyrektywa</w:t>
      </w:r>
      <w:r w:rsidRPr="0071381E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 xml:space="preserve"> obejmie też uregulowanie stosunków prawnych z wierzycielami, w imieniu których działają.</w:t>
      </w:r>
    </w:p>
    <w:p w14:paraId="34483089" w14:textId="77777777" w:rsidR="0071381E" w:rsidRPr="0071381E" w:rsidRDefault="0071381E" w:rsidP="0071381E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</w:p>
    <w:p w14:paraId="684AA716" w14:textId="77777777" w:rsidR="0071381E" w:rsidRDefault="0071381E" w:rsidP="0071381E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  <w:r w:rsidRPr="0071381E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>Novum w stosunku do aktualnego stanu prawnego będzie także transgraniczność dokonywania czynności windykacyjnych. Wpis do rejestru firm windykacyjnych (zwanych w Dyrektywie „podmiotami obsługującymi kredyty”) w jednym kraju otworzy możliwość dokonywania czynności windykacyjnych w każdym kraju członkowskim Unii Europejskiej (pod warunkiem notyfikacji tych usług).</w:t>
      </w:r>
    </w:p>
    <w:p w14:paraId="1360787E" w14:textId="77777777" w:rsidR="0071381E" w:rsidRPr="0071381E" w:rsidRDefault="0071381E" w:rsidP="0071381E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</w:p>
    <w:p w14:paraId="12F8D2A2" w14:textId="0FE425B1" w:rsidR="0071381E" w:rsidRDefault="0071381E" w:rsidP="0071381E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  <w:r w:rsidRPr="0071381E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 xml:space="preserve">W tym zapisie dostrzegam </w:t>
      </w:r>
      <w:r w:rsidR="00EB00D1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 xml:space="preserve">także </w:t>
      </w:r>
      <w:r w:rsidRPr="0071381E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 xml:space="preserve">szansę rozwoju polskich podmiotów z sektora zarządzania wierzytelnościami, które posiadają już znaczną renomę w Europie. </w:t>
      </w:r>
      <w:r w:rsidR="00EB00D1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 xml:space="preserve">Niezależnie od tego, polski rynek zarządzania wierzytelnościami czeka pierwszy podmiotowo akt prawny, który ugruntuje rolę firm windykacyjnych jako stały element i część rynku finansowego. </w:t>
      </w:r>
    </w:p>
    <w:p w14:paraId="05D953C2" w14:textId="77777777" w:rsidR="004E294B" w:rsidRPr="0071381E" w:rsidRDefault="004E294B" w:rsidP="0071381E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</w:p>
    <w:p w14:paraId="6EB549F2" w14:textId="77777777" w:rsidR="0071381E" w:rsidRPr="0071381E" w:rsidRDefault="0071381E" w:rsidP="0071381E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</w:p>
    <w:p w14:paraId="3BE2B27D" w14:textId="459DE158" w:rsidR="0071381E" w:rsidRDefault="0071381E" w:rsidP="0071381E">
      <w:pPr>
        <w:spacing w:line="276" w:lineRule="auto"/>
        <w:jc w:val="both"/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</w:pPr>
      <w:r w:rsidRPr="0071381E"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  <w:t>Michał Kwieciński, adwokat</w:t>
      </w:r>
      <w:r w:rsidR="00522B8F"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  <w:t>,</w:t>
      </w:r>
      <w:r w:rsidRPr="0071381E"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  <w:t xml:space="preserve"> partner zarządzający, Kancelaria RK Legal, zrzeszona w ZPF</w:t>
      </w:r>
    </w:p>
    <w:p w14:paraId="1EB5CE65" w14:textId="77777777" w:rsidR="0071381E" w:rsidRPr="0071381E" w:rsidRDefault="0071381E" w:rsidP="0071381E">
      <w:pPr>
        <w:spacing w:line="276" w:lineRule="auto"/>
        <w:jc w:val="both"/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</w:pPr>
    </w:p>
    <w:p w14:paraId="02E63CB5" w14:textId="3FBBC9B0" w:rsidR="0071381E" w:rsidRDefault="0071381E" w:rsidP="0071381E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  <w:r w:rsidRPr="0071381E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 xml:space="preserve">Dyrektywa NPL, wyznaczając wspólne ramy i wymogi dla sprzedaży oraz obsługi wierzytelności bankowych obejmujących nieobsługiwane (niespłacane) kredyty konsumenckie, ma doprowadzić do ujednolicenia tego rynku na terenie całej Unii Europejskiej. Wprowadzenie kompleksowej regulacji daje </w:t>
      </w:r>
      <w:r w:rsidRPr="0071381E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lastRenderedPageBreak/>
        <w:t>ogromną szansę na znaczący rozwój branży zajmującej się zarządzeniem tego rodzaju wierzytelnościami.</w:t>
      </w:r>
    </w:p>
    <w:p w14:paraId="71BE728E" w14:textId="77777777" w:rsidR="0071381E" w:rsidRPr="0071381E" w:rsidRDefault="0071381E" w:rsidP="0071381E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</w:p>
    <w:p w14:paraId="55B39051" w14:textId="77777777" w:rsidR="0071381E" w:rsidRDefault="0071381E" w:rsidP="0071381E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  <w:r w:rsidRPr="0071381E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>Wypracowanie wspólnych dla całej UE standardów doprowadzi do powstania wewnątrzunijnego środowiska do radzenia sobie z nieobsługiwanymi kredytami konsumenckimi, ujętymi w bilansach bankowych oraz zmniejszenia akumulacji nieobsługiwanych kredytów w przyszłości. W konsekwencji powiększy to również rynek, w którym operują podmioty zarządzające wierzytelnościami bankowymi.</w:t>
      </w:r>
    </w:p>
    <w:p w14:paraId="013CA257" w14:textId="77777777" w:rsidR="0071381E" w:rsidRPr="0071381E" w:rsidRDefault="0071381E" w:rsidP="0071381E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</w:p>
    <w:p w14:paraId="64B465D7" w14:textId="77777777" w:rsidR="0071381E" w:rsidRDefault="0071381E" w:rsidP="0071381E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  <w:r w:rsidRPr="0071381E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>Złagodzone zostaną m.in. warunki wejścia na poszczególne krajowe rynki. Co również istotne, Dyrektywa nakłada na banki w całej UE tożsame obowiązki w zakresie udostępniania danych w procesach sprzedaży wierzytelności. To jednoznacznie przełoży się na przejrzystość procesów sprzedaży portfeli wierzytelności, zwiększy wiedzę kupującego na temat oferowanych portfeli, ale także doprowadzi do wzrostu konkurencji na rynku z korzyścią również dla sektora bankowego.</w:t>
      </w:r>
    </w:p>
    <w:p w14:paraId="61DD5915" w14:textId="77777777" w:rsidR="0071381E" w:rsidRPr="0071381E" w:rsidRDefault="0071381E" w:rsidP="0071381E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</w:p>
    <w:p w14:paraId="77B3E7F5" w14:textId="2933A9E5" w:rsidR="0071381E" w:rsidRDefault="0071381E" w:rsidP="0071381E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  <w:r w:rsidRPr="0071381E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 xml:space="preserve">Polski rynek zarządzania wierzytelności bankowymi, dojrzały i profesjonalny, jest przygotowany na nowe regulacje. Zmiany zdecydowanie odbieram jako szansę, a nie zagrożenie. Jednoznacznie świadczy o tym fakt przygotowania przez ZPF branżowego projektu ustawy implementującej założenia dyrektywy do polskiego systemu prawnego. </w:t>
      </w:r>
    </w:p>
    <w:p w14:paraId="7A3DEAA8" w14:textId="77777777" w:rsidR="0071381E" w:rsidRPr="0071381E" w:rsidRDefault="0071381E" w:rsidP="0071381E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</w:p>
    <w:p w14:paraId="4BD68FB3" w14:textId="77777777" w:rsidR="0071381E" w:rsidRDefault="0071381E" w:rsidP="0071381E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  <w:r w:rsidRPr="0071381E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>Nie można tracić z pola widzenia faktu, że Dyrektywa NPL musi zostać jeszcze zaimplementowana przez wszystkie państwa członkowskie do wewnątrzkrajowych systemów prawnych. To właśnie od właściwej implementacji zależeć będzie czy leżące u jej podstaw założenia zostaną spełnione.</w:t>
      </w:r>
    </w:p>
    <w:p w14:paraId="255C891B" w14:textId="77777777" w:rsidR="004E294B" w:rsidRPr="0071381E" w:rsidRDefault="004E294B" w:rsidP="0071381E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</w:p>
    <w:p w14:paraId="01539CE0" w14:textId="77777777" w:rsidR="0071381E" w:rsidRPr="0071381E" w:rsidRDefault="0071381E" w:rsidP="0071381E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</w:p>
    <w:p w14:paraId="7FB5DE7D" w14:textId="4FDF6B33" w:rsidR="0071381E" w:rsidRDefault="0071381E" w:rsidP="0071381E">
      <w:pPr>
        <w:spacing w:line="276" w:lineRule="auto"/>
        <w:jc w:val="both"/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</w:pPr>
      <w:r w:rsidRPr="0071381E"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  <w:t>Mi</w:t>
      </w:r>
      <w:r w:rsidR="00915598"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  <w:t>lena</w:t>
      </w:r>
      <w:r w:rsidRPr="0071381E"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  <w:t xml:space="preserve"> Palcewicz, radca prawny, Kancelaria Radców Prawnych Ryszewski, Szubierajski, zrzeszona w ZPF</w:t>
      </w:r>
    </w:p>
    <w:p w14:paraId="69E11874" w14:textId="77777777" w:rsidR="0071381E" w:rsidRPr="0071381E" w:rsidRDefault="0071381E" w:rsidP="0071381E">
      <w:pPr>
        <w:spacing w:line="276" w:lineRule="auto"/>
        <w:jc w:val="both"/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</w:pPr>
    </w:p>
    <w:p w14:paraId="7F256C8D" w14:textId="77777777" w:rsidR="0071381E" w:rsidRDefault="0071381E" w:rsidP="0071381E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  <w:r w:rsidRPr="0071381E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>Europejska dyrektywa dotycząca kredytów zagrożonych (NPL) koncentruje się na wprowadzeniu jednolitych wymogów formalnych dla wszystkich firm windykacyjnych (m.in. przewiduje działania windykacyjne tylko dla osób z licencją) oraz na rynku wtórnym kredytów zagrożonych, poprzez sprecyzowanie praw i obowiązków nabywców takich kredytów przy jednoczesnej ochronie praw kredytobiorców.</w:t>
      </w:r>
    </w:p>
    <w:p w14:paraId="2EEFE17B" w14:textId="77777777" w:rsidR="0071381E" w:rsidRPr="0071381E" w:rsidRDefault="0071381E" w:rsidP="0071381E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</w:p>
    <w:p w14:paraId="59C24E70" w14:textId="77777777" w:rsidR="0071381E" w:rsidRDefault="0071381E" w:rsidP="0071381E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  <w:r w:rsidRPr="0071381E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>Temat wdrożenia tej Dyrektywy jest znany polskiej branży finansowej już od dłuższego czasu, dlatego uważam, że jest ona odpowiednio przygotowana do wprowadzenia zmian.</w:t>
      </w:r>
    </w:p>
    <w:p w14:paraId="69ABD97E" w14:textId="77777777" w:rsidR="0071381E" w:rsidRPr="0071381E" w:rsidRDefault="0071381E" w:rsidP="0071381E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</w:p>
    <w:p w14:paraId="0E480A37" w14:textId="3E09877D" w:rsidR="0071381E" w:rsidRDefault="0071381E" w:rsidP="0071381E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  <w:r w:rsidRPr="0071381E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>Co istotne, do polskiego porządku prawnego zaimplementowano już m.in. obowiązek posiadania przez podmioty finansowe stosownych procedur dotyczących obsługi klientów tj. gwarantujących ich sprawiedliwe traktowanie czy też przewidując</w:t>
      </w:r>
      <w:r w:rsidR="00D247A8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>ych</w:t>
      </w:r>
      <w:r w:rsidRPr="0071381E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 xml:space="preserve"> badanie ich sytuacji finansowej przed udzieleniem kredytu.</w:t>
      </w:r>
    </w:p>
    <w:p w14:paraId="6B8F51AF" w14:textId="77777777" w:rsidR="0071381E" w:rsidRPr="0071381E" w:rsidRDefault="0071381E" w:rsidP="0071381E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</w:p>
    <w:p w14:paraId="719868A1" w14:textId="7CBC8631" w:rsidR="0071381E" w:rsidRDefault="0071381E" w:rsidP="0071381E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  <w:r w:rsidRPr="0071381E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>Oczekuje się, że skutki Dyrektywy poprawią przejrzystość i zapewnią uczciwe praktyki w zarządzaniu długiem oraz wpłyną na tempo ich odzyskiwania. Należy jednak zauważyć, że dokładny zakres tych zmian będzie zależał od konkretnych przepisów Dyrektywy oraz sposobu ich przyjęcia i interpretacji zapewniającej jej skuteczną integrację z krajowymi ramami prawnymi.</w:t>
      </w:r>
    </w:p>
    <w:p w14:paraId="4C7B9D5C" w14:textId="77777777" w:rsidR="004E294B" w:rsidRDefault="004E294B" w:rsidP="0071381E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</w:p>
    <w:p w14:paraId="5D03FFF5" w14:textId="77777777" w:rsidR="004E294B" w:rsidRDefault="004E294B" w:rsidP="0071381E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</w:p>
    <w:p w14:paraId="140036A0" w14:textId="77777777" w:rsidR="004E294B" w:rsidRDefault="004E294B" w:rsidP="0071381E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</w:p>
    <w:p w14:paraId="06415374" w14:textId="77777777" w:rsidR="0071381E" w:rsidRDefault="0071381E" w:rsidP="0071381E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</w:p>
    <w:p w14:paraId="50DE4E57" w14:textId="77777777" w:rsidR="0071381E" w:rsidRPr="004E294B" w:rsidRDefault="0071381E" w:rsidP="0071381E">
      <w:pPr>
        <w:spacing w:line="276" w:lineRule="auto"/>
        <w:jc w:val="both"/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</w:pPr>
      <w:r w:rsidRPr="004E294B"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  <w:t>Rynek rośnie w tempie 12 proc. rocznie. Teraz jest czas na dyskusję o jego przyszłości</w:t>
      </w:r>
    </w:p>
    <w:p w14:paraId="603E4010" w14:textId="77777777" w:rsidR="0071381E" w:rsidRPr="0071381E" w:rsidRDefault="0071381E" w:rsidP="0071381E">
      <w:pPr>
        <w:spacing w:line="276" w:lineRule="auto"/>
        <w:jc w:val="both"/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</w:pPr>
    </w:p>
    <w:p w14:paraId="7B7043EE" w14:textId="01E26115" w:rsidR="0071381E" w:rsidRDefault="0071381E" w:rsidP="0071381E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  <w:r w:rsidRPr="0071381E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>Ministerstwo Finansów</w:t>
      </w:r>
      <w:r w:rsidR="00D247A8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>,</w:t>
      </w:r>
      <w:r w:rsidRPr="0071381E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 xml:space="preserve"> jako organ właściwy do wdrożenia Dyrektywy NPL</w:t>
      </w:r>
      <w:r w:rsidR="00D247A8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>,</w:t>
      </w:r>
      <w:r w:rsidRPr="0071381E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 xml:space="preserve"> przygotowało już pierwszą wersję projektu odpowiedniej ustawy - będzie ona podlegała szerokim konsultacjom publicznym, </w:t>
      </w:r>
      <w:r w:rsidR="00345E1B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br/>
      </w:r>
      <w:r w:rsidRPr="0071381E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>w których ZPF weźmie udział.</w:t>
      </w:r>
    </w:p>
    <w:p w14:paraId="4944A2BF" w14:textId="77777777" w:rsidR="004E294B" w:rsidRPr="0071381E" w:rsidRDefault="004E294B" w:rsidP="0071381E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</w:p>
    <w:p w14:paraId="1CEB09FC" w14:textId="64B3076B" w:rsidR="0071381E" w:rsidRDefault="0071381E" w:rsidP="0071381E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  <w:r w:rsidRPr="0071381E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 xml:space="preserve">O potencjale rozwoju sektora zarządzania wierzytelnościami może świadczyć fakt, że 17 jego liderów (zrzeszonych w ZPF) w Polsce zarządza już wierzytelnościami o wartości sięgającej 160 mld zł (po I kw. 2023). Gromadzone od 2018 r. przez ZPF dane pokazują, że rynek rośnie w średnim tempie 2,8 proc. </w:t>
      </w:r>
      <w:r w:rsidR="00345E1B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br/>
      </w:r>
      <w:r w:rsidRPr="0071381E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>w ujęciu kwartalnym oraz 12,3 proc. w ujęciu rocznym.</w:t>
      </w:r>
    </w:p>
    <w:p w14:paraId="7D404C43" w14:textId="77777777" w:rsidR="0071381E" w:rsidRPr="0071381E" w:rsidRDefault="0071381E" w:rsidP="0071381E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</w:p>
    <w:p w14:paraId="7FEABA39" w14:textId="433074D5" w:rsidR="0071381E" w:rsidRDefault="0071381E" w:rsidP="0071381E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  <w:r w:rsidRPr="0071381E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 xml:space="preserve">Branża jest zgodna, że ustawodawca powinien się skupić na właściwej implementacji Dyrektywy NPL, </w:t>
      </w:r>
      <w:r w:rsidR="00345E1B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br/>
      </w:r>
      <w:r w:rsidRPr="0071381E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>z uwzględnieniem jej celu i faktu, że jest to pierwszy w historii akt prawny, który wyznaczy ramy funkcjonowania sektora na wiele lat.</w:t>
      </w:r>
    </w:p>
    <w:p w14:paraId="300FDB76" w14:textId="77777777" w:rsidR="004E294B" w:rsidRDefault="004E294B" w:rsidP="0071381E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</w:p>
    <w:p w14:paraId="60ED3BBE" w14:textId="77777777" w:rsidR="0071381E" w:rsidRPr="0071381E" w:rsidRDefault="0071381E" w:rsidP="0071381E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</w:p>
    <w:p w14:paraId="6291112F" w14:textId="77777777" w:rsidR="00F91A5E" w:rsidRDefault="00F91A5E">
      <w:r>
        <w:rPr>
          <w:rFonts w:asciiTheme="majorHAnsi" w:hAnsiTheme="majorHAnsi" w:cs="Calibri"/>
          <w:iCs/>
          <w:color w:val="auto"/>
          <w:spacing w:val="-2"/>
          <w:sz w:val="22"/>
          <w:szCs w:val="22"/>
        </w:rPr>
        <w:t>***</w:t>
      </w:r>
    </w:p>
    <w:p w14:paraId="35206C48" w14:textId="7ADF4618" w:rsidR="00F91A5E" w:rsidRPr="004E294B" w:rsidRDefault="00F91A5E" w:rsidP="0071381E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2"/>
          <w:szCs w:val="22"/>
        </w:rPr>
      </w:pPr>
    </w:p>
    <w:p w14:paraId="21D2AE5C" w14:textId="77777777" w:rsidR="0071381E" w:rsidRDefault="0071381E" w:rsidP="0071381E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  <w:r w:rsidRPr="004E294B"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  <w:t>XIV Kongres Zarządzania Wierzytelnościami</w:t>
      </w:r>
      <w:r w:rsidRPr="0071381E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 xml:space="preserve"> jest organizowany w ramach </w:t>
      </w:r>
      <w:r w:rsidRPr="004E294B"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  <w:t>Dni Zarządzania Wierzytelnościami</w:t>
      </w:r>
      <w:r w:rsidRPr="0071381E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>. To największe wydarzenie branżowe w Polsce dla firm zarządzających wierzytelnościami.</w:t>
      </w:r>
    </w:p>
    <w:p w14:paraId="617C5272" w14:textId="77777777" w:rsidR="0071381E" w:rsidRPr="0071381E" w:rsidRDefault="0071381E" w:rsidP="0071381E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</w:p>
    <w:p w14:paraId="2A77D2AB" w14:textId="559CF719" w:rsidR="0071381E" w:rsidRDefault="0071381E" w:rsidP="0071381E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  <w:r w:rsidRPr="0071381E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 xml:space="preserve">Zapraszamy do zapoznania się ze szczegółowymi informacjami na jego temat: </w:t>
      </w:r>
      <w:hyperlink r:id="rId11" w:history="1">
        <w:r w:rsidRPr="004722AE">
          <w:rPr>
            <w:rStyle w:val="Hipercze"/>
            <w:rFonts w:asciiTheme="majorHAnsi" w:hAnsiTheme="majorHAnsi" w:cs="Calibri"/>
            <w:iCs/>
            <w:spacing w:val="-2"/>
            <w:sz w:val="21"/>
            <w:szCs w:val="21"/>
          </w:rPr>
          <w:t>https://zpf.pl/dni-zarzadzania-wierzytelnosciami/</w:t>
        </w:r>
      </w:hyperlink>
    </w:p>
    <w:p w14:paraId="6765E67B" w14:textId="77777777" w:rsidR="0071381E" w:rsidRPr="0071381E" w:rsidRDefault="0071381E" w:rsidP="0071381E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</w:p>
    <w:p w14:paraId="7D3A05A3" w14:textId="4380B0CA" w:rsidR="0071381E" w:rsidRDefault="0071381E" w:rsidP="0071381E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  <w:r w:rsidRPr="0071381E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 xml:space="preserve">Do udziału w Kongresie zapraszamy przedstawicieli mediów. W tym celu prosimy o wcześniejszą akredytację. Zgłoszenia (imię i nazwisko, nazwa redakcji, numer kontaktowy) prosimy przesyłać na adres: </w:t>
      </w:r>
      <w:hyperlink r:id="rId12" w:history="1">
        <w:r w:rsidRPr="004722AE">
          <w:rPr>
            <w:rStyle w:val="Hipercze"/>
            <w:rFonts w:asciiTheme="majorHAnsi" w:hAnsiTheme="majorHAnsi" w:cs="Calibri"/>
            <w:iCs/>
            <w:spacing w:val="-2"/>
            <w:sz w:val="21"/>
            <w:szCs w:val="21"/>
          </w:rPr>
          <w:t>media@zpf.pl</w:t>
        </w:r>
      </w:hyperlink>
      <w:r w:rsidRPr="0071381E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>.</w:t>
      </w:r>
    </w:p>
    <w:p w14:paraId="51DF3FF4" w14:textId="77777777" w:rsidR="004E294B" w:rsidRDefault="004E294B" w:rsidP="0071381E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</w:p>
    <w:p w14:paraId="66CC4017" w14:textId="77777777" w:rsidR="0071381E" w:rsidRDefault="0071381E" w:rsidP="0071381E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</w:p>
    <w:p w14:paraId="2BBC9064" w14:textId="77777777" w:rsidR="004E294B" w:rsidRDefault="004E294B">
      <w:r>
        <w:rPr>
          <w:rFonts w:asciiTheme="majorHAnsi" w:hAnsiTheme="majorHAnsi" w:cs="Calibri"/>
          <w:iCs/>
          <w:color w:val="auto"/>
          <w:spacing w:val="-2"/>
          <w:sz w:val="22"/>
          <w:szCs w:val="22"/>
        </w:rPr>
        <w:t>***</w:t>
      </w:r>
    </w:p>
    <w:p w14:paraId="6F979269" w14:textId="24D8C9A5" w:rsidR="004E294B" w:rsidRPr="004E294B" w:rsidRDefault="004E294B" w:rsidP="0071381E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2"/>
          <w:szCs w:val="22"/>
        </w:rPr>
      </w:pPr>
    </w:p>
    <w:p w14:paraId="5B334ACB" w14:textId="77777777" w:rsidR="0071381E" w:rsidRPr="004E294B" w:rsidRDefault="0071381E" w:rsidP="0071381E">
      <w:pPr>
        <w:spacing w:line="276" w:lineRule="auto"/>
        <w:jc w:val="both"/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</w:pPr>
      <w:r w:rsidRPr="004E294B"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  <w:t>XIV Kongres Zarządzania Wierzytelnościami</w:t>
      </w:r>
    </w:p>
    <w:p w14:paraId="64A4F385" w14:textId="77777777" w:rsidR="0071381E" w:rsidRPr="0071381E" w:rsidRDefault="0071381E" w:rsidP="0071381E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</w:p>
    <w:p w14:paraId="59C93E4A" w14:textId="77777777" w:rsidR="0071381E" w:rsidRDefault="0071381E" w:rsidP="0071381E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  <w:r w:rsidRPr="0071381E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>Organizator: Związek Przedsiębiorstw Finansowych w Polsce</w:t>
      </w:r>
    </w:p>
    <w:p w14:paraId="73357969" w14:textId="77777777" w:rsidR="0071381E" w:rsidRPr="0071381E" w:rsidRDefault="0071381E" w:rsidP="0071381E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</w:p>
    <w:p w14:paraId="18676FFB" w14:textId="77777777" w:rsidR="0071381E" w:rsidRDefault="0071381E" w:rsidP="0071381E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  <w:r w:rsidRPr="0071381E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>Termin: 14-15 września 2023 r.</w:t>
      </w:r>
    </w:p>
    <w:p w14:paraId="6E61B979" w14:textId="77777777" w:rsidR="0071381E" w:rsidRPr="0071381E" w:rsidRDefault="0071381E" w:rsidP="0071381E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</w:p>
    <w:p w14:paraId="533FB484" w14:textId="77777777" w:rsidR="0071381E" w:rsidRDefault="0071381E" w:rsidP="0071381E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  <w:r w:rsidRPr="0071381E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>Miejsce: Hotel The Bridge Wrocław</w:t>
      </w:r>
    </w:p>
    <w:p w14:paraId="6AB7FD55" w14:textId="77777777" w:rsidR="0071381E" w:rsidRPr="0071381E" w:rsidRDefault="0071381E" w:rsidP="0071381E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</w:p>
    <w:p w14:paraId="67768F90" w14:textId="1501A6E8" w:rsidR="00027524" w:rsidRDefault="0071381E" w:rsidP="0071381E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  <w:r w:rsidRPr="0071381E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 xml:space="preserve">Strona wydarzenia: </w:t>
      </w:r>
      <w:hyperlink r:id="rId13" w:history="1">
        <w:r w:rsidRPr="004722AE">
          <w:rPr>
            <w:rStyle w:val="Hipercze"/>
            <w:rFonts w:asciiTheme="majorHAnsi" w:hAnsiTheme="majorHAnsi" w:cs="Calibri"/>
            <w:iCs/>
            <w:spacing w:val="-2"/>
            <w:sz w:val="21"/>
            <w:szCs w:val="21"/>
          </w:rPr>
          <w:t>https://zpf.pl/kongres-zarzadzania-wierzytelnosciami/</w:t>
        </w:r>
      </w:hyperlink>
    </w:p>
    <w:p w14:paraId="275A74F3" w14:textId="77777777" w:rsidR="0071381E" w:rsidRDefault="0071381E" w:rsidP="0071381E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</w:p>
    <w:p w14:paraId="42FFAADB" w14:textId="77777777" w:rsidR="006D74B4" w:rsidRDefault="006D74B4">
      <w:pPr>
        <w:jc w:val="both"/>
        <w:rPr>
          <w:rFonts w:asciiTheme="majorHAnsi" w:hAnsiTheme="majorHAnsi" w:cstheme="minorHAnsi"/>
          <w:sz w:val="22"/>
          <w:szCs w:val="22"/>
        </w:rPr>
      </w:pPr>
      <w:bookmarkStart w:id="3" w:name="_Hlk120263354"/>
    </w:p>
    <w:p w14:paraId="1268FF60" w14:textId="77777777" w:rsidR="004E294B" w:rsidRDefault="004E294B">
      <w:pPr>
        <w:jc w:val="both"/>
        <w:rPr>
          <w:rFonts w:asciiTheme="majorHAnsi" w:hAnsiTheme="majorHAnsi" w:cstheme="minorHAnsi"/>
          <w:sz w:val="22"/>
          <w:szCs w:val="22"/>
        </w:rPr>
      </w:pPr>
    </w:p>
    <w:p w14:paraId="33334001" w14:textId="77777777" w:rsidR="004E294B" w:rsidRDefault="004E294B">
      <w:pPr>
        <w:jc w:val="both"/>
        <w:rPr>
          <w:rFonts w:asciiTheme="majorHAnsi" w:hAnsiTheme="majorHAnsi" w:cstheme="minorHAnsi"/>
          <w:sz w:val="22"/>
          <w:szCs w:val="22"/>
        </w:rPr>
      </w:pPr>
    </w:p>
    <w:p w14:paraId="276A4FA2" w14:textId="77777777" w:rsidR="004E294B" w:rsidRDefault="004E294B">
      <w:pPr>
        <w:jc w:val="both"/>
        <w:rPr>
          <w:rFonts w:asciiTheme="majorHAnsi" w:hAnsiTheme="majorHAnsi" w:cstheme="minorHAnsi"/>
          <w:sz w:val="22"/>
          <w:szCs w:val="22"/>
        </w:rPr>
      </w:pPr>
    </w:p>
    <w:p w14:paraId="55D970E4" w14:textId="77777777" w:rsidR="004E294B" w:rsidRDefault="004E294B">
      <w:pPr>
        <w:jc w:val="both"/>
        <w:rPr>
          <w:rFonts w:asciiTheme="majorHAnsi" w:hAnsiTheme="majorHAnsi" w:cstheme="minorHAnsi"/>
          <w:sz w:val="22"/>
          <w:szCs w:val="22"/>
        </w:rPr>
      </w:pPr>
    </w:p>
    <w:p w14:paraId="77D6B7C9" w14:textId="77777777" w:rsidR="004E294B" w:rsidRDefault="004E294B">
      <w:pPr>
        <w:jc w:val="both"/>
        <w:rPr>
          <w:rFonts w:asciiTheme="majorHAnsi" w:hAnsiTheme="majorHAnsi" w:cstheme="minorHAnsi"/>
          <w:sz w:val="22"/>
          <w:szCs w:val="22"/>
        </w:rPr>
      </w:pPr>
    </w:p>
    <w:p w14:paraId="066C0A10" w14:textId="77777777" w:rsidR="004E294B" w:rsidRDefault="004E294B">
      <w:pPr>
        <w:jc w:val="both"/>
        <w:rPr>
          <w:rFonts w:asciiTheme="majorHAnsi" w:hAnsiTheme="majorHAnsi" w:cstheme="minorHAnsi"/>
          <w:sz w:val="22"/>
          <w:szCs w:val="22"/>
        </w:rPr>
      </w:pPr>
    </w:p>
    <w:p w14:paraId="04A002AF" w14:textId="61638C06" w:rsidR="00045F40" w:rsidRDefault="000460C8">
      <w:pPr>
        <w:jc w:val="both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>***</w:t>
      </w:r>
    </w:p>
    <w:p w14:paraId="04A002B0" w14:textId="77777777" w:rsidR="00045F40" w:rsidRDefault="00045F40">
      <w:pPr>
        <w:jc w:val="both"/>
        <w:rPr>
          <w:rFonts w:asciiTheme="majorHAnsi" w:hAnsiTheme="majorHAnsi" w:cstheme="minorHAnsi"/>
          <w:sz w:val="22"/>
          <w:szCs w:val="22"/>
        </w:rPr>
      </w:pPr>
    </w:p>
    <w:p w14:paraId="04A002B1" w14:textId="77777777" w:rsidR="00045F40" w:rsidRDefault="000460C8">
      <w:p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  <w:bCs/>
        </w:rPr>
        <w:t>Związek Przedsiębiorstw Finansowych w Polsce</w:t>
      </w:r>
      <w:r>
        <w:rPr>
          <w:rFonts w:asciiTheme="majorHAnsi" w:hAnsiTheme="majorHAnsi"/>
        </w:rPr>
        <w:t xml:space="preserve"> to organizacja pracodawców w branży finansowej. </w:t>
      </w:r>
      <w:r>
        <w:rPr>
          <w:rFonts w:asciiTheme="majorHAnsi" w:hAnsiTheme="majorHAnsi"/>
        </w:rPr>
        <w:br/>
        <w:t>W skład ZPF wchodzi obecnie blisko 100 podmiotów reprezentujących najważniejsze sektory rynku. To m.in. banki, ubezpieczyciele, instytucje pożyczkowe, biura informacji gospodarczej, pośrednicy finansowi, podmioty zarządzające wierzytelnościami, organizatorzy crowdfundingu udziałowego.</w:t>
      </w:r>
    </w:p>
    <w:p w14:paraId="04A002B2" w14:textId="77777777" w:rsidR="00045F40" w:rsidRDefault="00045F40">
      <w:pPr>
        <w:spacing w:line="276" w:lineRule="auto"/>
        <w:jc w:val="both"/>
        <w:rPr>
          <w:rFonts w:asciiTheme="majorHAnsi" w:hAnsiTheme="majorHAnsi"/>
        </w:rPr>
      </w:pPr>
    </w:p>
    <w:p w14:paraId="04A002B3" w14:textId="77777777" w:rsidR="00045F40" w:rsidRDefault="000460C8">
      <w:p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Od ponad 20 lat ZPF działa na rzecz rozwoju rynku finansowego w Polsce i podnoszenia standardów etycznych w branży. ZPF występuje aktywnie jako partner społeczny w polskich i unijnych procesach legislacyjnych. ZPF należy do Rady Rozwoju Rynku Finansowego, powołanej przez Ministra Finansów Rzeczypospolitej Polskiej, a także reprezentuje polskie instytucje finansowe w UE.</w:t>
      </w:r>
    </w:p>
    <w:p w14:paraId="04A002B4" w14:textId="77777777" w:rsidR="00045F40" w:rsidRDefault="00045F40">
      <w:pPr>
        <w:spacing w:line="276" w:lineRule="auto"/>
        <w:jc w:val="both"/>
        <w:rPr>
          <w:rFonts w:asciiTheme="majorHAnsi" w:hAnsiTheme="majorHAnsi"/>
        </w:rPr>
      </w:pPr>
    </w:p>
    <w:p w14:paraId="04A002B5" w14:textId="77777777" w:rsidR="00045F40" w:rsidRDefault="000460C8">
      <w:p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ZPF ma w swoim dorobku badawczym kilkaset raportów branżowych. Organizuje kongresy, szkolenia </w:t>
      </w:r>
      <w:r>
        <w:rPr>
          <w:rFonts w:asciiTheme="majorHAnsi" w:hAnsiTheme="majorHAnsi"/>
        </w:rPr>
        <w:br/>
        <w:t>i wiele innych projektów dla przedstawicieli branży finansowej.</w:t>
      </w:r>
    </w:p>
    <w:p w14:paraId="04A002B6" w14:textId="77777777" w:rsidR="00045F40" w:rsidRDefault="00045F40">
      <w:pPr>
        <w:spacing w:line="276" w:lineRule="auto"/>
        <w:jc w:val="both"/>
        <w:rPr>
          <w:rFonts w:asciiTheme="majorHAnsi" w:hAnsiTheme="majorHAnsi"/>
        </w:rPr>
      </w:pPr>
    </w:p>
    <w:p w14:paraId="04A002B7" w14:textId="14A2C84A" w:rsidR="00045F40" w:rsidRDefault="000460C8">
      <w:p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Prezesem ZPF jest Marcin Czugan, radca prawny. W latach 2015-2017 przewodniczył Komitetowi Prawno-Politycznemu EUROFINAS (European Federation of Finance House Associations) w Brukseli, największej organizacji zrzeszającej kredytodawców kredytu konsumenckiego w Europie. Obecnie wchodzi również </w:t>
      </w:r>
      <w:r w:rsidR="00D541C3">
        <w:rPr>
          <w:rFonts w:asciiTheme="majorHAnsi" w:hAnsiTheme="majorHAnsi"/>
        </w:rPr>
        <w:br/>
      </w:r>
      <w:r>
        <w:rPr>
          <w:rFonts w:asciiTheme="majorHAnsi" w:hAnsiTheme="majorHAnsi"/>
        </w:rPr>
        <w:t>w skład jej zarządu.</w:t>
      </w:r>
    </w:p>
    <w:p w14:paraId="04A002B8" w14:textId="77777777" w:rsidR="00045F40" w:rsidRDefault="00045F40">
      <w:pPr>
        <w:jc w:val="both"/>
        <w:rPr>
          <w:rFonts w:asciiTheme="majorHAnsi" w:hAnsiTheme="majorHAnsi"/>
        </w:rPr>
      </w:pPr>
    </w:p>
    <w:p w14:paraId="04A002B9" w14:textId="77777777" w:rsidR="00045F40" w:rsidRDefault="000460C8">
      <w:pPr>
        <w:jc w:val="both"/>
        <w:rPr>
          <w:rFonts w:asciiTheme="majorHAnsi" w:hAnsiTheme="majorHAnsi"/>
          <w:b/>
          <w:color w:val="000090"/>
          <w:sz w:val="16"/>
          <w:szCs w:val="18"/>
        </w:rPr>
      </w:pPr>
      <w:r>
        <w:rPr>
          <w:rFonts w:asciiTheme="majorHAnsi" w:hAnsiTheme="majorHAnsi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4A002C2" wp14:editId="04A002C3">
            <wp:simplePos x="0" y="0"/>
            <wp:positionH relativeFrom="margin">
              <wp:align>left</wp:align>
            </wp:positionH>
            <wp:positionV relativeFrom="paragraph">
              <wp:posOffset>74930</wp:posOffset>
            </wp:positionV>
            <wp:extent cx="252095" cy="252095"/>
            <wp:effectExtent l="0" t="0" r="0" b="0"/>
            <wp:wrapSquare wrapText="bothSides"/>
            <wp:docPr id="3" name="Obraz 3" descr="Obraz zawierający tekst, clipar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Obraz zawierający tekst, clipar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" cy="252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A002BB" w14:textId="4D4087B1" w:rsidR="00045F40" w:rsidRDefault="00735BEE" w:rsidP="00E67710">
      <w:pPr>
        <w:jc w:val="both"/>
        <w:rPr>
          <w:rFonts w:asciiTheme="majorHAnsi" w:hAnsiTheme="majorHAnsi"/>
          <w:iCs/>
          <w:color w:val="auto"/>
          <w:spacing w:val="-2"/>
          <w:sz w:val="21"/>
          <w:szCs w:val="21"/>
        </w:rPr>
      </w:pPr>
      <w:hyperlink r:id="rId15" w:history="1">
        <w:r w:rsidR="000460C8">
          <w:rPr>
            <w:rStyle w:val="Hipercze"/>
            <w:rFonts w:asciiTheme="majorHAnsi" w:hAnsiTheme="majorHAnsi"/>
            <w:sz w:val="16"/>
            <w:szCs w:val="18"/>
          </w:rPr>
          <w:t>http://www.linkedin.com/company/zpf</w:t>
        </w:r>
      </w:hyperlink>
      <w:bookmarkEnd w:id="3"/>
    </w:p>
    <w:p w14:paraId="04A002BC" w14:textId="77777777" w:rsidR="00045F40" w:rsidRDefault="00045F40">
      <w:pPr>
        <w:spacing w:line="276" w:lineRule="auto"/>
        <w:jc w:val="both"/>
        <w:rPr>
          <w:rFonts w:asciiTheme="majorHAnsi" w:hAnsiTheme="majorHAnsi"/>
          <w:iCs/>
          <w:color w:val="auto"/>
          <w:spacing w:val="-2"/>
          <w:sz w:val="21"/>
          <w:szCs w:val="21"/>
        </w:rPr>
      </w:pPr>
    </w:p>
    <w:sectPr w:rsidR="00045F40">
      <w:headerReference w:type="default" r:id="rId16"/>
      <w:footerReference w:type="default" r:id="rId17"/>
      <w:type w:val="continuous"/>
      <w:pgSz w:w="11906" w:h="16838"/>
      <w:pgMar w:top="1843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CE388" w14:textId="77777777" w:rsidR="0008045D" w:rsidRDefault="0008045D">
      <w:r>
        <w:separator/>
      </w:r>
    </w:p>
    <w:p w14:paraId="54C1A3A2" w14:textId="77777777" w:rsidR="0008045D" w:rsidRDefault="0008045D"/>
  </w:endnote>
  <w:endnote w:type="continuationSeparator" w:id="0">
    <w:p w14:paraId="1AE05AA9" w14:textId="77777777" w:rsidR="0008045D" w:rsidRDefault="0008045D">
      <w:r>
        <w:continuationSeparator/>
      </w:r>
    </w:p>
    <w:p w14:paraId="2C02D74B" w14:textId="77777777" w:rsidR="0008045D" w:rsidRDefault="000804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/>
        <w:sz w:val="18"/>
        <w:szCs w:val="18"/>
      </w:rPr>
      <w:id w:val="-50545918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/>
            <w:sz w:val="18"/>
            <w:szCs w:val="18"/>
          </w:rPr>
          <w:id w:val="-1329895559"/>
          <w:docPartObj>
            <w:docPartGallery w:val="Page Numbers (Top of Page)"/>
            <w:docPartUnique/>
          </w:docPartObj>
        </w:sdtPr>
        <w:sdtEndPr/>
        <w:sdtContent>
          <w:p w14:paraId="04A002CD" w14:textId="77777777" w:rsidR="00045F40" w:rsidRDefault="000460C8">
            <w:pPr>
              <w:pStyle w:val="Stopka"/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58240" behindDoc="0" locked="0" layoutInCell="1" allowOverlap="1" wp14:anchorId="04A002D0" wp14:editId="04A002D1">
                  <wp:simplePos x="0" y="0"/>
                  <wp:positionH relativeFrom="column">
                    <wp:posOffset>-900430</wp:posOffset>
                  </wp:positionH>
                  <wp:positionV relativeFrom="paragraph">
                    <wp:posOffset>-178435</wp:posOffset>
                  </wp:positionV>
                  <wp:extent cx="5732145" cy="748030"/>
                  <wp:effectExtent l="0" t="0" r="0" b="0"/>
                  <wp:wrapNone/>
                  <wp:docPr id="10" name="Obraz 10" descr="D:\Dokumenty KPF\GRAFIKA\_ZPF_Identyfikacja wizualna\ZPF_DOKUMENTY\ZPF_stopka-bez-eur-25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kumenty KPF\GRAFIKA\_ZPF_Identyfikacja wizualna\ZPF_DOKUMENTY\ZPF_stopka-bez-eur-25.wm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42" t="-3" r="30226" b="3160"/>
                          <a:stretch/>
                        </pic:blipFill>
                        <pic:spPr bwMode="auto">
                          <a:xfrm>
                            <a:off x="0" y="0"/>
                            <a:ext cx="5732145" cy="748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ajorHAnsi" w:hAnsiTheme="majorHAnsi"/>
                <w:sz w:val="18"/>
                <w:szCs w:val="18"/>
              </w:rPr>
              <w:t xml:space="preserve">Strona 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begin"/>
            </w:r>
            <w:r>
              <w:rPr>
                <w:rFonts w:asciiTheme="majorHAnsi" w:hAnsiTheme="majorHAnsi"/>
                <w:sz w:val="18"/>
                <w:szCs w:val="18"/>
              </w:rPr>
              <w:instrText>PAGE</w:instrText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3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r>
              <w:rPr>
                <w:rFonts w:asciiTheme="majorHAnsi" w:hAnsiTheme="majorHAnsi"/>
                <w:sz w:val="18"/>
                <w:szCs w:val="18"/>
              </w:rPr>
              <w:t xml:space="preserve"> z 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begin"/>
            </w:r>
            <w:r>
              <w:rPr>
                <w:rFonts w:asciiTheme="majorHAnsi" w:hAnsiTheme="majorHAnsi"/>
                <w:sz w:val="18"/>
                <w:szCs w:val="18"/>
              </w:rPr>
              <w:instrText>NUMPAGES</w:instrText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3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9B0BF" w14:textId="77777777" w:rsidR="0008045D" w:rsidRDefault="0008045D">
      <w:r>
        <w:separator/>
      </w:r>
    </w:p>
    <w:p w14:paraId="205E63C2" w14:textId="77777777" w:rsidR="0008045D" w:rsidRDefault="0008045D"/>
  </w:footnote>
  <w:footnote w:type="continuationSeparator" w:id="0">
    <w:p w14:paraId="25D6CB65" w14:textId="77777777" w:rsidR="0008045D" w:rsidRDefault="0008045D">
      <w:r>
        <w:continuationSeparator/>
      </w:r>
    </w:p>
    <w:p w14:paraId="3C45BAEE" w14:textId="77777777" w:rsidR="0008045D" w:rsidRDefault="0008045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002CC" w14:textId="77777777" w:rsidR="00045F40" w:rsidRDefault="000460C8">
    <w:pPr>
      <w:pStyle w:val="Nagwek"/>
    </w:pPr>
    <w:r>
      <w:rPr>
        <w:rFonts w:asciiTheme="minorHAnsi" w:hAnsiTheme="minorHAnsi"/>
        <w:noProof/>
        <w:color w:val="1C2442"/>
      </w:rPr>
      <w:drawing>
        <wp:inline distT="0" distB="0" distL="0" distR="0" wp14:anchorId="04A002CE" wp14:editId="04A002CF">
          <wp:extent cx="1963973" cy="461729"/>
          <wp:effectExtent l="0" t="0" r="0" b="0"/>
          <wp:docPr id="9" name="Obraz 9" descr="D:\Dokumenty KPF\GRAFIKA\_ZPF_Identyfikacja wizualna\logo-zpf-wmf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Dokumenty KPF\GRAFIKA\_ZPF_Identyfikacja wizualna\logo-zpf-wmf.w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2095" cy="463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6A623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062590"/>
    <w:multiLevelType w:val="multilevel"/>
    <w:tmpl w:val="9D625442"/>
    <w:lvl w:ilvl="0">
      <w:start w:val="13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 w15:restartNumberingAfterBreak="0">
    <w:nsid w:val="102D4F5F"/>
    <w:multiLevelType w:val="hybridMultilevel"/>
    <w:tmpl w:val="536E174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42ADE"/>
    <w:multiLevelType w:val="multilevel"/>
    <w:tmpl w:val="99E44FEA"/>
    <w:lvl w:ilvl="0">
      <w:start w:val="12"/>
      <w:numFmt w:val="decimal"/>
      <w:lvlText w:val="%1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</w:abstractNum>
  <w:abstractNum w:abstractNumId="4" w15:restartNumberingAfterBreak="0">
    <w:nsid w:val="18A65DD3"/>
    <w:multiLevelType w:val="multilevel"/>
    <w:tmpl w:val="83B08D02"/>
    <w:lvl w:ilvl="0">
      <w:start w:val="12"/>
      <w:numFmt w:val="decimal"/>
      <w:lvlText w:val="%1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1">
      <w:start w:val="40"/>
      <w:numFmt w:val="decimal"/>
      <w:lvlText w:val="%1.%2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</w:abstractNum>
  <w:abstractNum w:abstractNumId="5" w15:restartNumberingAfterBreak="0">
    <w:nsid w:val="19A05079"/>
    <w:multiLevelType w:val="hybridMultilevel"/>
    <w:tmpl w:val="144AA0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CCF6739"/>
    <w:multiLevelType w:val="hybridMultilevel"/>
    <w:tmpl w:val="97F631AC"/>
    <w:lvl w:ilvl="0" w:tplc="04150005">
      <w:start w:val="1"/>
      <w:numFmt w:val="bullet"/>
      <w:lvlText w:val=""/>
      <w:lvlJc w:val="left"/>
      <w:pPr>
        <w:tabs>
          <w:tab w:val="num" w:pos="3168"/>
        </w:tabs>
        <w:ind w:left="31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488"/>
        </w:tabs>
        <w:ind w:left="74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08"/>
        </w:tabs>
        <w:ind w:left="82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928"/>
        </w:tabs>
        <w:ind w:left="8928" w:hanging="360"/>
      </w:pPr>
      <w:rPr>
        <w:rFonts w:ascii="Wingdings" w:hAnsi="Wingdings" w:hint="default"/>
      </w:rPr>
    </w:lvl>
  </w:abstractNum>
  <w:abstractNum w:abstractNumId="7" w15:restartNumberingAfterBreak="0">
    <w:nsid w:val="2DE145CD"/>
    <w:multiLevelType w:val="multilevel"/>
    <w:tmpl w:val="F466950E"/>
    <w:lvl w:ilvl="0">
      <w:start w:val="1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33836AD8"/>
    <w:multiLevelType w:val="hybridMultilevel"/>
    <w:tmpl w:val="3A38EBA8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 w15:restartNumberingAfterBreak="0">
    <w:nsid w:val="383E6AD8"/>
    <w:multiLevelType w:val="hybridMultilevel"/>
    <w:tmpl w:val="398AC8E4"/>
    <w:lvl w:ilvl="0" w:tplc="7BA008B6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F334E18"/>
    <w:multiLevelType w:val="multilevel"/>
    <w:tmpl w:val="849862FE"/>
    <w:lvl w:ilvl="0">
      <w:start w:val="15"/>
      <w:numFmt w:val="decimal"/>
      <w:lvlText w:val="%1"/>
      <w:lvlJc w:val="left"/>
      <w:pPr>
        <w:tabs>
          <w:tab w:val="num" w:pos="4065"/>
        </w:tabs>
        <w:ind w:left="4065" w:hanging="4065"/>
      </w:pPr>
      <w:rPr>
        <w:rFonts w:cs="Times New Roman" w:hint="default"/>
        <w:b/>
        <w:color w:val="FFFFFF"/>
      </w:rPr>
    </w:lvl>
    <w:lvl w:ilvl="1">
      <w:start w:val="45"/>
      <w:numFmt w:val="decimal"/>
      <w:lvlText w:val="%1.%2"/>
      <w:lvlJc w:val="left"/>
      <w:pPr>
        <w:tabs>
          <w:tab w:val="num" w:pos="4065"/>
        </w:tabs>
        <w:ind w:left="4065" w:hanging="4065"/>
      </w:pPr>
      <w:rPr>
        <w:rFonts w:cs="Times New Roman" w:hint="default"/>
        <w:b/>
        <w:color w:val="FFFFFF"/>
      </w:rPr>
    </w:lvl>
    <w:lvl w:ilvl="2">
      <w:start w:val="1"/>
      <w:numFmt w:val="decimal"/>
      <w:lvlText w:val="%1.%2.%3"/>
      <w:lvlJc w:val="left"/>
      <w:pPr>
        <w:tabs>
          <w:tab w:val="num" w:pos="4065"/>
        </w:tabs>
        <w:ind w:left="4065" w:hanging="4065"/>
      </w:pPr>
      <w:rPr>
        <w:rFonts w:cs="Times New Roman" w:hint="default"/>
        <w:b/>
        <w:color w:val="FFFFFF"/>
      </w:rPr>
    </w:lvl>
    <w:lvl w:ilvl="3">
      <w:start w:val="1"/>
      <w:numFmt w:val="decimal"/>
      <w:lvlText w:val="%1.%2.%3.%4"/>
      <w:lvlJc w:val="left"/>
      <w:pPr>
        <w:tabs>
          <w:tab w:val="num" w:pos="4065"/>
        </w:tabs>
        <w:ind w:left="4065" w:hanging="4065"/>
      </w:pPr>
      <w:rPr>
        <w:rFonts w:cs="Times New Roman" w:hint="default"/>
        <w:b/>
        <w:color w:val="FFFFFF"/>
      </w:rPr>
    </w:lvl>
    <w:lvl w:ilvl="4">
      <w:start w:val="1"/>
      <w:numFmt w:val="decimal"/>
      <w:lvlText w:val="%1.%2.%3.%4.%5"/>
      <w:lvlJc w:val="left"/>
      <w:pPr>
        <w:tabs>
          <w:tab w:val="num" w:pos="4065"/>
        </w:tabs>
        <w:ind w:left="4065" w:hanging="4065"/>
      </w:pPr>
      <w:rPr>
        <w:rFonts w:cs="Times New Roman" w:hint="default"/>
        <w:b/>
        <w:color w:val="FFFFFF"/>
      </w:rPr>
    </w:lvl>
    <w:lvl w:ilvl="5">
      <w:start w:val="1"/>
      <w:numFmt w:val="decimal"/>
      <w:lvlText w:val="%1.%2.%3.%4.%5.%6"/>
      <w:lvlJc w:val="left"/>
      <w:pPr>
        <w:tabs>
          <w:tab w:val="num" w:pos="4065"/>
        </w:tabs>
        <w:ind w:left="4065" w:hanging="4065"/>
      </w:pPr>
      <w:rPr>
        <w:rFonts w:cs="Times New Roman" w:hint="default"/>
        <w:b/>
        <w:color w:val="FFFFFF"/>
      </w:rPr>
    </w:lvl>
    <w:lvl w:ilvl="6">
      <w:start w:val="1"/>
      <w:numFmt w:val="decimal"/>
      <w:lvlText w:val="%1.%2.%3.%4.%5.%6.%7"/>
      <w:lvlJc w:val="left"/>
      <w:pPr>
        <w:tabs>
          <w:tab w:val="num" w:pos="4065"/>
        </w:tabs>
        <w:ind w:left="4065" w:hanging="4065"/>
      </w:pPr>
      <w:rPr>
        <w:rFonts w:cs="Times New Roman" w:hint="default"/>
        <w:b/>
        <w:color w:val="FFFFFF"/>
      </w:rPr>
    </w:lvl>
    <w:lvl w:ilvl="7">
      <w:start w:val="1"/>
      <w:numFmt w:val="decimal"/>
      <w:lvlText w:val="%1.%2.%3.%4.%5.%6.%7.%8"/>
      <w:lvlJc w:val="left"/>
      <w:pPr>
        <w:tabs>
          <w:tab w:val="num" w:pos="4065"/>
        </w:tabs>
        <w:ind w:left="4065" w:hanging="4065"/>
      </w:pPr>
      <w:rPr>
        <w:rFonts w:cs="Times New Roman" w:hint="default"/>
        <w:b/>
        <w:color w:val="FFFFFF"/>
      </w:rPr>
    </w:lvl>
    <w:lvl w:ilvl="8">
      <w:start w:val="1"/>
      <w:numFmt w:val="decimal"/>
      <w:lvlText w:val="%1.%2.%3.%4.%5.%6.%7.%8.%9"/>
      <w:lvlJc w:val="left"/>
      <w:pPr>
        <w:tabs>
          <w:tab w:val="num" w:pos="4065"/>
        </w:tabs>
        <w:ind w:left="4065" w:hanging="4065"/>
      </w:pPr>
      <w:rPr>
        <w:rFonts w:cs="Times New Roman" w:hint="default"/>
        <w:b/>
        <w:color w:val="FFFFFF"/>
      </w:rPr>
    </w:lvl>
  </w:abstractNum>
  <w:abstractNum w:abstractNumId="11" w15:restartNumberingAfterBreak="0">
    <w:nsid w:val="449D6DB5"/>
    <w:multiLevelType w:val="hybridMultilevel"/>
    <w:tmpl w:val="C870F9D6"/>
    <w:lvl w:ilvl="0" w:tplc="04150005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980"/>
        </w:tabs>
        <w:ind w:left="79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700"/>
        </w:tabs>
        <w:ind w:left="87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420"/>
        </w:tabs>
        <w:ind w:left="9420" w:hanging="360"/>
      </w:pPr>
      <w:rPr>
        <w:rFonts w:ascii="Wingdings" w:hAnsi="Wingdings" w:hint="default"/>
      </w:rPr>
    </w:lvl>
  </w:abstractNum>
  <w:abstractNum w:abstractNumId="12" w15:restartNumberingAfterBreak="0">
    <w:nsid w:val="4862277C"/>
    <w:multiLevelType w:val="multilevel"/>
    <w:tmpl w:val="D9948DA6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0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4C517E75"/>
    <w:multiLevelType w:val="hybridMultilevel"/>
    <w:tmpl w:val="3CF4D1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574773"/>
    <w:multiLevelType w:val="hybridMultilevel"/>
    <w:tmpl w:val="DC9285BC"/>
    <w:lvl w:ilvl="0" w:tplc="653811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BF4ED7"/>
    <w:multiLevelType w:val="multilevel"/>
    <w:tmpl w:val="F3746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B02D87"/>
    <w:multiLevelType w:val="multilevel"/>
    <w:tmpl w:val="A798FB0A"/>
    <w:lvl w:ilvl="0">
      <w:start w:val="1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59165DC2"/>
    <w:multiLevelType w:val="hybridMultilevel"/>
    <w:tmpl w:val="707EF52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676938"/>
    <w:multiLevelType w:val="hybridMultilevel"/>
    <w:tmpl w:val="279E5D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2605E2"/>
    <w:multiLevelType w:val="hybridMultilevel"/>
    <w:tmpl w:val="DCD09C5E"/>
    <w:lvl w:ilvl="0" w:tplc="0415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6021CD"/>
    <w:multiLevelType w:val="hybridMultilevel"/>
    <w:tmpl w:val="CDD623DE"/>
    <w:lvl w:ilvl="0" w:tplc="E36A01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CB6F76"/>
    <w:multiLevelType w:val="hybridMultilevel"/>
    <w:tmpl w:val="C41624EA"/>
    <w:lvl w:ilvl="0" w:tplc="8A96069E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22" w15:restartNumberingAfterBreak="0">
    <w:nsid w:val="65E55CF2"/>
    <w:multiLevelType w:val="hybridMultilevel"/>
    <w:tmpl w:val="F3746D58"/>
    <w:lvl w:ilvl="0" w:tplc="0415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7348C6"/>
    <w:multiLevelType w:val="hybridMultilevel"/>
    <w:tmpl w:val="4002E30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CEF4C51"/>
    <w:multiLevelType w:val="multilevel"/>
    <w:tmpl w:val="C07E43F8"/>
    <w:lvl w:ilvl="0">
      <w:start w:val="1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35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 w:hint="default"/>
        <w:b/>
        <w:color w:val="00008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 w15:restartNumberingAfterBreak="0">
    <w:nsid w:val="6F613B91"/>
    <w:multiLevelType w:val="multilevel"/>
    <w:tmpl w:val="DCD09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6C77C8"/>
    <w:multiLevelType w:val="hybridMultilevel"/>
    <w:tmpl w:val="2DDCAE9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811EAE"/>
    <w:multiLevelType w:val="hybridMultilevel"/>
    <w:tmpl w:val="7B9C980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466A0F"/>
    <w:multiLevelType w:val="hybridMultilevel"/>
    <w:tmpl w:val="43081140"/>
    <w:lvl w:ilvl="0" w:tplc="F62204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AB5CBC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0" w15:restartNumberingAfterBreak="0">
    <w:nsid w:val="7F1342F2"/>
    <w:multiLevelType w:val="hybridMultilevel"/>
    <w:tmpl w:val="EB7CBC9A"/>
    <w:lvl w:ilvl="0" w:tplc="0415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23593531">
    <w:abstractNumId w:val="29"/>
  </w:num>
  <w:num w:numId="2" w16cid:durableId="26151447">
    <w:abstractNumId w:val="6"/>
  </w:num>
  <w:num w:numId="3" w16cid:durableId="2091195825">
    <w:abstractNumId w:val="3"/>
  </w:num>
  <w:num w:numId="4" w16cid:durableId="168375630">
    <w:abstractNumId w:val="4"/>
  </w:num>
  <w:num w:numId="5" w16cid:durableId="1304894537">
    <w:abstractNumId w:val="12"/>
  </w:num>
  <w:num w:numId="6" w16cid:durableId="598292792">
    <w:abstractNumId w:val="16"/>
  </w:num>
  <w:num w:numId="7" w16cid:durableId="1972049076">
    <w:abstractNumId w:val="1"/>
  </w:num>
  <w:num w:numId="8" w16cid:durableId="977028122">
    <w:abstractNumId w:val="9"/>
  </w:num>
  <w:num w:numId="9" w16cid:durableId="1994217558">
    <w:abstractNumId w:val="7"/>
  </w:num>
  <w:num w:numId="10" w16cid:durableId="501895109">
    <w:abstractNumId w:val="24"/>
  </w:num>
  <w:num w:numId="11" w16cid:durableId="482158256">
    <w:abstractNumId w:val="11"/>
  </w:num>
  <w:num w:numId="12" w16cid:durableId="1822187499">
    <w:abstractNumId w:val="22"/>
  </w:num>
  <w:num w:numId="13" w16cid:durableId="1256595171">
    <w:abstractNumId w:val="15"/>
  </w:num>
  <w:num w:numId="14" w16cid:durableId="362557525">
    <w:abstractNumId w:val="19"/>
  </w:num>
  <w:num w:numId="15" w16cid:durableId="1500197127">
    <w:abstractNumId w:val="25"/>
  </w:num>
  <w:num w:numId="16" w16cid:durableId="395982433">
    <w:abstractNumId w:val="26"/>
  </w:num>
  <w:num w:numId="17" w16cid:durableId="1426803212">
    <w:abstractNumId w:val="20"/>
  </w:num>
  <w:num w:numId="18" w16cid:durableId="1896617993">
    <w:abstractNumId w:val="10"/>
  </w:num>
  <w:num w:numId="19" w16cid:durableId="432365694">
    <w:abstractNumId w:val="21"/>
  </w:num>
  <w:num w:numId="20" w16cid:durableId="1095058326">
    <w:abstractNumId w:val="14"/>
  </w:num>
  <w:num w:numId="21" w16cid:durableId="193081461">
    <w:abstractNumId w:val="27"/>
  </w:num>
  <w:num w:numId="22" w16cid:durableId="1131940714">
    <w:abstractNumId w:val="2"/>
  </w:num>
  <w:num w:numId="23" w16cid:durableId="1727991563">
    <w:abstractNumId w:val="17"/>
  </w:num>
  <w:num w:numId="24" w16cid:durableId="617488062">
    <w:abstractNumId w:val="30"/>
  </w:num>
  <w:num w:numId="25" w16cid:durableId="1993944316">
    <w:abstractNumId w:val="5"/>
  </w:num>
  <w:num w:numId="26" w16cid:durableId="337198606">
    <w:abstractNumId w:val="0"/>
  </w:num>
  <w:num w:numId="27" w16cid:durableId="49695078">
    <w:abstractNumId w:val="23"/>
  </w:num>
  <w:num w:numId="28" w16cid:durableId="777801040">
    <w:abstractNumId w:val="28"/>
  </w:num>
  <w:num w:numId="29" w16cid:durableId="1350133745">
    <w:abstractNumId w:val="18"/>
  </w:num>
  <w:num w:numId="30" w16cid:durableId="219362212">
    <w:abstractNumId w:val="13"/>
  </w:num>
  <w:num w:numId="31" w16cid:durableId="72772908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onsecutiveHyphenLimit w:val="3"/>
  <w:hyphenationZone w:val="425"/>
  <w:doNotHyphenateCaps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F40"/>
    <w:rsid w:val="00001DE2"/>
    <w:rsid w:val="00007AFD"/>
    <w:rsid w:val="00027524"/>
    <w:rsid w:val="00027973"/>
    <w:rsid w:val="00045F40"/>
    <w:rsid w:val="000460C8"/>
    <w:rsid w:val="0008045D"/>
    <w:rsid w:val="00094A0E"/>
    <w:rsid w:val="000B126C"/>
    <w:rsid w:val="001044C1"/>
    <w:rsid w:val="00124A28"/>
    <w:rsid w:val="001545D8"/>
    <w:rsid w:val="00167E29"/>
    <w:rsid w:val="001C3BD3"/>
    <w:rsid w:val="001F6B12"/>
    <w:rsid w:val="002179CD"/>
    <w:rsid w:val="00290D93"/>
    <w:rsid w:val="002C2F51"/>
    <w:rsid w:val="0032709E"/>
    <w:rsid w:val="0033464E"/>
    <w:rsid w:val="00345E1B"/>
    <w:rsid w:val="003944E5"/>
    <w:rsid w:val="003B473B"/>
    <w:rsid w:val="00443D95"/>
    <w:rsid w:val="004E294B"/>
    <w:rsid w:val="004E7FF6"/>
    <w:rsid w:val="0050102F"/>
    <w:rsid w:val="00522B8F"/>
    <w:rsid w:val="00524A94"/>
    <w:rsid w:val="0054360B"/>
    <w:rsid w:val="005725A4"/>
    <w:rsid w:val="005D7F9F"/>
    <w:rsid w:val="0064291B"/>
    <w:rsid w:val="00666B3A"/>
    <w:rsid w:val="006B0455"/>
    <w:rsid w:val="006C29AB"/>
    <w:rsid w:val="006D725F"/>
    <w:rsid w:val="006D74B4"/>
    <w:rsid w:val="0071381E"/>
    <w:rsid w:val="00735BEE"/>
    <w:rsid w:val="007431C9"/>
    <w:rsid w:val="00762777"/>
    <w:rsid w:val="00765CA7"/>
    <w:rsid w:val="007D62E9"/>
    <w:rsid w:val="008118CF"/>
    <w:rsid w:val="00812A83"/>
    <w:rsid w:val="00881317"/>
    <w:rsid w:val="008B245F"/>
    <w:rsid w:val="00915598"/>
    <w:rsid w:val="00926BB9"/>
    <w:rsid w:val="009601FB"/>
    <w:rsid w:val="00B4378E"/>
    <w:rsid w:val="00BA2839"/>
    <w:rsid w:val="00BA49AA"/>
    <w:rsid w:val="00BC4881"/>
    <w:rsid w:val="00C45010"/>
    <w:rsid w:val="00CA585A"/>
    <w:rsid w:val="00CD760D"/>
    <w:rsid w:val="00D22BE6"/>
    <w:rsid w:val="00D247A8"/>
    <w:rsid w:val="00D35DE3"/>
    <w:rsid w:val="00D5152B"/>
    <w:rsid w:val="00D541C3"/>
    <w:rsid w:val="00D7067A"/>
    <w:rsid w:val="00DE22DD"/>
    <w:rsid w:val="00E4301A"/>
    <w:rsid w:val="00E45140"/>
    <w:rsid w:val="00E67710"/>
    <w:rsid w:val="00E82A9F"/>
    <w:rsid w:val="00E87DEC"/>
    <w:rsid w:val="00EB00D1"/>
    <w:rsid w:val="00ED3F71"/>
    <w:rsid w:val="00EE0154"/>
    <w:rsid w:val="00F03137"/>
    <w:rsid w:val="00F91A5E"/>
    <w:rsid w:val="00FD013E"/>
    <w:rsid w:val="00FE4F2F"/>
    <w:rsid w:val="00FF2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4A0027D"/>
  <w15:docId w15:val="{F6DD482C-5BB1-4592-8E05-E3CFE2569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Trebuchet MS" w:hAnsi="Trebuchet MS" w:cs="Arial"/>
      <w:color w:val="000000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40"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pPr>
      <w:keepNext/>
      <w:spacing w:before="40"/>
      <w:jc w:val="center"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Nagwek2Znak">
    <w:name w:val="Nagłówek 2 Znak"/>
    <w:link w:val="Nagwek2"/>
    <w:semiHidden/>
    <w:locked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styleId="UyteHipercze">
    <w:name w:val="FollowedHyperlink"/>
    <w:semiHidden/>
    <w:rPr>
      <w:rFonts w:cs="Times New Roman"/>
      <w:color w:val="800080"/>
      <w:u w:val="single"/>
    </w:rPr>
  </w:style>
  <w:style w:type="paragraph" w:styleId="Tekstpodstawowywcity">
    <w:name w:val="Body Text Indent"/>
    <w:basedOn w:val="Normalny"/>
    <w:link w:val="TekstpodstawowywcityZnak"/>
    <w:semiHidden/>
    <w:pPr>
      <w:ind w:firstLine="709"/>
      <w:jc w:val="both"/>
    </w:pPr>
    <w:rPr>
      <w:bCs/>
      <w:iCs/>
    </w:rPr>
  </w:style>
  <w:style w:type="character" w:customStyle="1" w:styleId="TekstpodstawowywcityZnak">
    <w:name w:val="Tekst podstawowy wcięty Znak"/>
    <w:link w:val="Tekstpodstawowywcity"/>
    <w:semiHidden/>
    <w:locked/>
    <w:rPr>
      <w:rFonts w:ascii="Trebuchet MS" w:hAnsi="Trebuchet MS" w:cs="Arial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Pr>
      <w:rFonts w:ascii="Trebuchet MS" w:hAnsi="Trebuchet MS" w:cs="Arial"/>
      <w:color w:val="00000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Pr>
      <w:rFonts w:ascii="Trebuchet MS" w:hAnsi="Trebuchet MS" w:cs="Arial"/>
      <w:color w:val="000000"/>
    </w:rPr>
  </w:style>
  <w:style w:type="character" w:styleId="Hipercze">
    <w:name w:val="Hyperlink"/>
    <w:semiHidden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Pr>
      <w:rFonts w:ascii="Tahoma" w:hAnsi="Tahoma" w:cs="Tahoma"/>
      <w:color w:val="000000"/>
      <w:sz w:val="16"/>
      <w:szCs w:val="16"/>
    </w:rPr>
  </w:style>
  <w:style w:type="table" w:styleId="Tabela-Siatka">
    <w:name w:val="Table Grid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ezodstpw1">
    <w:name w:val="Bez odstępów1"/>
    <w:link w:val="NoSpacingChar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locked/>
    <w:rPr>
      <w:rFonts w:ascii="Calibri" w:hAnsi="Calibri" w:cs="Times New Roman"/>
      <w:sz w:val="22"/>
      <w:szCs w:val="22"/>
      <w:lang w:val="pl-PL" w:eastAsia="en-US" w:bidi="ar-SA"/>
    </w:rPr>
  </w:style>
  <w:style w:type="paragraph" w:styleId="Tekstprzypisukocowego">
    <w:name w:val="endnote text"/>
    <w:basedOn w:val="Normalny"/>
    <w:link w:val="TekstprzypisukocowegoZnak"/>
    <w:semiHidden/>
  </w:style>
  <w:style w:type="character" w:customStyle="1" w:styleId="TekstprzypisukocowegoZnak">
    <w:name w:val="Tekst przypisu końcowego Znak"/>
    <w:link w:val="Tekstprzypisukocowego"/>
    <w:semiHidden/>
    <w:locked/>
    <w:rPr>
      <w:rFonts w:ascii="Trebuchet MS" w:hAnsi="Trebuchet MS" w:cs="Arial"/>
      <w:color w:val="000000"/>
    </w:rPr>
  </w:style>
  <w:style w:type="character" w:styleId="Odwoanieprzypisukocowego">
    <w:name w:val="endnote reference"/>
    <w:semiHidden/>
    <w:rPr>
      <w:rFonts w:cs="Times New Roman"/>
      <w:vertAlign w:val="superscript"/>
    </w:rPr>
  </w:style>
  <w:style w:type="character" w:styleId="Odwoaniedokomentarza">
    <w:name w:val="annotation reference"/>
    <w:semiHidden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</w:style>
  <w:style w:type="character" w:customStyle="1" w:styleId="TekstkomentarzaZnak">
    <w:name w:val="Tekst komentarza Znak"/>
    <w:link w:val="Tekstkomentarza"/>
    <w:semiHidden/>
    <w:locked/>
    <w:rPr>
      <w:rFonts w:ascii="Trebuchet MS" w:hAnsi="Trebuchet MS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Pr>
      <w:b/>
      <w:bCs/>
    </w:rPr>
  </w:style>
  <w:style w:type="character" w:customStyle="1" w:styleId="TematkomentarzaZnak">
    <w:name w:val="Temat komentarza Znak"/>
    <w:link w:val="Tematkomentarza"/>
    <w:semiHidden/>
    <w:locked/>
    <w:rPr>
      <w:rFonts w:ascii="Trebuchet MS" w:hAnsi="Trebuchet MS" w:cs="Arial"/>
      <w:b/>
      <w:bCs/>
      <w:color w:val="000000"/>
      <w:sz w:val="20"/>
      <w:szCs w:val="20"/>
    </w:r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qFormat/>
    <w:locked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uiPriority w:val="22"/>
    <w:qFormat/>
    <w:locked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Pr>
      <w:rFonts w:ascii="Trebuchet MS" w:hAnsi="Trebuchet MS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zpf.pl/kongres-zarzadzania-wierzytelnosciami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edia@zpf.p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zpf.pl/dni-zarzadzania-wierzytelnosciami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linkedin.com/company/zpf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27A50648376C43A414D43F74F01924" ma:contentTypeVersion="2" ma:contentTypeDescription="Utwórz nowy dokument." ma:contentTypeScope="" ma:versionID="8b8952551c9abdde30d92d487fbc6b25">
  <xsd:schema xmlns:xsd="http://www.w3.org/2001/XMLSchema" xmlns:xs="http://www.w3.org/2001/XMLSchema" xmlns:p="http://schemas.microsoft.com/office/2006/metadata/properties" xmlns:ns2="7461709f-0f2e-48e8-b059-5912730bec9d" targetNamespace="http://schemas.microsoft.com/office/2006/metadata/properties" ma:root="true" ma:fieldsID="6e632a73da9e0e46f24b92e51756e646" ns2:_="">
    <xsd:import namespace="7461709f-0f2e-48e8-b059-5912730bec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1709f-0f2e-48e8-b059-5912730bec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682AB3-6677-4944-9581-01ABE4B2F9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4EC2C1-354E-4107-8091-3E3D19B50AE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A5218BF-E15C-4F40-98E1-1B818F0812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1709f-0f2e-48e8-b059-5912730be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83A9627-CFB8-4923-BDE6-22939A836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1056</Words>
  <Characters>7721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KPF</Company>
  <LinksUpToDate>false</LinksUpToDate>
  <CharactersWithSpaces>8760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Łukasz Pałka</dc:creator>
  <cp:lastModifiedBy>Łukasz Pałka</cp:lastModifiedBy>
  <cp:revision>8</cp:revision>
  <cp:lastPrinted>2020-05-13T19:23:00Z</cp:lastPrinted>
  <dcterms:created xsi:type="dcterms:W3CDTF">2023-08-28T09:30:00Z</dcterms:created>
  <dcterms:modified xsi:type="dcterms:W3CDTF">2023-08-31T08:38:00Z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0x010100A727A50648376C43A414D43F74F01924</vt:lpwstr>
  </property>
</Properties>
</file>