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0D4D23D9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E84B76">
        <w:rPr>
          <w:rFonts w:ascii="Tahoma" w:eastAsia="Tahoma" w:hAnsi="Tahoma" w:cs="Tahoma"/>
          <w:color w:val="808080"/>
          <w:sz w:val="20"/>
          <w:szCs w:val="20"/>
        </w:rPr>
        <w:t xml:space="preserve">11 </w:t>
      </w:r>
      <w:r w:rsidR="00601227">
        <w:rPr>
          <w:rFonts w:ascii="Tahoma" w:eastAsia="Tahoma" w:hAnsi="Tahoma" w:cs="Tahoma"/>
          <w:color w:val="808080"/>
          <w:sz w:val="20"/>
          <w:szCs w:val="20"/>
        </w:rPr>
        <w:t xml:space="preserve">października </w:t>
      </w:r>
      <w:r w:rsidR="00B456AB">
        <w:rPr>
          <w:rFonts w:ascii="Tahoma" w:eastAsia="Tahoma" w:hAnsi="Tahoma" w:cs="Tahoma"/>
          <w:color w:val="808080"/>
          <w:sz w:val="20"/>
          <w:szCs w:val="20"/>
          <w:highlight w:val="white"/>
        </w:rPr>
        <w:t>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Style w:val="a6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3B1DAE" w14:paraId="2D6F86A2" w14:textId="77777777">
        <w:tc>
          <w:tcPr>
            <w:tcW w:w="7159" w:type="dxa"/>
          </w:tcPr>
          <w:p w14:paraId="30CF498A" w14:textId="029D8F7E" w:rsidR="003B1DAE" w:rsidRDefault="009967C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9E2465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offshore #</w:t>
            </w:r>
            <w:r w:rsidR="00E82EEB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O</w:t>
            </w:r>
            <w:r w:rsidR="009E2465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rlen</w:t>
            </w:r>
            <w:r w:rsidR="00044F06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  <w:r w:rsidR="00CB4A4E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</w:t>
            </w:r>
            <w:r w:rsidR="00044F06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zachodniopomorskie</w:t>
            </w:r>
            <w:r w:rsidR="00C6145D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#Świnoujście</w:t>
            </w:r>
          </w:p>
          <w:p w14:paraId="1B44F898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</w:p>
          <w:p w14:paraId="4D947349" w14:textId="6A8C315F" w:rsidR="00B87263" w:rsidRDefault="00044F06" w:rsidP="00E41DD0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044F06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Budimex </w:t>
            </w:r>
            <w:r w:rsidR="00E84B76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rozpoczął budowę terminala instalacyjnego offshore dla PKN Orlen</w:t>
            </w:r>
          </w:p>
          <w:p w14:paraId="53ABDCED" w14:textId="77777777" w:rsidR="00044F06" w:rsidRDefault="00044F06" w:rsidP="00E41DD0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</w:p>
          <w:p w14:paraId="7EC19F46" w14:textId="47B22DEE" w:rsidR="005E6E83" w:rsidRDefault="00044F06" w:rsidP="00B8726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044F0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Budimex </w:t>
            </w:r>
            <w:r w:rsidR="00E84B7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rozpoczął</w:t>
            </w:r>
            <w:r w:rsidRPr="00044F0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budowę terminala instalacyjnego dla morskich farm wiatrowych. Generalny wykonawca </w:t>
            </w:r>
            <w:r w:rsidR="00E84B7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realizuje</w:t>
            </w:r>
            <w:r w:rsidRPr="00044F0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część lądową inwestycji za sumę ponad 118 mln zł. Za projekt odpowiedzialna jest Grupa Orlen, która chce wybudować pierwszą w Polsce i jednocześnie jedną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br/>
            </w:r>
            <w:r w:rsidRPr="00044F0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z najnowocześniejszych instalacji tego typu w Europie. Zakończenie budowy planowane jest na koniec grudnia 2024 roku. </w:t>
            </w:r>
          </w:p>
          <w:p w14:paraId="139A5B4A" w14:textId="77777777" w:rsidR="00044F06" w:rsidRDefault="00044F06" w:rsidP="00B8726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7E74B9C8" w14:textId="77777777" w:rsidR="00EF4022" w:rsidRDefault="00044F06" w:rsidP="00044F0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44F0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Zadaniem powstającego w Świnoujściu terminala WTIV (z ang. wind turbine installation vessel) będzie przeładowywanie, składowanie i montaż sekcji wież wiatrowych wraz z fundamentami oraz innych elementów turbin wiatrowych. </w:t>
            </w:r>
          </w:p>
          <w:p w14:paraId="42549847" w14:textId="77777777" w:rsidR="00EF4022" w:rsidRDefault="00EF4022" w:rsidP="00044F0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46645361" w14:textId="21748D17" w:rsidR="00EF4022" w:rsidRPr="00044F06" w:rsidRDefault="00067F78" w:rsidP="00EF4022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67F78">
              <w:rPr>
                <w:rFonts w:eastAsia="Tahoma"/>
                <w:color w:val="747678"/>
                <w:sz w:val="18"/>
                <w:szCs w:val="18"/>
              </w:rPr>
              <w:t>– </w:t>
            </w:r>
            <w:r w:rsidR="00EF4022" w:rsidRPr="0090044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To dla nas szczególna inwestycja. Zakończyliśmy właśnie realizację terminala logistycznego w porcie promowym w Świnoujściu. Ta inwestycja ma ogromne znaczenie dla naszego klienta i dla rozwoju offshore na Bałtyku. Ma także krótki czas realizacji</w:t>
            </w:r>
            <w:r w:rsidR="009E2465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,</w:t>
            </w:r>
            <w:r w:rsidR="00EF4022" w:rsidRPr="0090044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więc jest to ambitny projekt. Jestem pewien, że sprostamy wszystkim wymaganiom inwestora</w:t>
            </w:r>
            <w:r w:rsidR="00EF4022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 - mówił podczas ceremonii Artur Popko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="00EF4022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Prezes Budimex S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  <w:r w:rsidR="00EF4022">
              <w:rPr>
                <w:rFonts w:ascii="Tahoma" w:eastAsia="Tahoma" w:hAnsi="Tahoma" w:cs="Tahoma"/>
                <w:color w:val="747678"/>
                <w:sz w:val="18"/>
                <w:szCs w:val="18"/>
              </w:rPr>
              <w:t>A.</w:t>
            </w:r>
          </w:p>
          <w:p w14:paraId="56DFCDBC" w14:textId="77777777" w:rsidR="00EF4022" w:rsidRDefault="00EF4022" w:rsidP="00044F0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4A6CC6A3" w14:textId="24CACA8E" w:rsidR="00044F06" w:rsidRDefault="00044F06" w:rsidP="00044F0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44F0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Inwestycja umożliwi m.in. budowę pierwszej morskiej farmy wiatrowej Baltic Power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br/>
            </w:r>
            <w:r w:rsidRPr="00044F0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o zainstalowanej mocy 1140 MW zlokalizowanej na wodach polskiej wyłącznej strefy ekonomicznej. </w:t>
            </w:r>
            <w:r w:rsidR="00EF4022">
              <w:rPr>
                <w:rFonts w:ascii="Tahoma" w:eastAsia="Tahoma" w:hAnsi="Tahoma" w:cs="Tahoma"/>
                <w:color w:val="747678"/>
                <w:sz w:val="18"/>
                <w:szCs w:val="18"/>
              </w:rPr>
              <w:t>P</w:t>
            </w:r>
            <w:r w:rsidRPr="00044F0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olski terminal będzie obsługiwał inwestycje realizowane na wodach niemieckich, szwedzkich oraz duńskich. </w:t>
            </w:r>
          </w:p>
          <w:p w14:paraId="4A0D3BA6" w14:textId="77777777" w:rsidR="00044F06" w:rsidRPr="00044F06" w:rsidRDefault="00044F06" w:rsidP="00044F0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78B62060" w14:textId="7D8CC7D9" w:rsidR="00044F06" w:rsidRPr="00044F06" w:rsidRDefault="00044F06" w:rsidP="00044F0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44F06">
              <w:rPr>
                <w:rFonts w:ascii="Tahoma" w:eastAsia="Tahoma" w:hAnsi="Tahoma" w:cs="Tahoma"/>
                <w:color w:val="747678"/>
                <w:sz w:val="18"/>
                <w:szCs w:val="18"/>
              </w:rPr>
              <w:t>W ramach podpisanej w piątek ze spółką Orlen Neptun II, w dniu 8 września</w:t>
            </w:r>
            <w:r w:rsidR="000B6A0D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Pr="00044F0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umowy, Budimex </w:t>
            </w:r>
            <w:r w:rsidR="006C5EA4">
              <w:rPr>
                <w:rFonts w:ascii="Tahoma" w:eastAsia="Tahoma" w:hAnsi="Tahoma" w:cs="Tahoma"/>
                <w:color w:val="747678"/>
                <w:sz w:val="18"/>
                <w:szCs w:val="18"/>
              </w:rPr>
              <w:t>realizuje</w:t>
            </w:r>
            <w:r w:rsidRPr="00044F0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część lądową inwestycji. Powstaną na niej m.in. powierzchnie składowe dla elementów morskich turbin wiatrowych, takich jak wieże, łopaty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br/>
            </w:r>
            <w:r w:rsidRPr="00044F06">
              <w:rPr>
                <w:rFonts w:ascii="Tahoma" w:eastAsia="Tahoma" w:hAnsi="Tahoma" w:cs="Tahoma"/>
                <w:color w:val="747678"/>
                <w:sz w:val="18"/>
                <w:szCs w:val="18"/>
              </w:rPr>
              <w:t>i gondole. Na łącznej powierzchni około 17 ha powstanie też infrastruktura komunikacyjna, a także nowy budynek administra</w:t>
            </w:r>
            <w:r w:rsidR="006C5EA4">
              <w:rPr>
                <w:rFonts w:ascii="Tahoma" w:eastAsia="Tahoma" w:hAnsi="Tahoma" w:cs="Tahoma"/>
                <w:color w:val="747678"/>
                <w:sz w:val="18"/>
                <w:szCs w:val="18"/>
              </w:rPr>
              <w:t>cyjno</w:t>
            </w:r>
            <w:r w:rsidRPr="00044F0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– biurowy. </w:t>
            </w:r>
          </w:p>
          <w:p w14:paraId="20882CC0" w14:textId="77777777" w:rsidR="00044F06" w:rsidRDefault="00044F06" w:rsidP="00044F0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7E04F13E" w14:textId="723CCC3F" w:rsidR="00044F06" w:rsidRDefault="00067F78" w:rsidP="00044F0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67F78">
              <w:rPr>
                <w:rFonts w:eastAsia="Tahoma"/>
                <w:color w:val="747678"/>
                <w:sz w:val="18"/>
                <w:szCs w:val="18"/>
              </w:rPr>
              <w:lastRenderedPageBreak/>
              <w:t>–</w:t>
            </w: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</w:t>
            </w:r>
            <w:r w:rsidR="00044F06" w:rsidRPr="00044F0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Realizacja kontraktu będzie wiązała się m.in. z robotami ziemnymi, takimi jak niwelacja terenu, transport kruszywa oraz jego rozkładanie. Od podstaw wykonamy także wszelkie prace związane z budową pomieszczeń administracyjno-biurowych, magazynu oraz parkingów. Prace potrwają 17 miesięcy –</w:t>
            </w:r>
            <w:r w:rsidR="00044F0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F85CA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mówi </w:t>
            </w:r>
            <w:r w:rsidR="009B0AC8">
              <w:rPr>
                <w:rFonts w:ascii="Tahoma" w:eastAsia="Tahoma" w:hAnsi="Tahoma" w:cs="Tahoma"/>
                <w:color w:val="747678"/>
                <w:sz w:val="18"/>
                <w:szCs w:val="18"/>
              </w:rPr>
              <w:t>Sylwester Góra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="00F85CA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Dyrektor </w:t>
            </w:r>
            <w:r w:rsidR="00DE635B">
              <w:rPr>
                <w:rFonts w:ascii="Tahoma" w:eastAsia="Tahoma" w:hAnsi="Tahoma" w:cs="Tahoma"/>
                <w:color w:val="747678"/>
                <w:sz w:val="18"/>
                <w:szCs w:val="18"/>
              </w:rPr>
              <w:t>Kontraktu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</w:t>
            </w:r>
            <w:r w:rsidR="00F85CA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Budimex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S.A</w:t>
            </w:r>
            <w:r w:rsidR="00F85CA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</w:t>
            </w:r>
          </w:p>
          <w:p w14:paraId="62D89B6D" w14:textId="77777777" w:rsidR="00044F06" w:rsidRPr="00044F06" w:rsidRDefault="00044F06" w:rsidP="00044F0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1EA7C6CB" w14:textId="57FE96C1" w:rsidR="00044F06" w:rsidRDefault="00044F06" w:rsidP="00044F0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44F0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ostatnim czasie Budimex zakończył kilka ważnych inwestycji w woj. </w:t>
            </w:r>
            <w:r w:rsidR="00C802F0">
              <w:rPr>
                <w:rFonts w:ascii="Tahoma" w:eastAsia="Tahoma" w:hAnsi="Tahoma" w:cs="Tahoma"/>
                <w:color w:val="747678"/>
                <w:sz w:val="18"/>
                <w:szCs w:val="18"/>
              </w:rPr>
              <w:t>z</w:t>
            </w:r>
            <w:r w:rsidRPr="00044F0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achodniopomorskim. Z końcem sierpnia, na 7 miesięcy przed terminem, oddano kluczową dla mieszkańców Szczecina obwodnicę Przecławia i Warzymic. 4-kilometrowy odcinek znacznie usprawnił nie tylko ruch lokalny, ale skrócił czas przejazdu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br/>
            </w:r>
            <w:r w:rsidRPr="00044F06">
              <w:rPr>
                <w:rFonts w:ascii="Tahoma" w:eastAsia="Tahoma" w:hAnsi="Tahoma" w:cs="Tahoma"/>
                <w:color w:val="747678"/>
                <w:sz w:val="18"/>
                <w:szCs w:val="18"/>
              </w:rPr>
              <w:t>ze Szczecina do Trójmiasta.</w:t>
            </w:r>
          </w:p>
          <w:p w14:paraId="0F7648B9" w14:textId="77777777" w:rsidR="000B6A0D" w:rsidRPr="00044F06" w:rsidRDefault="000B6A0D" w:rsidP="00044F0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2582298C" w14:textId="749C382E" w:rsidR="00044F06" w:rsidRPr="00044F06" w:rsidRDefault="00044F06" w:rsidP="00044F0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44F0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Od niedawna mieszkańcy Szczecina mogą też korzystać z - mogących pomieścić łącznie blisko 1 000 widzów - 5 nowoczesnych scen, nowego budynku Teatru Polskiego.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br/>
            </w:r>
            <w:r w:rsidRPr="00044F0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Ten wyjątkowy pod względem architektonicznym oraz konstrukcyjnym projekt został oddany do użytku na początku sierpnia. Więcej informacji tutaj: https://media.budimex.pl/pr/817796/budimex-zakonczyl-rozbudowe-teatru-polskiego-w-szczecinie  </w:t>
            </w:r>
          </w:p>
          <w:p w14:paraId="0CF1E06B" w14:textId="77777777" w:rsidR="00044F06" w:rsidRDefault="00044F06" w:rsidP="00D940A2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1F94AACE" w14:textId="36EF91A6" w:rsidR="00D940A2" w:rsidRDefault="00044F06" w:rsidP="00D940A2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44F0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To nie wszystkie inwestycje Budimeksu w tym rejonie. W lipcu br. do użytku mieszkańców Szczecina oddano 9 nowych stacji dla pojazdów elektrycznych, a </w:t>
            </w:r>
            <w:r w:rsidR="00F85CA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ciągu najbliższego roku </w:t>
            </w:r>
            <w:r w:rsidRPr="00044F0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zakończą się prace budowalne przy jednej z największych inwestycji infrastrukturalnych w tym regionie – moście nad </w:t>
            </w:r>
            <w:r w:rsidR="00F85CA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rzeką Regalica. </w:t>
            </w:r>
          </w:p>
          <w:p w14:paraId="17255834" w14:textId="77777777" w:rsidR="00044F06" w:rsidRDefault="00044F06" w:rsidP="00D940A2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5D9AEC0C" w14:textId="77777777" w:rsidR="00734D0A" w:rsidRDefault="00734D0A" w:rsidP="00734D0A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bookmarkStart w:id="1" w:name="_heading=h.e0i1r2bc3d01" w:colFirst="0" w:colLast="0"/>
            <w:bookmarkEnd w:id="1"/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FBSerwis.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3118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C6145D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C6145D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DDA9" w14:textId="77777777" w:rsidR="001C77A5" w:rsidRDefault="001C77A5">
      <w:pPr>
        <w:spacing w:after="0" w:line="240" w:lineRule="auto"/>
      </w:pPr>
      <w:r>
        <w:separator/>
      </w:r>
    </w:p>
  </w:endnote>
  <w:endnote w:type="continuationSeparator" w:id="0">
    <w:p w14:paraId="2A6F132A" w14:textId="77777777" w:rsidR="001C77A5" w:rsidRDefault="001C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3846" w14:textId="77777777" w:rsidR="001C77A5" w:rsidRDefault="001C77A5">
      <w:pPr>
        <w:spacing w:after="0" w:line="240" w:lineRule="auto"/>
      </w:pPr>
      <w:r>
        <w:separator/>
      </w:r>
    </w:p>
  </w:footnote>
  <w:footnote w:type="continuationSeparator" w:id="0">
    <w:p w14:paraId="1B5CDBD0" w14:textId="77777777" w:rsidR="001C77A5" w:rsidRDefault="001C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36126174">
    <w:abstractNumId w:val="1"/>
  </w:num>
  <w:num w:numId="2" w16cid:durableId="1652251397">
    <w:abstractNumId w:val="2"/>
  </w:num>
  <w:num w:numId="3" w16cid:durableId="195771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25792"/>
    <w:rsid w:val="00044F06"/>
    <w:rsid w:val="00045270"/>
    <w:rsid w:val="0005467F"/>
    <w:rsid w:val="00067F78"/>
    <w:rsid w:val="00075A5D"/>
    <w:rsid w:val="000851A2"/>
    <w:rsid w:val="00087DBB"/>
    <w:rsid w:val="000B1755"/>
    <w:rsid w:val="000B6A0D"/>
    <w:rsid w:val="000D15EA"/>
    <w:rsid w:val="000D3B26"/>
    <w:rsid w:val="000E1B21"/>
    <w:rsid w:val="000E432E"/>
    <w:rsid w:val="0011247D"/>
    <w:rsid w:val="00116246"/>
    <w:rsid w:val="00125D50"/>
    <w:rsid w:val="00167F1E"/>
    <w:rsid w:val="00170C68"/>
    <w:rsid w:val="00172D1D"/>
    <w:rsid w:val="001746AB"/>
    <w:rsid w:val="0018791B"/>
    <w:rsid w:val="00192890"/>
    <w:rsid w:val="00195F51"/>
    <w:rsid w:val="001C6FB2"/>
    <w:rsid w:val="001C765C"/>
    <w:rsid w:val="001C77A5"/>
    <w:rsid w:val="001E2A10"/>
    <w:rsid w:val="001E3510"/>
    <w:rsid w:val="001F0F39"/>
    <w:rsid w:val="001F5C15"/>
    <w:rsid w:val="001F67DB"/>
    <w:rsid w:val="00203086"/>
    <w:rsid w:val="00206E7C"/>
    <w:rsid w:val="002342F3"/>
    <w:rsid w:val="00237B08"/>
    <w:rsid w:val="00240F80"/>
    <w:rsid w:val="002541C4"/>
    <w:rsid w:val="0027391F"/>
    <w:rsid w:val="00285560"/>
    <w:rsid w:val="002911B6"/>
    <w:rsid w:val="002B0328"/>
    <w:rsid w:val="002E34D2"/>
    <w:rsid w:val="002E37BE"/>
    <w:rsid w:val="002F1071"/>
    <w:rsid w:val="00307758"/>
    <w:rsid w:val="00326F2D"/>
    <w:rsid w:val="00343058"/>
    <w:rsid w:val="00343C19"/>
    <w:rsid w:val="00360101"/>
    <w:rsid w:val="00365D17"/>
    <w:rsid w:val="00382064"/>
    <w:rsid w:val="003841EF"/>
    <w:rsid w:val="00391521"/>
    <w:rsid w:val="00396AA9"/>
    <w:rsid w:val="003A4D98"/>
    <w:rsid w:val="003B1DAE"/>
    <w:rsid w:val="003C5333"/>
    <w:rsid w:val="003D65BD"/>
    <w:rsid w:val="00417411"/>
    <w:rsid w:val="00425428"/>
    <w:rsid w:val="00440954"/>
    <w:rsid w:val="00454DF7"/>
    <w:rsid w:val="0045650D"/>
    <w:rsid w:val="00457AA5"/>
    <w:rsid w:val="00463DB1"/>
    <w:rsid w:val="00473F87"/>
    <w:rsid w:val="00482FFC"/>
    <w:rsid w:val="0048734C"/>
    <w:rsid w:val="0049557E"/>
    <w:rsid w:val="004A6EE5"/>
    <w:rsid w:val="004B3484"/>
    <w:rsid w:val="004B36C2"/>
    <w:rsid w:val="004B6F46"/>
    <w:rsid w:val="004D23DB"/>
    <w:rsid w:val="004D2CB9"/>
    <w:rsid w:val="004E13B4"/>
    <w:rsid w:val="004E4796"/>
    <w:rsid w:val="004F0D93"/>
    <w:rsid w:val="004F7FD5"/>
    <w:rsid w:val="00540E97"/>
    <w:rsid w:val="0054395F"/>
    <w:rsid w:val="00581480"/>
    <w:rsid w:val="00597E08"/>
    <w:rsid w:val="005C7B13"/>
    <w:rsid w:val="005D7BA2"/>
    <w:rsid w:val="005E5391"/>
    <w:rsid w:val="005E6E83"/>
    <w:rsid w:val="00601227"/>
    <w:rsid w:val="00602232"/>
    <w:rsid w:val="00617FB9"/>
    <w:rsid w:val="00621025"/>
    <w:rsid w:val="006230EB"/>
    <w:rsid w:val="006624BA"/>
    <w:rsid w:val="00664B42"/>
    <w:rsid w:val="006774E1"/>
    <w:rsid w:val="00683A00"/>
    <w:rsid w:val="006944A4"/>
    <w:rsid w:val="006B23E5"/>
    <w:rsid w:val="006C5EA4"/>
    <w:rsid w:val="00713BB2"/>
    <w:rsid w:val="00733A2E"/>
    <w:rsid w:val="00734D0A"/>
    <w:rsid w:val="00753410"/>
    <w:rsid w:val="007619F3"/>
    <w:rsid w:val="00764B40"/>
    <w:rsid w:val="007866B6"/>
    <w:rsid w:val="0079464C"/>
    <w:rsid w:val="007A0CF3"/>
    <w:rsid w:val="007B1336"/>
    <w:rsid w:val="007C19F1"/>
    <w:rsid w:val="007C63DE"/>
    <w:rsid w:val="007C6A6A"/>
    <w:rsid w:val="00800D2C"/>
    <w:rsid w:val="008121D0"/>
    <w:rsid w:val="00815A09"/>
    <w:rsid w:val="00815B55"/>
    <w:rsid w:val="00821277"/>
    <w:rsid w:val="00821D89"/>
    <w:rsid w:val="008363EC"/>
    <w:rsid w:val="00845EC4"/>
    <w:rsid w:val="00862E0C"/>
    <w:rsid w:val="008745A4"/>
    <w:rsid w:val="00876DE2"/>
    <w:rsid w:val="00885B0E"/>
    <w:rsid w:val="008A79BD"/>
    <w:rsid w:val="008B2324"/>
    <w:rsid w:val="008B7319"/>
    <w:rsid w:val="008F30C7"/>
    <w:rsid w:val="00900449"/>
    <w:rsid w:val="00910344"/>
    <w:rsid w:val="009259BC"/>
    <w:rsid w:val="00930A84"/>
    <w:rsid w:val="0094259B"/>
    <w:rsid w:val="009462D1"/>
    <w:rsid w:val="00952E46"/>
    <w:rsid w:val="00984ECE"/>
    <w:rsid w:val="00994841"/>
    <w:rsid w:val="009967C2"/>
    <w:rsid w:val="009A2909"/>
    <w:rsid w:val="009B0AC8"/>
    <w:rsid w:val="009B1449"/>
    <w:rsid w:val="009D43F4"/>
    <w:rsid w:val="009D5FA8"/>
    <w:rsid w:val="009D7093"/>
    <w:rsid w:val="009E2465"/>
    <w:rsid w:val="009E3AFD"/>
    <w:rsid w:val="009E6315"/>
    <w:rsid w:val="00A058C5"/>
    <w:rsid w:val="00A132E1"/>
    <w:rsid w:val="00A4491D"/>
    <w:rsid w:val="00A51B54"/>
    <w:rsid w:val="00A751EB"/>
    <w:rsid w:val="00A90CED"/>
    <w:rsid w:val="00A96F60"/>
    <w:rsid w:val="00AA2306"/>
    <w:rsid w:val="00AB13B2"/>
    <w:rsid w:val="00AB41A5"/>
    <w:rsid w:val="00AD373B"/>
    <w:rsid w:val="00AD6A2F"/>
    <w:rsid w:val="00AE0702"/>
    <w:rsid w:val="00AE517C"/>
    <w:rsid w:val="00AF7CB0"/>
    <w:rsid w:val="00B01620"/>
    <w:rsid w:val="00B05C4A"/>
    <w:rsid w:val="00B070DA"/>
    <w:rsid w:val="00B12F71"/>
    <w:rsid w:val="00B13BDE"/>
    <w:rsid w:val="00B202B8"/>
    <w:rsid w:val="00B267EF"/>
    <w:rsid w:val="00B456AB"/>
    <w:rsid w:val="00B46EF9"/>
    <w:rsid w:val="00B54304"/>
    <w:rsid w:val="00B55183"/>
    <w:rsid w:val="00B57EEC"/>
    <w:rsid w:val="00B64BF4"/>
    <w:rsid w:val="00B738C4"/>
    <w:rsid w:val="00B87263"/>
    <w:rsid w:val="00BA7C09"/>
    <w:rsid w:val="00BB4675"/>
    <w:rsid w:val="00C448E6"/>
    <w:rsid w:val="00C5373F"/>
    <w:rsid w:val="00C6145D"/>
    <w:rsid w:val="00C64A91"/>
    <w:rsid w:val="00C74D83"/>
    <w:rsid w:val="00C7678B"/>
    <w:rsid w:val="00C802F0"/>
    <w:rsid w:val="00CA3C4C"/>
    <w:rsid w:val="00CA61D7"/>
    <w:rsid w:val="00CB4A4E"/>
    <w:rsid w:val="00CD32F4"/>
    <w:rsid w:val="00CF1029"/>
    <w:rsid w:val="00CF331B"/>
    <w:rsid w:val="00D0541E"/>
    <w:rsid w:val="00D40B49"/>
    <w:rsid w:val="00D431B3"/>
    <w:rsid w:val="00D440E4"/>
    <w:rsid w:val="00D62673"/>
    <w:rsid w:val="00D63FCB"/>
    <w:rsid w:val="00D67D0B"/>
    <w:rsid w:val="00D77591"/>
    <w:rsid w:val="00D940A2"/>
    <w:rsid w:val="00D97020"/>
    <w:rsid w:val="00DA0F61"/>
    <w:rsid w:val="00DA3BE0"/>
    <w:rsid w:val="00DB12FC"/>
    <w:rsid w:val="00DB55B1"/>
    <w:rsid w:val="00DC033A"/>
    <w:rsid w:val="00DD67EE"/>
    <w:rsid w:val="00DE3C90"/>
    <w:rsid w:val="00DE635B"/>
    <w:rsid w:val="00DF25E5"/>
    <w:rsid w:val="00E075B9"/>
    <w:rsid w:val="00E162E5"/>
    <w:rsid w:val="00E31E81"/>
    <w:rsid w:val="00E41DD0"/>
    <w:rsid w:val="00E42D75"/>
    <w:rsid w:val="00E43C68"/>
    <w:rsid w:val="00E47C45"/>
    <w:rsid w:val="00E53EE2"/>
    <w:rsid w:val="00E71071"/>
    <w:rsid w:val="00E725B5"/>
    <w:rsid w:val="00E74C2B"/>
    <w:rsid w:val="00E75C19"/>
    <w:rsid w:val="00E82EEB"/>
    <w:rsid w:val="00E84B76"/>
    <w:rsid w:val="00E8571A"/>
    <w:rsid w:val="00E8668D"/>
    <w:rsid w:val="00EA2FF8"/>
    <w:rsid w:val="00EB307C"/>
    <w:rsid w:val="00ED4BD3"/>
    <w:rsid w:val="00ED5AE6"/>
    <w:rsid w:val="00EF4022"/>
    <w:rsid w:val="00EF4765"/>
    <w:rsid w:val="00F00688"/>
    <w:rsid w:val="00F0663D"/>
    <w:rsid w:val="00F1073B"/>
    <w:rsid w:val="00F70BEA"/>
    <w:rsid w:val="00F8068E"/>
    <w:rsid w:val="00F8462E"/>
    <w:rsid w:val="00F85CAE"/>
    <w:rsid w:val="00F95E85"/>
    <w:rsid w:val="00F973E9"/>
    <w:rsid w:val="00FB12A7"/>
    <w:rsid w:val="00FB2B85"/>
    <w:rsid w:val="00FB5804"/>
    <w:rsid w:val="00FC17EC"/>
    <w:rsid w:val="00FD2F0C"/>
    <w:rsid w:val="00FE2B9F"/>
    <w:rsid w:val="00FE4A36"/>
    <w:rsid w:val="00FE5685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6" ma:contentTypeDescription="Utwórz nowy dokument." ma:contentTypeScope="" ma:versionID="b0478f2703f3ca1a5170437ae3ab0cfe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625e0cfb20179754ab312d8b59b7c023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Props1.xml><?xml version="1.0" encoding="utf-8"?>
<ds:datastoreItem xmlns:ds="http://schemas.openxmlformats.org/officeDocument/2006/customXml" ds:itemID="{43A44D6D-AFB6-4C2A-887D-2E4AA35845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D817D-5C7A-40A1-A7F6-716D65EB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124CD1-32B9-434D-A4A5-A27A3E947DD3}">
  <ds:schemaRefs>
    <ds:schemaRef ds:uri="http://schemas.microsoft.com/office/2006/metadata/properties"/>
    <ds:schemaRef ds:uri="http://schemas.microsoft.com/office/infopath/2007/PartnerControls"/>
    <ds:schemaRef ds:uri="60f8d824-3a1b-4e30-b0d7-ad106b943563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4</cp:revision>
  <dcterms:created xsi:type="dcterms:W3CDTF">2023-10-11T13:11:00Z</dcterms:created>
  <dcterms:modified xsi:type="dcterms:W3CDTF">2023-10-11T13:23:00Z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