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6431" w14:textId="5784D39A" w:rsidR="008F3535" w:rsidRPr="00801B58" w:rsidRDefault="00801B58">
      <w:pPr>
        <w:pStyle w:val="TYTUMMC"/>
        <w:rPr>
          <w:rFonts w:ascii="MMC OFFICE" w:eastAsia="ヒラギノ角ゴ Std W4" w:hAnsi="MMC OFFICE"/>
          <w:b/>
          <w:sz w:val="24"/>
          <w:szCs w:val="24"/>
        </w:rPr>
      </w:pPr>
      <w:r w:rsidRPr="00801B58">
        <w:rPr>
          <w:rFonts w:ascii="MMC OFFICE" w:eastAsia="ヒラギノ角ゴ Std W4" w:hAnsi="MMC OFFICE"/>
          <w:b/>
          <w:caps w:val="0"/>
          <w:sz w:val="24"/>
          <w:szCs w:val="24"/>
        </w:rPr>
        <w:t xml:space="preserve">STOISKO MITSUBISHI MOTORS </w:t>
      </w:r>
      <w:r w:rsidRPr="00801B58">
        <w:rPr>
          <w:rFonts w:ascii="MMC OFFICE" w:eastAsia="ヒラギノ角ゴ Std W4" w:hAnsi="MMC OFFICE"/>
          <w:b/>
          <w:caps w:val="0"/>
          <w:sz w:val="24"/>
          <w:szCs w:val="24"/>
        </w:rPr>
        <w:t>PODCZAS JAPAN MOBILITY SHOW 2023</w:t>
      </w:r>
      <w:r>
        <w:rPr>
          <w:rFonts w:ascii="MMC OFFICE" w:eastAsia="ヒラギノ角ゴ Std W4" w:hAnsi="MMC OFFICE"/>
          <w:b/>
          <w:caps w:val="0"/>
          <w:sz w:val="24"/>
          <w:szCs w:val="24"/>
        </w:rPr>
        <w:t xml:space="preserve"> </w:t>
      </w:r>
      <w:r w:rsidRPr="00801B58">
        <w:rPr>
          <w:rFonts w:ascii="MMC OFFICE" w:eastAsia="ヒラギノ角ゴ Std W4" w:hAnsi="MMC OFFICE"/>
          <w:b/>
          <w:caps w:val="0"/>
          <w:sz w:val="24"/>
          <w:szCs w:val="24"/>
        </w:rPr>
        <w:t xml:space="preserve">OBUDZI DUCHA PRZYGODY </w:t>
      </w:r>
    </w:p>
    <w:p w14:paraId="343F506D" w14:textId="389A7867" w:rsidR="00801B58" w:rsidRDefault="00AA1C5D">
      <w:pPr>
        <w:pStyle w:val="RDTYTUMMC"/>
        <w:rPr>
          <w:rStyle w:val="TEKSTPODSTAWOWYMMC"/>
          <w:rFonts w:eastAsia="MS Minch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0" allowOverlap="1" wp14:anchorId="1332B710" wp14:editId="1BA5A93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7B9ABF" w14:textId="77777777" w:rsidR="008F3535" w:rsidRDefault="008F3535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_0" path="m0,0l-2147483645,0l-2147483645,-2147483646l0,-2147483646xe" fillcolor="#ed0000" stroked="f" style="position:absolute;margin-left:0pt;margin-top:0pt;width:425.2pt;height:2pt;mso-wrap-style:none;v-text-anchor:middle">
                <v:fill o:detectmouseclick="t" type="solid" color2="#12ffff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="00801B58">
        <w:rPr>
          <w:rStyle w:val="TEKSTPODSTAWOWYMMC"/>
          <w:rFonts w:eastAsia="MS Mincho"/>
          <w:b/>
          <w:bCs/>
        </w:rPr>
        <w:t xml:space="preserve">Firma </w:t>
      </w:r>
      <w:r w:rsidRPr="00801B58">
        <w:rPr>
          <w:rStyle w:val="TEKSTPODSTAWOWYMMC"/>
          <w:rFonts w:eastAsia="MS Mincho"/>
          <w:b/>
          <w:bCs/>
        </w:rPr>
        <w:t xml:space="preserve">Mitsubishi Motors Corporation (dalej Mitsubishi Motors) zaprezentuje się na targach Japan </w:t>
      </w:r>
      <w:proofErr w:type="spellStart"/>
      <w:r w:rsidRPr="00801B58">
        <w:rPr>
          <w:rStyle w:val="TEKSTPODSTAWOWYMMC"/>
          <w:rFonts w:eastAsia="MS Mincho"/>
          <w:b/>
          <w:bCs/>
        </w:rPr>
        <w:t>Mobility</w:t>
      </w:r>
      <w:proofErr w:type="spellEnd"/>
      <w:r w:rsidRPr="00801B58">
        <w:rPr>
          <w:rStyle w:val="TEKSTPODSTAWOWYMMC"/>
          <w:rFonts w:eastAsia="MS Mincho"/>
          <w:b/>
          <w:bCs/>
        </w:rPr>
        <w:t xml:space="preserve"> Show 2023</w:t>
      </w:r>
      <w:r w:rsidR="00B27FF5">
        <w:rPr>
          <w:rStyle w:val="TEKSTPODSTAWOWYMMC"/>
          <w:rFonts w:eastAsia="MS Mincho"/>
          <w:b/>
          <w:bCs/>
        </w:rPr>
        <w:t>*</w:t>
      </w:r>
      <w:r w:rsidRPr="00801B58">
        <w:rPr>
          <w:rStyle w:val="TEKSTPODSTAWOWYMMC"/>
          <w:rFonts w:eastAsia="MS Mincho"/>
          <w:b/>
          <w:bCs/>
        </w:rPr>
        <w:t xml:space="preserve">1  pod hasłem „Obudź w </w:t>
      </w:r>
      <w:r w:rsidRPr="00801B58">
        <w:rPr>
          <w:rStyle w:val="TEKSTPODSTAWOWYMMC"/>
          <w:rFonts w:eastAsia="MS Mincho"/>
          <w:b/>
          <w:bCs/>
        </w:rPr>
        <w:t>sobie ducha przygody. Przygody dla wszystkich – zawsze i wszędzie”, z zamiarem pobudzenia w kierowcach ducha przygody w różnych okolicznościach, od codziennego życia po niezbadane krainy.</w:t>
      </w:r>
    </w:p>
    <w:p w14:paraId="2D5B1A00" w14:textId="77777777" w:rsidR="00801B58" w:rsidRDefault="00801B58">
      <w:pPr>
        <w:pStyle w:val="RDTYTUMMC"/>
        <w:rPr>
          <w:rStyle w:val="Pogrubienie"/>
          <w:rFonts w:ascii="MMC OFFICE" w:hAnsi="MMC OFFICE"/>
          <w:sz w:val="18"/>
          <w:szCs w:val="18"/>
        </w:rPr>
      </w:pPr>
    </w:p>
    <w:p w14:paraId="0E19A8FC" w14:textId="79DD2773" w:rsidR="00801B58" w:rsidRDefault="00AA1C5D" w:rsidP="00801B58">
      <w:pPr>
        <w:pStyle w:val="Cytaty"/>
        <w:rPr>
          <w:rStyle w:val="Pogrubienie"/>
          <w:rFonts w:ascii="MMC OFFICE" w:hAnsi="MMC OFFICE"/>
          <w:sz w:val="18"/>
          <w:szCs w:val="18"/>
        </w:rPr>
      </w:pPr>
      <w:r>
        <w:rPr>
          <w:rStyle w:val="Pogrubienie"/>
          <w:rFonts w:ascii="MMC OFFICE" w:hAnsi="MMC OFFICE"/>
          <w:sz w:val="18"/>
          <w:szCs w:val="18"/>
        </w:rPr>
        <w:t>Stoisko Mitsubishi Motors</w:t>
      </w:r>
    </w:p>
    <w:p w14:paraId="07930527" w14:textId="6D18B1FC" w:rsidR="008F3535" w:rsidRDefault="00AA1C5D" w:rsidP="00801B58">
      <w:pPr>
        <w:pStyle w:val="Cytaty"/>
        <w:rPr>
          <w:rStyle w:val="Pogrubienie"/>
          <w:rFonts w:ascii="MMC OFFICE" w:hAnsi="MMC OFFICE"/>
          <w:b w:val="0"/>
          <w:bCs w:val="0"/>
          <w:sz w:val="18"/>
          <w:szCs w:val="18"/>
        </w:rPr>
      </w:pP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Stoisko Mitsubishi Motors jest podzielone na trzy strefy – Strefę Nie</w:t>
      </w:r>
      <w:r w:rsidR="00B27FF5">
        <w:rPr>
          <w:rStyle w:val="Pogrubienie"/>
          <w:rFonts w:ascii="MMC OFFICE" w:hAnsi="MMC OFFICE"/>
          <w:b w:val="0"/>
          <w:bCs w:val="0"/>
          <w:sz w:val="18"/>
          <w:szCs w:val="18"/>
        </w:rPr>
        <w:t>odkrytych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Przygód, która zachęca odwiedzających do podejmowania nowych wyzwań,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Strefę Aktywnego Wypoczynku, która sprawia, że chcą pójść o krok dalej niż zwykle oraz Strefę Codziennych Przygód, w której codzienne życie staje się pasjonujące i przyjemne.</w:t>
      </w:r>
    </w:p>
    <w:p w14:paraId="4DED68BB" w14:textId="77777777" w:rsidR="00801B58" w:rsidRDefault="00801B58" w:rsidP="00801B58">
      <w:pPr>
        <w:pStyle w:val="Cytaty"/>
        <w:rPr>
          <w:rStyle w:val="Pogrubienie"/>
          <w:rFonts w:ascii="MMC OFFICE" w:hAnsi="MMC OFFICE" w:hint="eastAsia"/>
          <w:b w:val="0"/>
          <w:bCs w:val="0"/>
          <w:sz w:val="18"/>
          <w:szCs w:val="18"/>
        </w:rPr>
      </w:pPr>
    </w:p>
    <w:p w14:paraId="2E395A66" w14:textId="4A56CC76" w:rsidR="008F3535" w:rsidRDefault="00AA1C5D">
      <w:pPr>
        <w:pStyle w:val="RDTYTUMMC"/>
        <w:rPr>
          <w:rFonts w:hint="eastAsia"/>
        </w:rPr>
      </w:pP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  </w:t>
      </w:r>
      <w:r>
        <w:rPr>
          <w:rStyle w:val="Pogrubienie"/>
          <w:rFonts w:ascii="MMC OFFICE" w:hAnsi="MMC OFFICE"/>
          <w:sz w:val="18"/>
          <w:szCs w:val="18"/>
        </w:rPr>
        <w:t>• Strefa Nie</w:t>
      </w:r>
      <w:r w:rsidR="00B27FF5">
        <w:rPr>
          <w:rStyle w:val="Pogrubienie"/>
          <w:rFonts w:ascii="MMC OFFICE" w:hAnsi="MMC OFFICE"/>
          <w:sz w:val="18"/>
          <w:szCs w:val="18"/>
        </w:rPr>
        <w:t>odkrytych</w:t>
      </w:r>
      <w:r>
        <w:rPr>
          <w:rStyle w:val="Pogrubienie"/>
          <w:rFonts w:ascii="MMC OFFICE" w:hAnsi="MMC OFFICE"/>
          <w:sz w:val="18"/>
          <w:szCs w:val="18"/>
        </w:rPr>
        <w:t xml:space="preserve"> Przygód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</w:t>
      </w:r>
    </w:p>
    <w:p w14:paraId="661EB2B4" w14:textId="67120018" w:rsidR="008F3535" w:rsidRDefault="00AA1C5D">
      <w:pPr>
        <w:pStyle w:val="RDTYTUMMC"/>
        <w:rPr>
          <w:rStyle w:val="Pogrubienie"/>
          <w:rFonts w:ascii="MMC OFFICE" w:hAnsi="MMC OFFICE"/>
          <w:b w:val="0"/>
          <w:bCs w:val="0"/>
          <w:sz w:val="18"/>
          <w:szCs w:val="18"/>
        </w:rPr>
      </w:pP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W </w:t>
      </w:r>
      <w:r w:rsidR="00B27FF5">
        <w:rPr>
          <w:rStyle w:val="Pogrubienie"/>
          <w:rFonts w:ascii="MMC OFFICE" w:hAnsi="MMC OFFICE"/>
          <w:b w:val="0"/>
          <w:bCs w:val="0"/>
          <w:sz w:val="18"/>
          <w:szCs w:val="18"/>
        </w:rPr>
        <w:t>specjalnie ukształtowanym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obszarze strefy Nie</w:t>
      </w:r>
      <w:r w:rsidR="00B27FF5">
        <w:rPr>
          <w:rStyle w:val="Pogrubienie"/>
          <w:rFonts w:ascii="MMC OFFICE" w:hAnsi="MMC OFFICE"/>
          <w:b w:val="0"/>
          <w:bCs w:val="0"/>
          <w:sz w:val="18"/>
          <w:szCs w:val="18"/>
        </w:rPr>
        <w:t>odkrytych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Prz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ygód, nawiązującym do pejzażu górskiego, pojawi się zelektryfikowany </w:t>
      </w:r>
      <w:proofErr w:type="spellStart"/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crossover</w:t>
      </w:r>
      <w:proofErr w:type="spellEnd"/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MPV Mitsubishi Motors, który będzie miał światową premierę podczas Japan </w:t>
      </w:r>
      <w:proofErr w:type="spellStart"/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Mobility</w:t>
      </w:r>
      <w:proofErr w:type="spellEnd"/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Show. Do dyspozycji odwiedzających zostanie przygotowany symulator jazdy, w którym będzie można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przekonać się jak bezpieczny, komfortowy i przyjazny w prowadzeniu jest </w:t>
      </w:r>
      <w:r w:rsidR="00B27FF5"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ten 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samochód w każdych warunkach pogodowych i drogowych.</w:t>
      </w:r>
    </w:p>
    <w:p w14:paraId="49F0C8D8" w14:textId="77777777" w:rsidR="00B27FF5" w:rsidRDefault="00B27FF5">
      <w:pPr>
        <w:pStyle w:val="RDTYTUMMC"/>
        <w:rPr>
          <w:rStyle w:val="Pogrubienie"/>
          <w:rFonts w:ascii="MMC OFFICE" w:hAnsi="MMC OFFICE" w:hint="eastAsia"/>
          <w:b w:val="0"/>
          <w:bCs w:val="0"/>
          <w:sz w:val="18"/>
          <w:szCs w:val="18"/>
        </w:rPr>
      </w:pPr>
    </w:p>
    <w:p w14:paraId="42BA8CBD" w14:textId="77777777" w:rsidR="008F3535" w:rsidRDefault="00AA1C5D">
      <w:pPr>
        <w:pStyle w:val="RDTYTUMMC"/>
        <w:rPr>
          <w:rFonts w:hint="eastAsia"/>
        </w:rPr>
      </w:pP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   </w:t>
      </w:r>
      <w:r>
        <w:rPr>
          <w:rStyle w:val="Pogrubienie"/>
          <w:rFonts w:ascii="MMC OFFICE" w:hAnsi="MMC OFFICE"/>
          <w:sz w:val="18"/>
          <w:szCs w:val="18"/>
        </w:rPr>
        <w:t>• Strefa Aktywnego Wypoczynku</w:t>
      </w:r>
    </w:p>
    <w:p w14:paraId="09B61757" w14:textId="221C9845" w:rsidR="008F3535" w:rsidRDefault="00AA1C5D">
      <w:pPr>
        <w:pStyle w:val="RDTYTUMMC"/>
        <w:rPr>
          <w:rFonts w:hint="eastAsia"/>
        </w:rPr>
      </w:pP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Na stoisku zaprezentowane zostaną </w:t>
      </w:r>
      <w:r w:rsidR="00B27FF5"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nowe modele - </w:t>
      </w:r>
      <w:proofErr w:type="spellStart"/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Triton</w:t>
      </w:r>
      <w:proofErr w:type="spellEnd"/>
      <w:r w:rsidR="00B27FF5">
        <w:rPr>
          <w:rStyle w:val="Pogrubienie"/>
          <w:rFonts w:ascii="MMC OFFICE" w:hAnsi="MMC OFFICE"/>
          <w:b w:val="0"/>
          <w:bCs w:val="0"/>
          <w:sz w:val="18"/>
          <w:szCs w:val="18"/>
        </w:rPr>
        <w:t>/L200*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2, który wziął udział w rajdzie Asia Cross Country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Rally 2023, oraz </w:t>
      </w:r>
      <w:proofErr w:type="spellStart"/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Delica</w:t>
      </w:r>
      <w:proofErr w:type="spellEnd"/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D:5, która towarzyszyła mu jako samochód serwisowy. Ich zadaniem będzie zademonstrowanie parametrów terenowych, dzięki którym kierowc</w:t>
      </w:r>
      <w:r w:rsidR="00B27FF5">
        <w:rPr>
          <w:rStyle w:val="Pogrubienie"/>
          <w:rFonts w:ascii="MMC OFFICE" w:hAnsi="MMC OFFICE"/>
          <w:b w:val="0"/>
          <w:bCs w:val="0"/>
          <w:sz w:val="18"/>
          <w:szCs w:val="18"/>
        </w:rPr>
        <w:t>y</w:t>
      </w: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mogą poczuć się pewniej w trudniejszym terenie.</w:t>
      </w:r>
    </w:p>
    <w:p w14:paraId="29AA0E91" w14:textId="5BB6D4B0" w:rsidR="008F3535" w:rsidRDefault="00AA1C5D">
      <w:pPr>
        <w:pStyle w:val="NormalnyWeb"/>
      </w:pPr>
      <w:r>
        <w:rPr>
          <w:rStyle w:val="LEADMMC"/>
          <w:b w:val="0"/>
          <w:bCs w:val="0"/>
          <w:sz w:val="18"/>
          <w:szCs w:val="18"/>
        </w:rPr>
        <w:t>Na stoisku goście obejrzą także pojazd ratunkow</w:t>
      </w:r>
      <w:r>
        <w:rPr>
          <w:rStyle w:val="LEADMMC"/>
          <w:b w:val="0"/>
          <w:bCs w:val="0"/>
          <w:sz w:val="18"/>
          <w:szCs w:val="18"/>
        </w:rPr>
        <w:t xml:space="preserve">y </w:t>
      </w:r>
      <w:r w:rsidR="00B27FF5">
        <w:rPr>
          <w:rStyle w:val="LEADMMC"/>
          <w:b w:val="0"/>
          <w:bCs w:val="0"/>
          <w:sz w:val="18"/>
          <w:szCs w:val="18"/>
        </w:rPr>
        <w:t xml:space="preserve">Mitsubishi </w:t>
      </w:r>
      <w:proofErr w:type="spellStart"/>
      <w:r>
        <w:rPr>
          <w:rStyle w:val="LEADMMC"/>
          <w:b w:val="0"/>
          <w:bCs w:val="0"/>
          <w:sz w:val="18"/>
          <w:szCs w:val="18"/>
        </w:rPr>
        <w:t>Outlander</w:t>
      </w:r>
      <w:proofErr w:type="spellEnd"/>
      <w:r>
        <w:rPr>
          <w:rStyle w:val="LEADMMC"/>
          <w:b w:val="0"/>
          <w:bCs w:val="0"/>
          <w:sz w:val="18"/>
          <w:szCs w:val="18"/>
        </w:rPr>
        <w:t xml:space="preserve"> PHEV </w:t>
      </w:r>
      <w:r w:rsidR="00B27FF5">
        <w:rPr>
          <w:rStyle w:val="LEADMMC"/>
          <w:b w:val="0"/>
          <w:bCs w:val="0"/>
          <w:sz w:val="18"/>
          <w:szCs w:val="18"/>
        </w:rPr>
        <w:t>przygotowany</w:t>
      </w:r>
      <w:r>
        <w:rPr>
          <w:rStyle w:val="LEADMMC"/>
          <w:b w:val="0"/>
          <w:bCs w:val="0"/>
          <w:sz w:val="18"/>
          <w:szCs w:val="18"/>
        </w:rPr>
        <w:t xml:space="preserve"> we współpracy z firmą </w:t>
      </w:r>
      <w:proofErr w:type="spellStart"/>
      <w:r>
        <w:rPr>
          <w:rStyle w:val="LEADMMC"/>
          <w:b w:val="0"/>
          <w:bCs w:val="0"/>
          <w:sz w:val="18"/>
          <w:szCs w:val="18"/>
        </w:rPr>
        <w:t>Gehirn</w:t>
      </w:r>
      <w:proofErr w:type="spellEnd"/>
      <w:r>
        <w:rPr>
          <w:rStyle w:val="LEADMMC"/>
          <w:b w:val="0"/>
          <w:bCs w:val="0"/>
          <w:sz w:val="18"/>
          <w:szCs w:val="18"/>
        </w:rPr>
        <w:t xml:space="preserve"> Inc., która dostarcza aplikację NERV3 </w:t>
      </w:r>
      <w:proofErr w:type="spellStart"/>
      <w:r>
        <w:rPr>
          <w:rStyle w:val="LEADMMC"/>
          <w:b w:val="0"/>
          <w:bCs w:val="0"/>
          <w:sz w:val="18"/>
          <w:szCs w:val="18"/>
        </w:rPr>
        <w:t>Disaster</w:t>
      </w:r>
      <w:proofErr w:type="spellEnd"/>
      <w:r>
        <w:rPr>
          <w:rStyle w:val="LEADMMC"/>
          <w:b w:val="0"/>
          <w:bCs w:val="0"/>
          <w:sz w:val="18"/>
          <w:szCs w:val="18"/>
        </w:rPr>
        <w:t xml:space="preserve"> </w:t>
      </w:r>
      <w:proofErr w:type="spellStart"/>
      <w:r>
        <w:rPr>
          <w:rStyle w:val="LEADMMC"/>
          <w:b w:val="0"/>
          <w:bCs w:val="0"/>
          <w:sz w:val="18"/>
          <w:szCs w:val="18"/>
        </w:rPr>
        <w:t>Prevention</w:t>
      </w:r>
      <w:proofErr w:type="spellEnd"/>
      <w:r>
        <w:rPr>
          <w:rStyle w:val="LEADMMC"/>
          <w:b w:val="0"/>
          <w:bCs w:val="0"/>
          <w:sz w:val="18"/>
          <w:szCs w:val="18"/>
        </w:rPr>
        <w:t xml:space="preserve"> informującą o zapobieganiu katastrofom oraz klęskach żywiołowych. Będzie można zapoznać się z jego skutecznością w różnych warunkach pogod</w:t>
      </w:r>
      <w:r>
        <w:rPr>
          <w:rStyle w:val="LEADMMC"/>
          <w:b w:val="0"/>
          <w:bCs w:val="0"/>
          <w:sz w:val="18"/>
          <w:szCs w:val="18"/>
        </w:rPr>
        <w:t>owych i drogowych w scenariuszach awaryjnych.</w:t>
      </w:r>
    </w:p>
    <w:p w14:paraId="7BFD9FB9" w14:textId="77777777" w:rsidR="008F3535" w:rsidRDefault="00AA1C5D">
      <w:pPr>
        <w:pStyle w:val="NormalnyWeb"/>
      </w:pPr>
      <w:r>
        <w:rPr>
          <w:rStyle w:val="LEADMMC"/>
          <w:sz w:val="18"/>
          <w:szCs w:val="18"/>
        </w:rPr>
        <w:t xml:space="preserve">    • Strefa Codziennych Przygód</w:t>
      </w:r>
    </w:p>
    <w:p w14:paraId="4BE56E3F" w14:textId="5E8F23B1" w:rsidR="008F3535" w:rsidRDefault="00B27FF5">
      <w:pPr>
        <w:pStyle w:val="NormalnyWeb"/>
      </w:pPr>
      <w:r>
        <w:rPr>
          <w:rStyle w:val="LEADMMC"/>
          <w:b w:val="0"/>
          <w:bCs w:val="0"/>
          <w:sz w:val="18"/>
          <w:szCs w:val="18"/>
        </w:rPr>
        <w:t xml:space="preserve">Podczas wystawy Japan </w:t>
      </w:r>
      <w:proofErr w:type="spellStart"/>
      <w:r>
        <w:rPr>
          <w:rStyle w:val="LEADMMC"/>
          <w:b w:val="0"/>
          <w:bCs w:val="0"/>
          <w:sz w:val="18"/>
          <w:szCs w:val="18"/>
        </w:rPr>
        <w:t>Mobility</w:t>
      </w:r>
      <w:proofErr w:type="spellEnd"/>
      <w:r>
        <w:rPr>
          <w:rStyle w:val="LEADMMC"/>
          <w:b w:val="0"/>
          <w:bCs w:val="0"/>
          <w:sz w:val="18"/>
          <w:szCs w:val="18"/>
        </w:rPr>
        <w:t xml:space="preserve"> Show z</w:t>
      </w:r>
      <w:r w:rsidR="00AA1C5D">
        <w:rPr>
          <w:rStyle w:val="LEADMMC"/>
          <w:b w:val="0"/>
          <w:bCs w:val="0"/>
          <w:sz w:val="18"/>
          <w:szCs w:val="18"/>
        </w:rPr>
        <w:t xml:space="preserve">aprezentowane zostaną </w:t>
      </w:r>
      <w:r>
        <w:rPr>
          <w:rStyle w:val="LEADMMC"/>
          <w:b w:val="0"/>
          <w:bCs w:val="0"/>
          <w:sz w:val="18"/>
          <w:szCs w:val="18"/>
        </w:rPr>
        <w:t>nowe Mitsubishi</w:t>
      </w:r>
      <w:r w:rsidR="00AA1C5D">
        <w:rPr>
          <w:rStyle w:val="LEADMMC"/>
          <w:b w:val="0"/>
          <w:bCs w:val="0"/>
          <w:sz w:val="18"/>
          <w:szCs w:val="18"/>
        </w:rPr>
        <w:t xml:space="preserve"> </w:t>
      </w:r>
      <w:proofErr w:type="spellStart"/>
      <w:r w:rsidR="00AA1C5D">
        <w:rPr>
          <w:rStyle w:val="LEADMMC"/>
          <w:b w:val="0"/>
          <w:bCs w:val="0"/>
          <w:sz w:val="18"/>
          <w:szCs w:val="18"/>
        </w:rPr>
        <w:t>Delica</w:t>
      </w:r>
      <w:proofErr w:type="spellEnd"/>
      <w:r w:rsidR="00AA1C5D">
        <w:rPr>
          <w:rStyle w:val="LEADMMC"/>
          <w:b w:val="0"/>
          <w:bCs w:val="0"/>
          <w:sz w:val="18"/>
          <w:szCs w:val="18"/>
        </w:rPr>
        <w:t xml:space="preserve"> Mini oraz </w:t>
      </w:r>
      <w:proofErr w:type="spellStart"/>
      <w:r w:rsidR="00AA1C5D">
        <w:rPr>
          <w:rStyle w:val="LEADMMC"/>
          <w:b w:val="0"/>
          <w:bCs w:val="0"/>
          <w:sz w:val="18"/>
          <w:szCs w:val="18"/>
        </w:rPr>
        <w:t>eK</w:t>
      </w:r>
      <w:proofErr w:type="spellEnd"/>
      <w:r w:rsidR="00AA1C5D">
        <w:rPr>
          <w:rStyle w:val="LEADMMC"/>
          <w:b w:val="0"/>
          <w:bCs w:val="0"/>
          <w:sz w:val="18"/>
          <w:szCs w:val="18"/>
        </w:rPr>
        <w:t xml:space="preserve"> X EV4, które umożliwiają przeżywanie przygód w codziennym życiu, poszerzając horyzonty, oferując różnorodne możliwości spędzania </w:t>
      </w:r>
      <w:r w:rsidR="00AA1C5D">
        <w:rPr>
          <w:rStyle w:val="LEADMMC"/>
          <w:b w:val="0"/>
          <w:bCs w:val="0"/>
          <w:sz w:val="18"/>
          <w:szCs w:val="18"/>
        </w:rPr>
        <w:t>wolnego czasu z rodziną i przyjaciółmi.</w:t>
      </w:r>
    </w:p>
    <w:p w14:paraId="7E9B4F1B" w14:textId="598EA99A" w:rsidR="008F3535" w:rsidRDefault="00AA1C5D">
      <w:pPr>
        <w:pStyle w:val="NormalnyWeb"/>
        <w:rPr>
          <w:rStyle w:val="LEADMMC"/>
          <w:b w:val="0"/>
          <w:bCs w:val="0"/>
          <w:sz w:val="18"/>
          <w:szCs w:val="18"/>
        </w:rPr>
      </w:pPr>
      <w:r>
        <w:rPr>
          <w:rStyle w:val="LEADMMC"/>
          <w:b w:val="0"/>
          <w:bCs w:val="0"/>
          <w:sz w:val="18"/>
          <w:szCs w:val="18"/>
        </w:rPr>
        <w:t xml:space="preserve">W modelu </w:t>
      </w:r>
      <w:proofErr w:type="spellStart"/>
      <w:r>
        <w:rPr>
          <w:rStyle w:val="LEADMMC"/>
          <w:b w:val="0"/>
          <w:bCs w:val="0"/>
          <w:sz w:val="18"/>
          <w:szCs w:val="18"/>
        </w:rPr>
        <w:t>Outlander</w:t>
      </w:r>
      <w:proofErr w:type="spellEnd"/>
      <w:r>
        <w:rPr>
          <w:rStyle w:val="LEADMMC"/>
          <w:b w:val="0"/>
          <w:bCs w:val="0"/>
          <w:sz w:val="18"/>
          <w:szCs w:val="18"/>
        </w:rPr>
        <w:t xml:space="preserve"> PHEV zostanie zainstalowany system nagłośnienia </w:t>
      </w:r>
      <w:proofErr w:type="spellStart"/>
      <w:r>
        <w:rPr>
          <w:rStyle w:val="LEADMMC"/>
          <w:b w:val="0"/>
          <w:bCs w:val="0"/>
          <w:sz w:val="18"/>
          <w:szCs w:val="18"/>
        </w:rPr>
        <w:t>Dynamic</w:t>
      </w:r>
      <w:proofErr w:type="spellEnd"/>
      <w:r>
        <w:rPr>
          <w:rStyle w:val="LEADMMC"/>
          <w:b w:val="0"/>
          <w:bCs w:val="0"/>
          <w:sz w:val="18"/>
          <w:szCs w:val="18"/>
        </w:rPr>
        <w:t xml:space="preserve"> Sound </w:t>
      </w:r>
      <w:proofErr w:type="spellStart"/>
      <w:r>
        <w:rPr>
          <w:rStyle w:val="LEADMMC"/>
          <w:b w:val="0"/>
          <w:bCs w:val="0"/>
          <w:sz w:val="18"/>
          <w:szCs w:val="18"/>
        </w:rPr>
        <w:t>Concept</w:t>
      </w:r>
      <w:proofErr w:type="spellEnd"/>
      <w:r>
        <w:rPr>
          <w:rStyle w:val="LEADMMC"/>
          <w:b w:val="0"/>
          <w:bCs w:val="0"/>
          <w:sz w:val="18"/>
          <w:szCs w:val="18"/>
        </w:rPr>
        <w:t>, opracowany we współpracy z Yamaha Corporation (dalej Yamaha). Podczas pokazów odwiedzający będą mogli doświadczyć najwyższej j</w:t>
      </w:r>
      <w:r>
        <w:rPr>
          <w:rStyle w:val="LEADMMC"/>
          <w:b w:val="0"/>
          <w:bCs w:val="0"/>
          <w:sz w:val="18"/>
          <w:szCs w:val="18"/>
        </w:rPr>
        <w:t>akości dźwięku, uzyskanego przez Mitsubishi Motors i Yamahę. Potężny i wszechogarniający dźwięk sprawia, że codzienne podróże stają się bardziej komfortow</w:t>
      </w:r>
      <w:r w:rsidR="00B27FF5">
        <w:rPr>
          <w:rStyle w:val="LEADMMC"/>
          <w:b w:val="0"/>
          <w:bCs w:val="0"/>
          <w:sz w:val="18"/>
          <w:szCs w:val="18"/>
        </w:rPr>
        <w:t>e</w:t>
      </w:r>
      <w:r>
        <w:rPr>
          <w:rStyle w:val="LEADMMC"/>
          <w:b w:val="0"/>
          <w:bCs w:val="0"/>
          <w:sz w:val="18"/>
          <w:szCs w:val="18"/>
        </w:rPr>
        <w:t xml:space="preserve"> i przyjemniejsze.</w:t>
      </w:r>
    </w:p>
    <w:p w14:paraId="0491DD68" w14:textId="77777777" w:rsidR="00801B58" w:rsidRDefault="00801B58" w:rsidP="00801B58">
      <w:pPr>
        <w:pStyle w:val="RDTYTUMMC"/>
        <w:rPr>
          <w:rStyle w:val="Pogrubienie"/>
          <w:rFonts w:ascii="MMC OFFICE" w:hAnsi="MMC OFFICE"/>
          <w:b w:val="0"/>
          <w:bCs w:val="0"/>
          <w:sz w:val="18"/>
          <w:szCs w:val="18"/>
        </w:rPr>
      </w:pPr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Specjalna strona internetowa Mitsubishi Motors dotycząca Japan </w:t>
      </w:r>
      <w:proofErr w:type="spellStart"/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>Mobility</w:t>
      </w:r>
      <w:proofErr w:type="spellEnd"/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Show 2023: </w:t>
      </w:r>
      <w:hyperlink r:id="rId6" w:history="1">
        <w:r w:rsidRPr="00C640D0">
          <w:rPr>
            <w:rStyle w:val="Hipercze"/>
            <w:rFonts w:ascii="MMC OFFICE" w:hAnsi="MMC OFFICE"/>
            <w:sz w:val="18"/>
            <w:szCs w:val="18"/>
          </w:rPr>
          <w:t>https://www.mitsubishi-motors.com/en/innovation/motorshow/jms2023/</w:t>
        </w:r>
      </w:hyperlink>
      <w:r>
        <w:rPr>
          <w:rStyle w:val="Pogrubienie"/>
          <w:rFonts w:ascii="MMC OFFICE" w:hAnsi="MMC OFFICE"/>
          <w:b w:val="0"/>
          <w:bCs w:val="0"/>
          <w:sz w:val="18"/>
          <w:szCs w:val="18"/>
        </w:rPr>
        <w:t xml:space="preserve"> </w:t>
      </w:r>
    </w:p>
    <w:p w14:paraId="3E23F59A" w14:textId="77777777" w:rsidR="00801B58" w:rsidRDefault="00801B58">
      <w:pPr>
        <w:pStyle w:val="NormalnyWeb"/>
        <w:rPr>
          <w:rStyle w:val="LEADMMC"/>
          <w:b w:val="0"/>
          <w:bCs w:val="0"/>
          <w:sz w:val="18"/>
          <w:szCs w:val="18"/>
        </w:rPr>
      </w:pPr>
    </w:p>
    <w:p w14:paraId="2736BF16" w14:textId="77777777" w:rsidR="008F3535" w:rsidRDefault="00AA1C5D">
      <w:pPr>
        <w:pStyle w:val="Nagwek1"/>
        <w:spacing w:before="101"/>
        <w:jc w:val="left"/>
        <w:rPr>
          <w:rFonts w:ascii="MMC OFFICE" w:hAnsi="MMC OFFICE" w:hint="eastAsia"/>
          <w:b/>
          <w:bCs/>
        </w:rPr>
      </w:pPr>
      <w:r>
        <w:rPr>
          <w:rFonts w:ascii="MMC OFFICE" w:hAnsi="MMC OFFICE"/>
          <w:b/>
          <w:bCs/>
        </w:rPr>
        <w:t xml:space="preserve">Gama modeli Mitsubishi Motors prezentowanych </w:t>
      </w:r>
      <w:r>
        <w:rPr>
          <w:rFonts w:ascii="MMC OFFICE" w:hAnsi="MMC OFFICE"/>
          <w:b/>
          <w:bCs/>
        </w:rPr>
        <w:t>na</w:t>
      </w:r>
      <w:r>
        <w:rPr>
          <w:rFonts w:ascii="MMC OFFICE" w:hAnsi="MMC OFFICE"/>
          <w:b/>
          <w:bCs/>
        </w:rPr>
        <w:t xml:space="preserve"> Japan </w:t>
      </w:r>
      <w:proofErr w:type="spellStart"/>
      <w:r>
        <w:rPr>
          <w:rFonts w:ascii="MMC OFFICE" w:hAnsi="MMC OFFICE"/>
          <w:b/>
          <w:bCs/>
        </w:rPr>
        <w:t>Mobility</w:t>
      </w:r>
      <w:proofErr w:type="spellEnd"/>
      <w:r>
        <w:rPr>
          <w:rFonts w:ascii="MMC OFFICE" w:hAnsi="MMC OFFICE"/>
          <w:b/>
          <w:bCs/>
        </w:rPr>
        <w:t xml:space="preserve"> Show 2023</w:t>
      </w:r>
    </w:p>
    <w:p w14:paraId="7A4D87A1" w14:textId="77777777" w:rsidR="008F3535" w:rsidRDefault="008F3535">
      <w:pPr>
        <w:pStyle w:val="Tekstpodstawowy"/>
        <w:spacing w:before="6" w:after="0"/>
        <w:rPr>
          <w:rFonts w:hint="eastAsia"/>
          <w:b/>
          <w:sz w:val="20"/>
        </w:rPr>
      </w:pPr>
    </w:p>
    <w:tbl>
      <w:tblPr>
        <w:tblW w:w="8348" w:type="dxa"/>
        <w:tblInd w:w="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39"/>
        <w:gridCol w:w="1305"/>
        <w:gridCol w:w="1305"/>
        <w:gridCol w:w="1699"/>
      </w:tblGrid>
      <w:tr w:rsidR="008F3535" w14:paraId="1B4E159F" w14:textId="77777777">
        <w:trPr>
          <w:trHeight w:val="270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592720" w14:textId="77777777" w:rsidR="008F3535" w:rsidRDefault="00AA1C5D">
            <w:pPr>
              <w:pStyle w:val="TableParagraph"/>
              <w:spacing w:before="159"/>
              <w:ind w:left="1187" w:right="117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pacing w:val="-2"/>
                <w:sz w:val="16"/>
                <w:szCs w:val="16"/>
                <w:lang w:val="pl-PL"/>
              </w:rPr>
              <w:t>Model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F02" w14:textId="510D5B40" w:rsidR="008F3535" w:rsidRDefault="008F3535">
            <w:pPr>
              <w:pStyle w:val="TableParagraph"/>
              <w:spacing w:line="235" w:lineRule="exact"/>
              <w:ind w:left="622"/>
              <w:rPr>
                <w:sz w:val="16"/>
                <w:szCs w:val="16"/>
                <w:lang w:val="pl-PL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670C42" w14:textId="77777777" w:rsidR="008F3535" w:rsidRDefault="00AA1C5D">
            <w:pPr>
              <w:pStyle w:val="TableParagraph"/>
              <w:spacing w:before="159"/>
              <w:ind w:left="974" w:right="961"/>
              <w:jc w:val="center"/>
              <w:rPr>
                <w:sz w:val="16"/>
                <w:szCs w:val="16"/>
                <w:lang w:val="pl-PL"/>
              </w:rPr>
            </w:pPr>
            <w:r>
              <w:rPr>
                <w:spacing w:val="-2"/>
                <w:sz w:val="16"/>
                <w:szCs w:val="16"/>
                <w:lang w:val="pl-PL"/>
              </w:rPr>
              <w:t>Uwagi</w:t>
            </w:r>
          </w:p>
        </w:tc>
      </w:tr>
      <w:tr w:rsidR="008F3535" w14:paraId="464EB4BB" w14:textId="77777777">
        <w:trPr>
          <w:trHeight w:val="267"/>
        </w:trPr>
        <w:tc>
          <w:tcPr>
            <w:tcW w:w="403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A03FD8" w14:textId="77777777" w:rsidR="008F3535" w:rsidRDefault="008F353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BDF519" w14:textId="77777777" w:rsidR="008F3535" w:rsidRDefault="00AA1C5D">
            <w:pPr>
              <w:pStyle w:val="TableParagraph"/>
              <w:spacing w:before="3" w:line="245" w:lineRule="exact"/>
              <w:ind w:left="121" w:right="108"/>
              <w:jc w:val="center"/>
              <w:rPr>
                <w:sz w:val="16"/>
                <w:szCs w:val="16"/>
                <w:lang w:val="pl-PL"/>
              </w:rPr>
            </w:pPr>
            <w:r>
              <w:rPr>
                <w:spacing w:val="-2"/>
                <w:sz w:val="16"/>
                <w:szCs w:val="16"/>
                <w:lang w:val="pl-PL"/>
              </w:rPr>
              <w:t>Dni prasowe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D707954" w14:textId="77777777" w:rsidR="008F3535" w:rsidRDefault="00AA1C5D">
            <w:pPr>
              <w:pStyle w:val="TableParagraph"/>
              <w:spacing w:before="3" w:line="245" w:lineRule="exact"/>
              <w:ind w:left="98" w:right="82"/>
              <w:jc w:val="center"/>
              <w:rPr>
                <w:sz w:val="16"/>
                <w:szCs w:val="16"/>
                <w:lang w:val="pl-PL"/>
              </w:rPr>
            </w:pPr>
            <w:r>
              <w:rPr>
                <w:spacing w:val="-2"/>
                <w:sz w:val="16"/>
                <w:szCs w:val="16"/>
                <w:lang w:val="pl-PL"/>
              </w:rPr>
              <w:t>Dni otwarte dla publiczności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EB5CAA" w14:textId="77777777" w:rsidR="008F3535" w:rsidRDefault="008F3535">
            <w:pPr>
              <w:rPr>
                <w:rFonts w:hint="eastAsia"/>
                <w:sz w:val="16"/>
                <w:szCs w:val="16"/>
              </w:rPr>
            </w:pPr>
          </w:p>
        </w:tc>
      </w:tr>
      <w:tr w:rsidR="008F3535" w14:paraId="5A09CC5D" w14:textId="77777777">
        <w:trPr>
          <w:trHeight w:val="282"/>
        </w:trPr>
        <w:tc>
          <w:tcPr>
            <w:tcW w:w="40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5501" w14:textId="77777777" w:rsidR="008F3535" w:rsidRDefault="00AA1C5D">
            <w:pPr>
              <w:pStyle w:val="TableParagraph"/>
              <w:spacing w:before="17" w:line="245" w:lineRule="exact"/>
              <w:rPr>
                <w:sz w:val="16"/>
                <w:szCs w:val="16"/>
                <w:lang w:val="pl-PL"/>
              </w:rPr>
            </w:pPr>
            <w:r>
              <w:rPr>
                <w:spacing w:val="-2"/>
                <w:sz w:val="16"/>
                <w:szCs w:val="16"/>
                <w:lang w:val="pl-PL"/>
              </w:rPr>
              <w:t>Model koncepcyjny</w:t>
            </w:r>
          </w:p>
        </w:tc>
        <w:tc>
          <w:tcPr>
            <w:tcW w:w="13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6DC" w14:textId="77777777" w:rsidR="008F3535" w:rsidRDefault="00AA1C5D">
            <w:pPr>
              <w:pStyle w:val="TableParagraph"/>
              <w:spacing w:before="17" w:line="245" w:lineRule="exact"/>
              <w:ind w:left="1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3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142F" w14:textId="77777777" w:rsidR="008F3535" w:rsidRDefault="00AA1C5D">
            <w:pPr>
              <w:pStyle w:val="TableParagraph"/>
              <w:spacing w:before="17" w:line="245" w:lineRule="exact"/>
              <w:ind w:left="1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4D1B" w14:textId="77777777" w:rsidR="008F3535" w:rsidRDefault="00AA1C5D">
            <w:pPr>
              <w:pStyle w:val="TableParagraph"/>
              <w:spacing w:before="17" w:line="245" w:lineRule="exact"/>
              <w:ind w:left="110"/>
              <w:rPr>
                <w:sz w:val="16"/>
                <w:szCs w:val="16"/>
                <w:lang w:val="pl-PL"/>
              </w:rPr>
            </w:pPr>
            <w:r>
              <w:rPr>
                <w:spacing w:val="-2"/>
                <w:sz w:val="16"/>
                <w:szCs w:val="16"/>
                <w:lang w:val="pl-PL"/>
              </w:rPr>
              <w:t>Światowa premiera (model wystawowy)</w:t>
            </w:r>
          </w:p>
        </w:tc>
      </w:tr>
      <w:tr w:rsidR="008F3535" w14:paraId="14CA4F38" w14:textId="77777777">
        <w:trPr>
          <w:trHeight w:val="559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F788" w14:textId="77777777" w:rsidR="008F3535" w:rsidRDefault="00AA1C5D">
            <w:pPr>
              <w:pStyle w:val="TableParagraph"/>
              <w:spacing w:before="13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z w:val="16"/>
                <w:szCs w:val="16"/>
                <w:lang w:val="pl-PL"/>
              </w:rPr>
              <w:t>Last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1 mile </w:t>
            </w:r>
            <w:proofErr w:type="spellStart"/>
            <w:r>
              <w:rPr>
                <w:sz w:val="16"/>
                <w:szCs w:val="16"/>
                <w:lang w:val="pl-PL"/>
              </w:rPr>
              <w:t>Mobility</w:t>
            </w:r>
            <w:proofErr w:type="spellEnd"/>
          </w:p>
          <w:p w14:paraId="11B1FDE4" w14:textId="77777777" w:rsidR="008F3535" w:rsidRDefault="00AA1C5D">
            <w:pPr>
              <w:pStyle w:val="TableParagraph"/>
              <w:spacing w:before="29" w:line="245" w:lineRule="exact"/>
              <w:rPr>
                <w:sz w:val="16"/>
                <w:szCs w:val="16"/>
                <w:lang w:val="pl-PL"/>
              </w:rPr>
            </w:pPr>
            <w:r>
              <w:rPr>
                <w:spacing w:val="-2"/>
                <w:sz w:val="16"/>
                <w:szCs w:val="16"/>
                <w:lang w:val="pl-PL"/>
              </w:rPr>
              <w:t>(mały pojazd)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D35D" w14:textId="77777777" w:rsidR="008F3535" w:rsidRDefault="00AA1C5D">
            <w:pPr>
              <w:pStyle w:val="TableParagraph"/>
              <w:spacing w:before="13"/>
              <w:ind w:left="1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9831" w14:textId="77777777" w:rsidR="008F3535" w:rsidRDefault="00AA1C5D">
            <w:pPr>
              <w:pStyle w:val="TableParagraph"/>
              <w:spacing w:before="13"/>
              <w:ind w:left="1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3796" w14:textId="77777777" w:rsidR="008F3535" w:rsidRDefault="00AA1C5D">
            <w:pPr>
              <w:pStyle w:val="TableParagraph"/>
              <w:spacing w:before="13"/>
              <w:ind w:left="110"/>
              <w:rPr>
                <w:sz w:val="16"/>
                <w:szCs w:val="16"/>
                <w:lang w:val="pl-PL"/>
              </w:rPr>
            </w:pPr>
            <w:r>
              <w:rPr>
                <w:spacing w:val="-2"/>
                <w:sz w:val="16"/>
                <w:szCs w:val="16"/>
                <w:lang w:val="pl-PL"/>
              </w:rPr>
              <w:t>Światowa premiera</w:t>
            </w:r>
          </w:p>
          <w:p w14:paraId="202A60A5" w14:textId="77777777" w:rsidR="008F3535" w:rsidRDefault="00AA1C5D">
            <w:pPr>
              <w:pStyle w:val="TableParagraph"/>
              <w:spacing w:before="29" w:line="245" w:lineRule="exact"/>
              <w:ind w:left="110"/>
              <w:rPr>
                <w:sz w:val="16"/>
                <w:szCs w:val="16"/>
                <w:lang w:val="pl-PL"/>
              </w:rPr>
            </w:pPr>
            <w:r>
              <w:rPr>
                <w:spacing w:val="-2"/>
                <w:sz w:val="16"/>
                <w:szCs w:val="16"/>
                <w:lang w:val="pl-PL"/>
              </w:rPr>
              <w:t>(model wystawowy)</w:t>
            </w:r>
          </w:p>
        </w:tc>
      </w:tr>
      <w:tr w:rsidR="008F3535" w14:paraId="40D07AE5" w14:textId="77777777">
        <w:trPr>
          <w:trHeight w:val="28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D071" w14:textId="760B509B" w:rsidR="008F3535" w:rsidRDefault="00AA1C5D">
            <w:pPr>
              <w:pStyle w:val="TableParagraph"/>
              <w:spacing w:line="245" w:lineRule="exact"/>
              <w:rPr>
                <w:sz w:val="16"/>
                <w:szCs w:val="16"/>
                <w:lang w:val="pl-PL"/>
              </w:rPr>
            </w:pPr>
            <w:r>
              <w:rPr>
                <w:spacing w:val="-2"/>
                <w:sz w:val="16"/>
                <w:szCs w:val="16"/>
                <w:lang w:val="pl-PL"/>
              </w:rPr>
              <w:t xml:space="preserve">Nowy </w:t>
            </w:r>
            <w:proofErr w:type="spellStart"/>
            <w:r>
              <w:rPr>
                <w:spacing w:val="-2"/>
                <w:sz w:val="16"/>
                <w:szCs w:val="16"/>
                <w:lang w:val="pl-PL"/>
              </w:rPr>
              <w:t>Triton</w:t>
            </w:r>
            <w:proofErr w:type="spellEnd"/>
            <w:r>
              <w:rPr>
                <w:spacing w:val="-2"/>
                <w:sz w:val="16"/>
                <w:szCs w:val="16"/>
                <w:lang w:val="pl-PL"/>
              </w:rPr>
              <w:t>/L200</w:t>
            </w:r>
            <w:r>
              <w:rPr>
                <w:spacing w:val="-2"/>
                <w:sz w:val="16"/>
                <w:szCs w:val="16"/>
                <w:lang w:val="pl-PL"/>
              </w:rPr>
              <w:t xml:space="preserve"> (prototyp)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4243" w14:textId="77777777" w:rsidR="008F3535" w:rsidRDefault="00AA1C5D">
            <w:pPr>
              <w:pStyle w:val="TableParagraph"/>
              <w:spacing w:line="245" w:lineRule="exact"/>
              <w:ind w:left="1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DB8E" w14:textId="77777777" w:rsidR="008F3535" w:rsidRDefault="00AA1C5D">
            <w:pPr>
              <w:pStyle w:val="TableParagraph"/>
              <w:spacing w:line="245" w:lineRule="exact"/>
              <w:ind w:left="1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C0EA" w14:textId="77777777" w:rsidR="008F3535" w:rsidRDefault="00AA1C5D">
            <w:pPr>
              <w:pStyle w:val="TableParagraph"/>
              <w:spacing w:line="245" w:lineRule="exact"/>
              <w:ind w:left="110"/>
              <w:rPr>
                <w:sz w:val="16"/>
                <w:szCs w:val="16"/>
                <w:lang w:val="pl-PL"/>
              </w:rPr>
            </w:pPr>
            <w:r>
              <w:rPr>
                <w:spacing w:val="-2"/>
                <w:sz w:val="16"/>
                <w:szCs w:val="16"/>
                <w:lang w:val="pl-PL"/>
              </w:rPr>
              <w:t>Premiera w Japonii (model wystawowy)</w:t>
            </w:r>
          </w:p>
        </w:tc>
      </w:tr>
      <w:tr w:rsidR="008F3535" w14:paraId="05E0A497" w14:textId="77777777">
        <w:trPr>
          <w:trHeight w:val="839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6B46" w14:textId="5C365BA6" w:rsidR="008F3535" w:rsidRDefault="00AA1C5D">
            <w:pPr>
              <w:pStyle w:val="TableParagraph"/>
              <w:spacing w:line="264" w:lineRule="auto"/>
              <w:ind w:right="495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Nowy samochód rajdowy </w:t>
            </w:r>
            <w:proofErr w:type="spellStart"/>
            <w:r>
              <w:rPr>
                <w:sz w:val="16"/>
                <w:szCs w:val="16"/>
                <w:lang w:val="pl-PL"/>
              </w:rPr>
              <w:t>Triton</w:t>
            </w:r>
            <w:proofErr w:type="spellEnd"/>
            <w:r>
              <w:rPr>
                <w:sz w:val="16"/>
                <w:szCs w:val="16"/>
                <w:lang w:val="pl-PL"/>
              </w:rPr>
              <w:t>/L200</w:t>
            </w:r>
            <w:r>
              <w:rPr>
                <w:sz w:val="16"/>
                <w:szCs w:val="16"/>
                <w:lang w:val="pl-PL"/>
              </w:rPr>
              <w:t xml:space="preserve"> (replika samochodu rajdowego Asia Cross Country Rally 2023)</w:t>
            </w:r>
          </w:p>
          <w:p w14:paraId="4CAB2C3A" w14:textId="77777777" w:rsidR="008F3535" w:rsidRDefault="008F3535">
            <w:pPr>
              <w:pStyle w:val="TableParagraph"/>
              <w:spacing w:before="5" w:line="245" w:lineRule="exact"/>
              <w:rPr>
                <w:sz w:val="16"/>
                <w:szCs w:val="16"/>
                <w:lang w:val="pl-PL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9811" w14:textId="77777777" w:rsidR="008F3535" w:rsidRDefault="00AA1C5D">
            <w:pPr>
              <w:pStyle w:val="TableParagraph"/>
              <w:ind w:left="1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ACB4" w14:textId="77777777" w:rsidR="008F3535" w:rsidRDefault="00AA1C5D">
            <w:pPr>
              <w:pStyle w:val="TableParagraph"/>
              <w:ind w:left="1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37C7" w14:textId="77777777" w:rsidR="008F3535" w:rsidRDefault="00AA1C5D">
            <w:pPr>
              <w:pStyle w:val="TableParagraph"/>
              <w:ind w:left="110"/>
              <w:rPr>
                <w:sz w:val="16"/>
                <w:szCs w:val="16"/>
                <w:lang w:val="pl-PL"/>
              </w:rPr>
            </w:pPr>
            <w:r>
              <w:rPr>
                <w:spacing w:val="-2"/>
                <w:sz w:val="16"/>
                <w:szCs w:val="16"/>
                <w:lang w:val="pl-PL"/>
              </w:rPr>
              <w:t>Premiera w Japonii (model wystawowy)</w:t>
            </w:r>
          </w:p>
        </w:tc>
      </w:tr>
      <w:tr w:rsidR="008F3535" w14:paraId="5A777550" w14:textId="77777777">
        <w:trPr>
          <w:trHeight w:val="839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D96C" w14:textId="77777777" w:rsidR="008F3535" w:rsidRDefault="00AA1C5D">
            <w:pPr>
              <w:pStyle w:val="TableParagraph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pacing w:val="-2"/>
                <w:sz w:val="16"/>
                <w:szCs w:val="16"/>
                <w:lang w:val="pl-PL"/>
              </w:rPr>
              <w:t>Delica</w:t>
            </w:r>
            <w:proofErr w:type="spellEnd"/>
            <w:r>
              <w:rPr>
                <w:spacing w:val="-2"/>
                <w:sz w:val="16"/>
                <w:szCs w:val="16"/>
                <w:lang w:val="pl-PL"/>
              </w:rPr>
              <w:t xml:space="preserve"> D:5 </w:t>
            </w:r>
            <w:r>
              <w:rPr>
                <w:spacing w:val="-2"/>
                <w:sz w:val="16"/>
                <w:szCs w:val="16"/>
                <w:lang w:val="pl-PL"/>
              </w:rPr>
              <w:t>samochód serwisowy</w:t>
            </w:r>
          </w:p>
          <w:p w14:paraId="059FD04A" w14:textId="77777777" w:rsidR="008F3535" w:rsidRDefault="00AA1C5D">
            <w:pPr>
              <w:pStyle w:val="TableParagraph"/>
              <w:spacing w:before="0" w:line="280" w:lineRule="atLeas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(samochód używany w rajdzie Asia Cross Country Rally 2023)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685E" w14:textId="77777777" w:rsidR="008F3535" w:rsidRDefault="00AA1C5D">
            <w:pPr>
              <w:pStyle w:val="TableParagraph"/>
              <w:ind w:left="1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D4EA" w14:textId="77777777" w:rsidR="008F3535" w:rsidRDefault="00AA1C5D">
            <w:pPr>
              <w:pStyle w:val="TableParagraph"/>
              <w:ind w:left="1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C4A9" w14:textId="77777777" w:rsidR="008F3535" w:rsidRDefault="00AA1C5D">
            <w:pPr>
              <w:pStyle w:val="TableParagraph"/>
              <w:ind w:left="11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Model ekspozycyjny</w:t>
            </w:r>
          </w:p>
        </w:tc>
      </w:tr>
      <w:tr w:rsidR="008F3535" w14:paraId="671F147A" w14:textId="77777777">
        <w:trPr>
          <w:trHeight w:val="561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69CF" w14:textId="77777777" w:rsidR="008F3535" w:rsidRPr="00801B58" w:rsidRDefault="00AA1C5D">
            <w:pPr>
              <w:pStyle w:val="TableParagraph"/>
              <w:spacing w:before="0" w:line="280" w:lineRule="exact"/>
              <w:ind w:right="495"/>
              <w:rPr>
                <w:sz w:val="16"/>
                <w:szCs w:val="16"/>
              </w:rPr>
            </w:pPr>
            <w:r w:rsidRPr="00801B58">
              <w:rPr>
                <w:sz w:val="16"/>
                <w:szCs w:val="16"/>
              </w:rPr>
              <w:t xml:space="preserve">Outlander PHEV z </w:t>
            </w:r>
            <w:proofErr w:type="spellStart"/>
            <w:r w:rsidRPr="00801B58">
              <w:rPr>
                <w:sz w:val="16"/>
                <w:szCs w:val="16"/>
              </w:rPr>
              <w:t>systemem</w:t>
            </w:r>
            <w:proofErr w:type="spellEnd"/>
            <w:r w:rsidRPr="00801B58">
              <w:rPr>
                <w:sz w:val="16"/>
                <w:szCs w:val="16"/>
              </w:rPr>
              <w:t xml:space="preserve"> Dynamic Sound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0BAF" w14:textId="77777777" w:rsidR="008F3535" w:rsidRDefault="00AA1C5D">
            <w:pPr>
              <w:pStyle w:val="TableParagraph"/>
              <w:ind w:left="1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F81D" w14:textId="77777777" w:rsidR="008F3535" w:rsidRDefault="00AA1C5D">
            <w:pPr>
              <w:pStyle w:val="TableParagraph"/>
              <w:ind w:left="1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4B92" w14:textId="77777777" w:rsidR="008F3535" w:rsidRDefault="00AA1C5D">
            <w:pPr>
              <w:pStyle w:val="TableParagraph"/>
              <w:ind w:left="11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Model ekspozycyjny</w:t>
            </w:r>
          </w:p>
        </w:tc>
      </w:tr>
      <w:tr w:rsidR="008F3535" w14:paraId="22D21FF1" w14:textId="77777777">
        <w:trPr>
          <w:trHeight w:val="84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7080" w14:textId="77777777" w:rsidR="008F3535" w:rsidRDefault="00AA1C5D">
            <w:pPr>
              <w:pStyle w:val="TableParagraph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pacing w:val="-2"/>
                <w:sz w:val="16"/>
                <w:szCs w:val="16"/>
                <w:lang w:val="pl-PL"/>
              </w:rPr>
              <w:t>Outlander</w:t>
            </w:r>
            <w:proofErr w:type="spellEnd"/>
            <w:r>
              <w:rPr>
                <w:spacing w:val="-2"/>
                <w:sz w:val="16"/>
                <w:szCs w:val="16"/>
                <w:lang w:val="pl-PL"/>
              </w:rPr>
              <w:t xml:space="preserve"> PHEV</w:t>
            </w:r>
          </w:p>
          <w:p w14:paraId="6B25B2B8" w14:textId="77777777" w:rsidR="008F3535" w:rsidRDefault="00AA1C5D">
            <w:pPr>
              <w:pStyle w:val="TableParagraph"/>
              <w:spacing w:before="0" w:line="280" w:lineRule="exact"/>
              <w:rPr>
                <w:sz w:val="16"/>
                <w:szCs w:val="16"/>
                <w:lang w:val="pl-PL"/>
              </w:rPr>
            </w:pPr>
            <w:r>
              <w:rPr>
                <w:spacing w:val="-2"/>
                <w:sz w:val="16"/>
                <w:szCs w:val="16"/>
                <w:lang w:val="pl-PL"/>
              </w:rPr>
              <w:t>Pojazd ratowniczy NERV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1CFB" w14:textId="77777777" w:rsidR="008F3535" w:rsidRDefault="00AA1C5D">
            <w:pPr>
              <w:pStyle w:val="TableParagraph"/>
              <w:ind w:left="13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7E75" w14:textId="77777777" w:rsidR="008F3535" w:rsidRDefault="00AA1C5D">
            <w:pPr>
              <w:pStyle w:val="TableParagraph"/>
              <w:ind w:left="1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2DF6" w14:textId="77777777" w:rsidR="008F3535" w:rsidRDefault="00AA1C5D">
            <w:pPr>
              <w:pStyle w:val="TableParagraph"/>
              <w:ind w:left="11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Model ekspozycyjny</w:t>
            </w:r>
          </w:p>
        </w:tc>
      </w:tr>
      <w:tr w:rsidR="008F3535" w14:paraId="41459BCB" w14:textId="77777777">
        <w:trPr>
          <w:trHeight w:val="28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37D7" w14:textId="77777777" w:rsidR="008F3535" w:rsidRDefault="00AA1C5D">
            <w:pPr>
              <w:pStyle w:val="TableParagraph"/>
              <w:spacing w:line="245" w:lineRule="exact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pacing w:val="-2"/>
                <w:sz w:val="16"/>
                <w:szCs w:val="16"/>
                <w:lang w:val="pl-PL"/>
              </w:rPr>
              <w:t>Eclipse</w:t>
            </w:r>
            <w:proofErr w:type="spellEnd"/>
            <w:r>
              <w:rPr>
                <w:spacing w:val="-2"/>
                <w:sz w:val="16"/>
                <w:szCs w:val="16"/>
                <w:lang w:val="pl-PL"/>
              </w:rPr>
              <w:t xml:space="preserve"> Cross PHEV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2465" w14:textId="77777777" w:rsidR="008F3535" w:rsidRDefault="00AA1C5D">
            <w:pPr>
              <w:pStyle w:val="TableParagraph"/>
              <w:spacing w:line="245" w:lineRule="exact"/>
              <w:ind w:left="1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291C" w14:textId="77777777" w:rsidR="008F3535" w:rsidRDefault="00AA1C5D">
            <w:pPr>
              <w:pStyle w:val="TableParagraph"/>
              <w:spacing w:line="245" w:lineRule="exact"/>
              <w:ind w:left="1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D8A9" w14:textId="77777777" w:rsidR="008F3535" w:rsidRDefault="008F3535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8F3535" w14:paraId="58A10F57" w14:textId="77777777">
        <w:trPr>
          <w:trHeight w:val="28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90C4" w14:textId="77777777" w:rsidR="008F3535" w:rsidRDefault="00AA1C5D">
            <w:pPr>
              <w:pStyle w:val="TableParagraph"/>
              <w:spacing w:line="245" w:lineRule="exact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pacing w:val="-2"/>
                <w:sz w:val="16"/>
                <w:szCs w:val="16"/>
                <w:lang w:val="pl-PL"/>
              </w:rPr>
              <w:t>Delica</w:t>
            </w:r>
            <w:proofErr w:type="spellEnd"/>
            <w:r>
              <w:rPr>
                <w:spacing w:val="-2"/>
                <w:sz w:val="16"/>
                <w:szCs w:val="16"/>
                <w:lang w:val="pl-PL"/>
              </w:rPr>
              <w:t xml:space="preserve"> D:5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76C3" w14:textId="77777777" w:rsidR="008F3535" w:rsidRDefault="00AA1C5D">
            <w:pPr>
              <w:pStyle w:val="TableParagraph"/>
              <w:spacing w:line="245" w:lineRule="exact"/>
              <w:ind w:left="13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DC39" w14:textId="77777777" w:rsidR="008F3535" w:rsidRDefault="00AA1C5D">
            <w:pPr>
              <w:pStyle w:val="TableParagraph"/>
              <w:spacing w:line="245" w:lineRule="exact"/>
              <w:ind w:left="1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5831" w14:textId="77777777" w:rsidR="008F3535" w:rsidRDefault="008F3535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8F3535" w14:paraId="446F2CCF" w14:textId="77777777">
        <w:trPr>
          <w:trHeight w:val="55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57A5" w14:textId="77777777" w:rsidR="008F3535" w:rsidRDefault="00AA1C5D">
            <w:pPr>
              <w:pStyle w:val="TableParagraph"/>
              <w:spacing w:before="13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pacing w:val="-2"/>
                <w:sz w:val="16"/>
                <w:szCs w:val="16"/>
                <w:lang w:val="pl-PL"/>
              </w:rPr>
              <w:t>Delica</w:t>
            </w:r>
            <w:proofErr w:type="spellEnd"/>
            <w:r>
              <w:rPr>
                <w:spacing w:val="-2"/>
                <w:sz w:val="16"/>
                <w:szCs w:val="16"/>
                <w:lang w:val="pl-PL"/>
              </w:rPr>
              <w:t xml:space="preserve"> Mini z grafiką Coleman</w:t>
            </w:r>
          </w:p>
          <w:p w14:paraId="7AED2303" w14:textId="77777777" w:rsidR="008F3535" w:rsidRDefault="008F3535">
            <w:pPr>
              <w:pStyle w:val="TableParagraph"/>
              <w:spacing w:before="28" w:line="245" w:lineRule="exact"/>
              <w:rPr>
                <w:sz w:val="16"/>
                <w:szCs w:val="16"/>
                <w:lang w:val="pl-PL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34A1" w14:textId="77777777" w:rsidR="008F3535" w:rsidRDefault="00AA1C5D">
            <w:pPr>
              <w:pStyle w:val="TableParagraph"/>
              <w:spacing w:before="13"/>
              <w:ind w:left="13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FF26" w14:textId="77777777" w:rsidR="008F3535" w:rsidRDefault="00AA1C5D">
            <w:pPr>
              <w:pStyle w:val="TableParagraph"/>
              <w:spacing w:before="13"/>
              <w:ind w:left="1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159D" w14:textId="77777777" w:rsidR="008F3535" w:rsidRDefault="008F3535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8F3535" w14:paraId="4D31C68D" w14:textId="77777777">
        <w:trPr>
          <w:trHeight w:val="28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D5F1" w14:textId="77777777" w:rsidR="008F3535" w:rsidRDefault="00AA1C5D">
            <w:pPr>
              <w:pStyle w:val="TableParagraph"/>
              <w:spacing w:line="245" w:lineRule="exact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pacing w:val="-2"/>
                <w:sz w:val="16"/>
                <w:szCs w:val="16"/>
                <w:lang w:val="pl-PL"/>
              </w:rPr>
              <w:t>Delica</w:t>
            </w:r>
            <w:proofErr w:type="spellEnd"/>
            <w:r>
              <w:rPr>
                <w:spacing w:val="-2"/>
                <w:sz w:val="16"/>
                <w:szCs w:val="16"/>
                <w:lang w:val="pl-PL"/>
              </w:rPr>
              <w:t xml:space="preserve"> Mini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691A" w14:textId="77777777" w:rsidR="008F3535" w:rsidRDefault="00AA1C5D">
            <w:pPr>
              <w:pStyle w:val="TableParagraph"/>
              <w:spacing w:line="245" w:lineRule="exact"/>
              <w:ind w:left="1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C94F" w14:textId="77777777" w:rsidR="008F3535" w:rsidRDefault="00AA1C5D">
            <w:pPr>
              <w:pStyle w:val="TableParagraph"/>
              <w:spacing w:line="245" w:lineRule="exact"/>
              <w:ind w:left="1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C4C0" w14:textId="77777777" w:rsidR="008F3535" w:rsidRDefault="008F3535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8F3535" w14:paraId="5E004214" w14:textId="77777777">
        <w:trPr>
          <w:trHeight w:val="28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F009" w14:textId="77777777" w:rsidR="008F3535" w:rsidRDefault="00AA1C5D">
            <w:pPr>
              <w:pStyle w:val="TableParagraph"/>
              <w:spacing w:line="245" w:lineRule="exact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sz w:val="16"/>
                <w:szCs w:val="16"/>
                <w:lang w:val="pl-PL"/>
              </w:rPr>
              <w:t>eK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X EV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076" w14:textId="77777777" w:rsidR="008F3535" w:rsidRDefault="00AA1C5D">
            <w:pPr>
              <w:pStyle w:val="TableParagraph"/>
              <w:spacing w:line="245" w:lineRule="exact"/>
              <w:ind w:left="1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D246" w14:textId="77777777" w:rsidR="008F3535" w:rsidRDefault="00AA1C5D">
            <w:pPr>
              <w:pStyle w:val="TableParagraph"/>
              <w:spacing w:line="245" w:lineRule="exact"/>
              <w:ind w:left="1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6BC6" w14:textId="77777777" w:rsidR="008F3535" w:rsidRDefault="008F3535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14:paraId="4AF3D29E" w14:textId="77777777" w:rsidR="008F3535" w:rsidRDefault="008F3535">
      <w:pPr>
        <w:pStyle w:val="Tekstpodstawowy"/>
        <w:spacing w:before="5" w:after="0" w:line="240" w:lineRule="exact"/>
        <w:rPr>
          <w:rFonts w:hint="eastAsia"/>
          <w:b/>
        </w:rPr>
      </w:pPr>
    </w:p>
    <w:p w14:paraId="7AC434F1" w14:textId="799C7593" w:rsidR="008F3535" w:rsidRPr="00801B58" w:rsidRDefault="00AA1C5D" w:rsidP="00801B58">
      <w:pPr>
        <w:pStyle w:val="NormalnyWeb"/>
        <w:spacing w:before="0" w:after="0"/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</w:pPr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  <w:lang w:val="en-US"/>
        </w:rPr>
        <w:t xml:space="preserve"> 1. Salon Japan Mobility Show 2023 jest </w:t>
      </w:r>
      <w:proofErr w:type="spellStart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  <w:lang w:val="en-US"/>
        </w:rPr>
        <w:t>organizowany</w:t>
      </w:r>
      <w:proofErr w:type="spellEnd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  <w:lang w:val="en-US"/>
        </w:rPr>
        <w:t>przez</w:t>
      </w:r>
      <w:proofErr w:type="spellEnd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  <w:lang w:val="en-US"/>
        </w:rPr>
        <w:t xml:space="preserve"> Japan Automobile Manufacturers Association. </w:t>
      </w:r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 xml:space="preserve">25 i 26 października to dni prasowe, 27 </w:t>
      </w:r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 xml:space="preserve">października jest dniem specjalnych zaproszeń, a od 28 października do 5 listopada odbywają się dni otwarte dla publiczności. Głównym miejscem wydarzenia jest </w:t>
      </w:r>
      <w:proofErr w:type="spellStart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>Tokyo</w:t>
      </w:r>
      <w:proofErr w:type="spellEnd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 xml:space="preserve"> Big </w:t>
      </w:r>
      <w:proofErr w:type="spellStart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>Sight</w:t>
      </w:r>
      <w:proofErr w:type="spellEnd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>.</w:t>
      </w:r>
    </w:p>
    <w:p w14:paraId="542FF1DE" w14:textId="77777777" w:rsidR="008F3535" w:rsidRPr="00801B58" w:rsidRDefault="00AA1C5D" w:rsidP="00801B58">
      <w:pPr>
        <w:pStyle w:val="NormalnyWeb"/>
        <w:spacing w:before="0" w:after="0"/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</w:pPr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 xml:space="preserve">    2. *Na niektórych rynkach sprzedawany jako L200</w:t>
      </w:r>
    </w:p>
    <w:p w14:paraId="4E5EB647" w14:textId="77777777" w:rsidR="008F3535" w:rsidRPr="00801B58" w:rsidRDefault="00AA1C5D" w:rsidP="00801B58">
      <w:pPr>
        <w:pStyle w:val="NormalnyWeb"/>
        <w:spacing w:before="0" w:after="0"/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</w:pPr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 xml:space="preserve">    3. Nazwa i logo </w:t>
      </w:r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 xml:space="preserve">"NERV" zostały użyte za wyraźną zgodą studia </w:t>
      </w:r>
      <w:proofErr w:type="spellStart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>Khara</w:t>
      </w:r>
      <w:proofErr w:type="spellEnd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>Inc</w:t>
      </w:r>
      <w:proofErr w:type="spellEnd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>, właściciela praw autorskich do serii "</w:t>
      </w:r>
      <w:proofErr w:type="spellStart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>Evangelion</w:t>
      </w:r>
      <w:proofErr w:type="spellEnd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 xml:space="preserve">", oraz </w:t>
      </w:r>
      <w:proofErr w:type="spellStart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>Groundworks</w:t>
      </w:r>
      <w:proofErr w:type="spellEnd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 xml:space="preserve"> Corporation, która zarządza prawami do serii.</w:t>
      </w:r>
    </w:p>
    <w:p w14:paraId="22839976" w14:textId="77777777" w:rsidR="008F3535" w:rsidRPr="00801B58" w:rsidRDefault="00AA1C5D" w:rsidP="00801B58">
      <w:pPr>
        <w:pStyle w:val="NormalnyWeb"/>
        <w:spacing w:before="0" w:after="0"/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</w:pPr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 xml:space="preserve">    4. Wymawiane "</w:t>
      </w:r>
      <w:proofErr w:type="spellStart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>eK</w:t>
      </w:r>
      <w:proofErr w:type="spellEnd"/>
      <w:r w:rsidRPr="00801B58">
        <w:rPr>
          <w:rFonts w:ascii="MMC OFFICE" w:hAnsi="MMC OFFICE"/>
          <w:i/>
          <w:iCs/>
          <w:color w:val="000000"/>
          <w:sz w:val="16"/>
          <w:szCs w:val="16"/>
          <w:shd w:val="clear" w:color="auto" w:fill="FFFFFF"/>
        </w:rPr>
        <w:t xml:space="preserve"> 'cross' EV"</w:t>
      </w:r>
    </w:p>
    <w:p w14:paraId="78F67433" w14:textId="77777777" w:rsidR="00801B58" w:rsidRDefault="00801B58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</w:p>
    <w:p w14:paraId="2DA30B46" w14:textId="039EAA43" w:rsidR="008F3535" w:rsidRDefault="00AA1C5D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62F45A3D" w14:textId="77777777" w:rsidR="008F3535" w:rsidRDefault="00AA1C5D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działający w branży motoryzacyjnej producent o zasięgu międzynarodowym, z siedzibą w Tokio, który zbudował konkurencyjną przewagę na rynku pojazdów typu SUV i pick-up oraz elektrycznych i hybryd ładowanych z gniazdka PHEV. Odkąd grupa Mitsubishi wyproduko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wała swój pierwszy samochód, ponad sto lat temu, marka wykazała się ambitnym i często rewolucyjnym podejściem, rozwijając </w:t>
      </w:r>
      <w:r>
        <w:rPr>
          <w:rFonts w:ascii="MMC OFFICE" w:eastAsia="Meiryo UI" w:hAnsi="MMC OFFICE" w:cs="Calibri"/>
          <w:color w:val="000000"/>
          <w:sz w:val="16"/>
          <w:szCs w:val="16"/>
        </w:rPr>
        <w:lastRenderedPageBreak/>
        <w:t>nowe klasy pojazdów i wprowadzając technologie wyznaczające standardy nowoczesności. Strategia marki, tkwiąca w genach Mitsubishi Moto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obistego zaangażowania z chęcią odkrywania i rozwoju oraz odzwierciedlenie stałego dialogu między marką a jej klientami. Dzisiaj Mitsubishi Motors intensywnie inwestuje w innowacyjne technologie, atrakcyjny design i rozwój produktów, dostarczając klientom </w:t>
      </w:r>
      <w:r>
        <w:rPr>
          <w:rFonts w:ascii="MMC OFFICE" w:eastAsia="Meiryo UI" w:hAnsi="MMC OFFICE" w:cs="Calibri"/>
          <w:color w:val="000000"/>
          <w:sz w:val="16"/>
          <w:szCs w:val="16"/>
        </w:rPr>
        <w:t>na całym świecie ekscytujące pojazdy, znane z wyrazistego charakteru.</w:t>
      </w:r>
    </w:p>
    <w:p w14:paraId="5336BFE2" w14:textId="77777777" w:rsidR="008F3535" w:rsidRDefault="008F3535">
      <w:pPr>
        <w:rPr>
          <w:rFonts w:ascii="MMCBeta5" w:eastAsia="ヒラギノ角ゴ Std W4" w:hAnsi="MMCBeta5"/>
          <w:sz w:val="18"/>
        </w:rPr>
      </w:pPr>
    </w:p>
    <w:p w14:paraId="766C2640" w14:textId="77777777" w:rsidR="008F3535" w:rsidRDefault="00AA1C5D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7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8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>  Dla dzienni</w:t>
      </w: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karzy przeznaczona jest również strona Mitsubishi Motors Corporation:  </w:t>
      </w:r>
      <w:hyperlink r:id="rId9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2E046DB2" w14:textId="77777777" w:rsidR="008F3535" w:rsidRDefault="008F3535">
      <w:pPr>
        <w:jc w:val="left"/>
        <w:rPr>
          <w:rFonts w:ascii="MMC OFFICE" w:hAnsi="MMC OFFICE" w:hint="eastAsia"/>
        </w:rPr>
      </w:pPr>
    </w:p>
    <w:p w14:paraId="7AF116A9" w14:textId="77777777" w:rsidR="008F3535" w:rsidRDefault="00AA1C5D">
      <w:pPr>
        <w:rPr>
          <w:rStyle w:val="czeinternetowe"/>
          <w:rFonts w:hint="eastAsia"/>
        </w:rPr>
      </w:pPr>
      <w:hyperlink r:id="rId10"/>
    </w:p>
    <w:p w14:paraId="0DFF38CD" w14:textId="77777777" w:rsidR="008F3535" w:rsidRDefault="00AA1C5D">
      <w:pPr>
        <w:jc w:val="left"/>
        <w:rPr>
          <w:rFonts w:hint="eastAsia"/>
        </w:rPr>
      </w:pPr>
      <w:hyperlink r:id="rId11"/>
    </w:p>
    <w:sectPr w:rsidR="008F3535">
      <w:headerReference w:type="default" r:id="rId12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A307" w14:textId="77777777" w:rsidR="00000000" w:rsidRDefault="00AA1C5D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233D8573" w14:textId="77777777" w:rsidR="00000000" w:rsidRDefault="00AA1C5D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599F" w14:textId="77777777" w:rsidR="00000000" w:rsidRDefault="00AA1C5D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0A4B806A" w14:textId="77777777" w:rsidR="00000000" w:rsidRDefault="00AA1C5D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7F90" w14:textId="77777777" w:rsidR="008F3535" w:rsidRDefault="00AA1C5D">
    <w:pPr>
      <w:pStyle w:val="Zawartoramki"/>
      <w:spacing w:line="200" w:lineRule="exact"/>
      <w:rPr>
        <w:rFonts w:ascii="MMC" w:hAnsi="MMC" w:hint="eastAsia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0" behindDoc="1" locked="0" layoutInCell="0" allowOverlap="1" wp14:anchorId="311E59ED" wp14:editId="746C9DA7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D558D20" w14:textId="77777777" w:rsidR="008F3535" w:rsidRPr="00801B58" w:rsidRDefault="00AA1C5D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801B58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6613E2E2" w14:textId="77777777" w:rsidR="008F3535" w:rsidRPr="00801B58" w:rsidRDefault="00AA1C5D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801B58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23F3E546" w14:textId="77777777" w:rsidR="008F3535" w:rsidRDefault="00AA1C5D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5EAF7ADB" w14:textId="77777777" w:rsidR="008F3535" w:rsidRDefault="00AA1C5D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0D0907E4" w14:textId="77777777" w:rsidR="008F3535" w:rsidRDefault="00AA1C5D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1E59ED" id="Frame1" o:spid="_x0000_s1027" style="position:absolute;left:0;text-align:left;margin-left:194.45pt;margin-top:3.4pt;width:238.55pt;height:57.0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4D558D20" w14:textId="77777777" w:rsidR="008F3535" w:rsidRPr="00801B58" w:rsidRDefault="00AA1C5D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801B58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6613E2E2" w14:textId="77777777" w:rsidR="008F3535" w:rsidRPr="00801B58" w:rsidRDefault="00AA1C5D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801B58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23F3E546" w14:textId="77777777" w:rsidR="008F3535" w:rsidRDefault="00AA1C5D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5EAF7ADB" w14:textId="77777777" w:rsidR="008F3535" w:rsidRDefault="00AA1C5D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0D0907E4" w14:textId="77777777" w:rsidR="008F3535" w:rsidRDefault="00AA1C5D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20" behindDoc="1" locked="0" layoutInCell="0" allowOverlap="1" wp14:anchorId="05E91797" wp14:editId="5A3AC283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6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93B8A8" w14:textId="77777777" w:rsidR="008F3535" w:rsidRDefault="00AA1C5D">
                          <w:pPr>
                            <w:pStyle w:val="Zawartoramki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1" path="m0,0l-2147483645,0l-2147483645,-2147483646l0,-2147483646xe" stroked="f" style="position:absolute;margin-left:20.15pt;margin-top:1.4pt;width:171.8pt;height:26.8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left"/>
                      <w:rPr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30" behindDoc="0" locked="0" layoutInCell="0" allowOverlap="1" wp14:anchorId="1B450072" wp14:editId="412EDB9F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6600" cy="261620"/>
              <wp:effectExtent l="0" t="0" r="0" b="0"/>
              <wp:wrapNone/>
              <wp:docPr id="8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84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5500A1" w14:textId="77777777" w:rsidR="008F3535" w:rsidRDefault="00AA1C5D">
                          <w:pPr>
                            <w:pStyle w:val="Zawartoramki"/>
                            <w:spacing w:line="200" w:lineRule="exact"/>
                            <w:rPr>
                              <w:rFonts w:ascii="MMC" w:hAnsi="MMC" w:hint="eastAsia"/>
                              <w:color w:val="686D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" w:hAnsi="MMC"/>
                              <w:color w:val="686D71"/>
                              <w:sz w:val="16"/>
                              <w:szCs w:val="16"/>
                            </w:rPr>
                            <w:t>2021/08/31</w:t>
                          </w:r>
                        </w:p>
                        <w:p w14:paraId="42060B56" w14:textId="77777777" w:rsidR="008F3535" w:rsidRDefault="008F3535">
                          <w:pPr>
                            <w:pStyle w:val="Zawartoramki"/>
                            <w:spacing w:line="200" w:lineRule="exac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2" path="m0,0l-2147483645,0l-2147483645,-2147483646l0,-2147483646xe" stroked="f" style="position:absolute;margin-left:129.85pt;margin-top:54.95pt;width:57.9pt;height:20.5pt;mso-wrap-style:square;v-text-anchor:top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00"/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</w:pPr>
                    <w:r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  <w:t>2021/08/31</w:t>
                    </w:r>
                  </w:p>
                  <w:p>
                    <w:pPr>
                      <w:pStyle w:val="Zawartoramki"/>
                      <w:spacing w:lineRule="exact" w:line="20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36" behindDoc="1" locked="0" layoutInCell="0" allowOverlap="1" wp14:anchorId="3DAC442B" wp14:editId="14C0048F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10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35"/>
    <w:rsid w:val="00801B58"/>
    <w:rsid w:val="008F3535"/>
    <w:rsid w:val="00AA1C5D"/>
    <w:rsid w:val="00B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D230"/>
  <w15:docId w15:val="{92E6718F-2C6A-4A47-8F38-0327B55B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  <w:style w:type="paragraph" w:customStyle="1" w:styleId="TableParagraph">
    <w:name w:val="Table Paragraph"/>
    <w:basedOn w:val="Normalny"/>
    <w:qFormat/>
    <w:pPr>
      <w:spacing w:before="15"/>
      <w:ind w:left="107"/>
    </w:pPr>
    <w:rPr>
      <w:rFonts w:ascii="MMC OFFICE" w:eastAsia="MMC OFFICE" w:hAnsi="MMC OFFICE" w:cs="MMC OFFICE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01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mitsubishi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ga.ossowska@astara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tsubishi-motors.com/en/innovation/motorshow/jms2023/" TargetMode="External"/><Relationship Id="rId11" Type="http://schemas.openxmlformats.org/officeDocument/2006/relationships/hyperlink" Target="https://library.mitsubishi-motors.com/contents%20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ary.mitsubishi-motors.com/contents%2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5230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2</cp:revision>
  <dcterms:created xsi:type="dcterms:W3CDTF">2023-10-19T10:55:00Z</dcterms:created>
  <dcterms:modified xsi:type="dcterms:W3CDTF">2023-10-19T10:55:00Z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