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D7E0" w14:textId="7E152075" w:rsidR="001E178D" w:rsidRPr="00133514" w:rsidRDefault="00504F9E">
      <w:pPr>
        <w:rPr>
          <w:rFonts w:cstheme="minorHAnsi"/>
          <w:color w:val="000000" w:themeColor="text1"/>
        </w:rPr>
      </w:pPr>
      <w:r w:rsidRPr="00133514">
        <w:rPr>
          <w:rFonts w:cstheme="minorHAnsi"/>
          <w:color w:val="000000" w:themeColor="text1"/>
        </w:rPr>
        <w:t xml:space="preserve"> </w:t>
      </w:r>
    </w:p>
    <w:p w14:paraId="192D1618" w14:textId="204B85B8" w:rsidR="001C3408" w:rsidRPr="00133514" w:rsidRDefault="00CE7EDF" w:rsidP="006F0B4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33514">
        <w:rPr>
          <w:rFonts w:cstheme="minorHAnsi"/>
          <w:color w:val="000000" w:themeColor="text1"/>
          <w:sz w:val="20"/>
          <w:szCs w:val="20"/>
        </w:rPr>
        <w:t>30</w:t>
      </w:r>
      <w:r w:rsidR="006F0B46" w:rsidRPr="00133514">
        <w:rPr>
          <w:rFonts w:cstheme="minorHAnsi"/>
          <w:color w:val="000000" w:themeColor="text1"/>
          <w:sz w:val="20"/>
          <w:szCs w:val="20"/>
        </w:rPr>
        <w:t>.10.2023</w:t>
      </w:r>
    </w:p>
    <w:p w14:paraId="7DE96377" w14:textId="7D99CC6E" w:rsidR="006F0B46" w:rsidRPr="00133514" w:rsidRDefault="006F0B46" w:rsidP="006F0B46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10449013" w14:textId="0D44B99D" w:rsidR="006F0B46" w:rsidRPr="00133514" w:rsidRDefault="008C65DC" w:rsidP="006F0B46">
      <w:pPr>
        <w:jc w:val="center"/>
        <w:rPr>
          <w:rFonts w:cstheme="minorHAnsi"/>
          <w:b/>
          <w:bCs/>
          <w:color w:val="000000" w:themeColor="text1"/>
        </w:rPr>
      </w:pPr>
      <w:r w:rsidRPr="00133514">
        <w:rPr>
          <w:rFonts w:cstheme="minorHAnsi"/>
          <w:b/>
          <w:bCs/>
          <w:color w:val="000000" w:themeColor="text1"/>
        </w:rPr>
        <w:t>Wzrosła liczba wypadków przy pracy. Jakie są obowiązki firm w zakresie pierwszej pomocy?</w:t>
      </w:r>
    </w:p>
    <w:p w14:paraId="1973C8BD" w14:textId="09E8C19F" w:rsidR="008C65DC" w:rsidRPr="00133514" w:rsidRDefault="008C65DC" w:rsidP="006F0B46">
      <w:pPr>
        <w:jc w:val="center"/>
        <w:rPr>
          <w:rFonts w:cstheme="minorHAnsi"/>
          <w:b/>
          <w:bCs/>
          <w:color w:val="000000" w:themeColor="text1"/>
        </w:rPr>
      </w:pPr>
    </w:p>
    <w:p w14:paraId="5C544F8F" w14:textId="6CC37B70" w:rsidR="008C65DC" w:rsidRPr="00133514" w:rsidRDefault="008C65DC" w:rsidP="004617BE">
      <w:p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33514">
        <w:rPr>
          <w:rFonts w:cstheme="minorHAnsi"/>
          <w:b/>
          <w:bCs/>
          <w:color w:val="000000" w:themeColor="text1"/>
          <w:sz w:val="20"/>
          <w:szCs w:val="20"/>
        </w:rPr>
        <w:t>Jak wynika z danych GUS, tylko w I. półroczu 2023 r. zgłoszono 28 400 osób poszkodowanych w wypadkach przy pracy, czyli o 1,8% więcej niż w analogicznym okresie ubiegłego roku. Zwiększyła się również liczba poszkodowanych przypadająca na 1000 pracujących z 1,89 do 1,99.</w:t>
      </w:r>
      <w:r w:rsidR="00EE7DEB" w:rsidRPr="00133514">
        <w:rPr>
          <w:rFonts w:cstheme="minorHAnsi"/>
          <w:b/>
          <w:bCs/>
          <w:color w:val="000000" w:themeColor="text1"/>
          <w:sz w:val="20"/>
          <w:szCs w:val="20"/>
        </w:rPr>
        <w:t xml:space="preserve"> W sytuacji zdarzenia wypadkowego, kluczowe znaczenie ma profesjonalne udzielenie pierwszej pomocy, co wymaga odpowiedniego przygotowania zarówno personelu, jak </w:t>
      </w:r>
      <w:r w:rsidR="004617BE" w:rsidRPr="00133514">
        <w:rPr>
          <w:rFonts w:cstheme="minorHAnsi"/>
          <w:b/>
          <w:bCs/>
          <w:color w:val="000000" w:themeColor="text1"/>
          <w:sz w:val="20"/>
          <w:szCs w:val="20"/>
        </w:rPr>
        <w:t>i sprzętu przez pracodawcę.</w:t>
      </w:r>
    </w:p>
    <w:p w14:paraId="2E209C43" w14:textId="77777777" w:rsidR="008F05B5" w:rsidRPr="00133514" w:rsidRDefault="004617BE" w:rsidP="004617BE">
      <w:pPr>
        <w:pStyle w:val="NormalnyWeb"/>
        <w:spacing w:after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Zgodnie z </w:t>
      </w: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art. 2091 § 1 Ustawy Kodeksu pracy, obowiązkiem pracodawcy jest ochrona zdrowia i życia pracowników poprzez zapewnienie im bezpiecznych i higienicznych warunków pracy. Również zgodnie z obowiązującymi przepisami, w każdym zakładzie pracy pracodawca jest zobowiązany do wyznaczenia pracowników, którzy zostaną przeszkoleni w zakresie udzielania pierwszej pomocy. </w:t>
      </w:r>
    </w:p>
    <w:p w14:paraId="53254933" w14:textId="76FDC4F6" w:rsidR="004617BE" w:rsidRPr="00133514" w:rsidRDefault="004617BE" w:rsidP="004617BE">
      <w:pPr>
        <w:pStyle w:val="NormalnyWeb"/>
        <w:spacing w:after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0"/>
          <w:szCs w:val="20"/>
        </w:rPr>
        <w:t xml:space="preserve">– Najbardziej optymalnym rozwiązaniem jest oczywiście przeszkolenie większej liczby osób, chociażby ze względu na potencjalne nieobecności </w:t>
      </w:r>
      <w:r w:rsidR="008F05B5" w:rsidRPr="0013351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0"/>
          <w:szCs w:val="20"/>
        </w:rPr>
        <w:t xml:space="preserve">spowodowane urlopami. Przeszkolenie powinna odbyć również np. jedna osoba na każdą zmianę, aby zachować ciągłość obecności </w:t>
      </w:r>
      <w:r w:rsidR="00A411C4" w:rsidRPr="0013351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0"/>
          <w:szCs w:val="20"/>
        </w:rPr>
        <w:t>pracowników posiadających wymaganą wiedzę i umiejętności.</w:t>
      </w:r>
      <w:r w:rsidR="008F05B5" w:rsidRPr="0013351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0"/>
          <w:szCs w:val="20"/>
        </w:rPr>
        <w:t xml:space="preserve"> Natomiast informacja o osobach przeszkolonych powinna zostać umieszczona w pobliżu apteczki oraz dodatkowo w miejscu dostępnym dla wszystkich pracowników – np. w pomieszczeniu socjalnym. Warto również uwzględnić te informacje w newsletterach do pracowników czy materiałach komunikacji wewnętrznej, aby w sytuacji wypadku znalezienie osoby mogącej udzielić pierwszej pomocy nie stanowiło największego wyzwania </w:t>
      </w:r>
      <w:r w:rsidR="008F05B5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– mówi Karolina Garbowicz, Ekspert ds. bezpieczeństwa pracy W&amp;W Consulting. </w:t>
      </w:r>
    </w:p>
    <w:p w14:paraId="0948C093" w14:textId="4C91FFD4" w:rsidR="00A411C4" w:rsidRPr="00133514" w:rsidRDefault="00A411C4" w:rsidP="6CB9B3BB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Obowiązkiem pracodawcy, poza przeszkoleniem pracowników, jest również zapewnienie apteczki, która powinna być stałym elementem wyposażenia biura, przedsiębiorstwa produkcyjnego, czy nawet małego sklepu. Wskazuje na to § 44 ust. 1 Rozporządzenia Ministra Pracy i Polityki Socjalnej z dnia</w:t>
      </w:r>
      <w:r w:rsidR="0018784F"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</w:t>
      </w:r>
      <w:r w:rsidR="2D1C3340"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26 września 1997</w:t>
      </w: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w sprawie ogólnych przepisów bezpieczeństwa i higieny pracy.</w:t>
      </w: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- </w:t>
      </w:r>
      <w:r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Ponieważ wymagana liczba apteczek nie została określona w przepisach, pracodawca musi sam ocenić rodzaje i nasilenie występujących w przedsiębiorstwie zagrożeń oraz odległość od apteczki ze wszystkich stanowisk pracy. Apteczka powinna być umieszczona w widocznym, oznaczonym i łatwo dostępnym </w:t>
      </w:r>
      <w:r w:rsidR="00BC4FE4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dla wszystkich pracowników miejscu oraz w odległości umożliwiającej szybkie z niej skorzystanie</w:t>
      </w:r>
      <w:r w:rsidR="00BC4FE4"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– dodaje Ekspert W&amp;W Consulting.</w:t>
      </w:r>
    </w:p>
    <w:p w14:paraId="0F6667DB" w14:textId="48D6D06C" w:rsidR="00BC4FE4" w:rsidRPr="00133514" w:rsidRDefault="00BC4FE4" w:rsidP="00A411C4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3535EC0B" w14:textId="50671E1A" w:rsidR="00BC4FE4" w:rsidRPr="00133514" w:rsidRDefault="00BC4FE4" w:rsidP="00BC4FE4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Jeśli chodzi o samo wyposażenie apteczki, </w:t>
      </w:r>
      <w:r w:rsidR="00A21973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powinno być skonsultowane z lekarzem medycyny pracy, który </w:t>
      </w:r>
      <w:r w:rsidR="003E2DAF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sprawuje opiekę medyczn</w:t>
      </w:r>
      <w:r w:rsidR="00AC1A72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ą</w:t>
      </w:r>
      <w:r w:rsidR="003E2DAF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nad pracownikami. </w:t>
      </w:r>
      <w:r w:rsidR="003F4E73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Podstawowa apteczka pierwszej pomocy</w:t>
      </w:r>
      <w:r w:rsidR="00D80B87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powinna </w:t>
      </w:r>
      <w:r w:rsidR="003F4E73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zawierać środki opatrunkowe i sprzęt ratunkowy</w:t>
      </w:r>
      <w:r w:rsidR="00D80B87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, gazy</w:t>
      </w:r>
      <w:r w:rsidR="003F4E73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, opaski elastyczne, plastry z opatrunkiem i bez, chusty trójkątne, opatrunki jałowe. Zestaw pierwszej pomocy powinien być wyposażony </w:t>
      </w: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również </w:t>
      </w:r>
      <w:r w:rsidR="003F4E73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w rękawiczki jednorazowe, nożyczki z tępymi końcówkami, maski lub ustniki niezbędne do przeprowadzenia sztucznego oddychania</w:t>
      </w:r>
      <w:r w:rsidR="00D80B87"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. </w:t>
      </w:r>
    </w:p>
    <w:p w14:paraId="3D5F5AA3" w14:textId="77777777" w:rsidR="00BC4FE4" w:rsidRPr="00133514" w:rsidRDefault="00BC4FE4" w:rsidP="00BC4FE4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2F03ADCC" w14:textId="2223703E" w:rsidR="00CE7EDF" w:rsidRPr="00133514" w:rsidRDefault="00BC4FE4" w:rsidP="00CE7ED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-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W zależności od charakteru działalności zakładu pracy i zagrożeń występujących</w:t>
      </w:r>
      <w:r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w miejscu pracy</w:t>
      </w:r>
      <w:r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,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w apteczce mogą znajdować się również opatrunki hydrożelowe, płyn do przemywania oczu, sól fizjologiczna, koc ratunkowy termiczny</w:t>
      </w:r>
      <w:r w:rsidR="0018784F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, </w:t>
      </w:r>
      <w:r w:rsidR="00286BB4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ale jedynie, gdy lekarz medycyny pracy uzna to za zasadne</w:t>
      </w:r>
      <w:r w:rsidR="005D342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. Jedną z ważniejszych kwestii jest przypomnienie, iż  w apteczce w zakładzie pracy nie wolno przechowywać leków</w:t>
      </w:r>
      <w:r w:rsidR="005141BF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oraz </w:t>
      </w:r>
      <w:r w:rsid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należy </w:t>
      </w:r>
      <w:r w:rsidR="005141BF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dbać o terminowość wkładu medycznego</w:t>
      </w:r>
      <w:r w:rsidR="002C42C0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.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Oprócz </w:t>
      </w:r>
      <w:r w:rsidR="00CC009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wymienionych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środków do zestawu musi zostać dołączona także instrukcja udzielania pierwszej pomocy</w:t>
      </w:r>
      <w:r w:rsidR="00CC009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oraz instrukcja obsługi apteczki.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Instrukcj</w:t>
      </w:r>
      <w:r w:rsidR="00CC009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e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powinn</w:t>
      </w:r>
      <w:r w:rsidR="00CC009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y </w:t>
      </w:r>
      <w:r w:rsidR="003F4E73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zostać wywieszona </w:t>
      </w:r>
      <w:r w:rsidR="00CC009C"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>w pobliżu apteczek pierwszej pomocy</w:t>
      </w:r>
      <w:r w:rsidRPr="0013351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– dodaje Karolina Garbowicz.</w:t>
      </w:r>
    </w:p>
    <w:p w14:paraId="1F35B2CC" w14:textId="77777777" w:rsidR="00CE7EDF" w:rsidRPr="00133514" w:rsidRDefault="00CE7EDF" w:rsidP="00CE7ED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14:paraId="6161FA8B" w14:textId="287EBE1A" w:rsidR="00CE7EDF" w:rsidRDefault="00CE7EDF" w:rsidP="00CE7ED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Kodeks pracy w art. 238.1 </w:t>
      </w:r>
      <w:r w:rsidR="0013351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wskazuje również na konsekwencje wobec pracodawcy w sytuacji niedopełnienia obowiązków. </w:t>
      </w: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Kto będąc odpowiedzialnym za stan bezpieczeństwa i higieny pracy albo kierując pracownikami lub innymi osobami fizycznymi nie przestrzega przepisów lub zasad bezpieczeństwa i higieny pracy</w:t>
      </w:r>
      <w:r w:rsid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,</w:t>
      </w: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podlega karze grzywny od 1 tys. zł do 30 tys. zł</w:t>
      </w:r>
      <w:r w:rsid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.</w:t>
      </w:r>
    </w:p>
    <w:p w14:paraId="214FB2A1" w14:textId="09849366" w:rsidR="00133514" w:rsidRDefault="00133514" w:rsidP="00CE7ED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1E94B175" w14:textId="77777777" w:rsidR="00133514" w:rsidRDefault="00133514" w:rsidP="00133514">
      <w:pPr>
        <w:spacing w:after="0" w:line="240" w:lineRule="auto"/>
        <w:jc w:val="both"/>
        <w:rPr>
          <w:rFonts w:cstheme="minorHAnsi"/>
          <w:b/>
        </w:rPr>
      </w:pPr>
    </w:p>
    <w:p w14:paraId="4F74DC24" w14:textId="77777777" w:rsidR="00133514" w:rsidRDefault="00133514" w:rsidP="00133514">
      <w:pPr>
        <w:spacing w:after="0" w:line="240" w:lineRule="auto"/>
        <w:jc w:val="both"/>
        <w:rPr>
          <w:rFonts w:cstheme="minorHAnsi"/>
          <w:b/>
        </w:rPr>
      </w:pPr>
    </w:p>
    <w:p w14:paraId="20CE1B8A" w14:textId="4968AAFF" w:rsidR="00133514" w:rsidRPr="00133514" w:rsidRDefault="00133514" w:rsidP="001335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3514">
        <w:rPr>
          <w:rFonts w:cstheme="minorHAnsi"/>
          <w:b/>
          <w:sz w:val="20"/>
          <w:szCs w:val="20"/>
        </w:rPr>
        <w:t>Kontakt dla mediów:</w:t>
      </w:r>
    </w:p>
    <w:p w14:paraId="1E03436B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514">
        <w:rPr>
          <w:rFonts w:cstheme="minorHAnsi"/>
          <w:sz w:val="20"/>
          <w:szCs w:val="20"/>
        </w:rPr>
        <w:t>Danuta Cabaj</w:t>
      </w:r>
    </w:p>
    <w:p w14:paraId="7E3E21E1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514">
        <w:rPr>
          <w:rFonts w:cstheme="minorHAnsi"/>
          <w:sz w:val="20"/>
          <w:szCs w:val="20"/>
        </w:rPr>
        <w:t>e-mail:danuta.cabaj@mslgroup.com</w:t>
      </w:r>
    </w:p>
    <w:p w14:paraId="30A6B5EA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514">
        <w:rPr>
          <w:rFonts w:cstheme="minorHAnsi"/>
          <w:sz w:val="20"/>
          <w:szCs w:val="20"/>
        </w:rPr>
        <w:t>M: +48 666 813 052</w:t>
      </w:r>
    </w:p>
    <w:p w14:paraId="069DB18C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514">
        <w:rPr>
          <w:rFonts w:cstheme="minorHAnsi"/>
          <w:sz w:val="20"/>
          <w:szCs w:val="20"/>
        </w:rPr>
        <w:t xml:space="preserve">          </w:t>
      </w:r>
    </w:p>
    <w:p w14:paraId="6AB0EBAC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514">
        <w:rPr>
          <w:rFonts w:cstheme="minorHAnsi"/>
          <w:sz w:val="20"/>
          <w:szCs w:val="20"/>
        </w:rPr>
        <w:t xml:space="preserve">         </w:t>
      </w:r>
    </w:p>
    <w:p w14:paraId="204E1EF2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133514">
        <w:rPr>
          <w:rFonts w:cstheme="minorHAnsi"/>
          <w:color w:val="808080" w:themeColor="background1" w:themeShade="80"/>
          <w:sz w:val="20"/>
          <w:szCs w:val="20"/>
        </w:rPr>
        <w:t>***</w:t>
      </w:r>
    </w:p>
    <w:p w14:paraId="7005EE3F" w14:textId="77777777" w:rsidR="00133514" w:rsidRPr="00133514" w:rsidRDefault="00133514" w:rsidP="00133514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133514">
        <w:rPr>
          <w:rFonts w:cstheme="minorHAnsi"/>
          <w:color w:val="808080" w:themeColor="background1" w:themeShade="80"/>
          <w:sz w:val="20"/>
          <w:szCs w:val="2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133514">
        <w:rPr>
          <w:rFonts w:cstheme="minorHAnsi"/>
          <w:color w:val="808080" w:themeColor="background1" w:themeShade="80"/>
          <w:sz w:val="20"/>
          <w:szCs w:val="20"/>
        </w:rPr>
        <w:t>eBHP</w:t>
      </w:r>
      <w:proofErr w:type="spellEnd"/>
      <w:r w:rsidRPr="00133514">
        <w:rPr>
          <w:rFonts w:cstheme="minorHAnsi"/>
          <w:color w:val="808080" w:themeColor="background1" w:themeShade="80"/>
          <w:sz w:val="20"/>
          <w:szCs w:val="20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489B7740" w14:textId="77777777" w:rsidR="00133514" w:rsidRDefault="00133514" w:rsidP="00133514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</w:p>
    <w:p w14:paraId="2E91D9E7" w14:textId="18DBF039" w:rsidR="00133514" w:rsidRPr="00133514" w:rsidRDefault="00133514" w:rsidP="00133514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133514">
        <w:rPr>
          <w:rFonts w:cstheme="minorHAnsi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3E17596A" w14:textId="77777777" w:rsidR="00133514" w:rsidRPr="00133514" w:rsidRDefault="00133514" w:rsidP="00CE7ED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14:paraId="026C9801" w14:textId="77777777" w:rsidR="005D1641" w:rsidRPr="00133514" w:rsidRDefault="005D1641" w:rsidP="00BC4FE4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720020D2" w14:textId="77777777" w:rsidR="005D342C" w:rsidRPr="00133514" w:rsidRDefault="005D342C" w:rsidP="005D342C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B4D07A" w14:textId="320DBAF3" w:rsidR="00A21973" w:rsidRPr="00133514" w:rsidRDefault="003E2DAF" w:rsidP="00C319A4">
      <w:pPr>
        <w:pStyle w:val="NormalnyWeb"/>
        <w:spacing w:before="0" w:beforeAutospacing="0" w:after="0" w:afterAutospacing="0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33514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AAA5E6" w14:textId="77777777" w:rsidR="00C53E6E" w:rsidRPr="00133514" w:rsidRDefault="00C53E6E" w:rsidP="00C319A4">
      <w:pPr>
        <w:pStyle w:val="NormalnyWeb"/>
        <w:spacing w:before="0" w:beforeAutospacing="0" w:after="0" w:afterAutospacing="0"/>
        <w:textAlignment w:val="center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13128C3E" w14:textId="77777777" w:rsidR="00CE45A2" w:rsidRPr="00133514" w:rsidRDefault="00CE45A2" w:rsidP="005B44C9">
      <w:pPr>
        <w:spacing w:after="0" w:line="240" w:lineRule="auto"/>
        <w:textAlignment w:val="center"/>
        <w:rPr>
          <w:rFonts w:eastAsiaTheme="minorEastAsia" w:cstheme="minorHAnsi"/>
          <w:color w:val="000000" w:themeColor="text1"/>
          <w:kern w:val="24"/>
          <w:sz w:val="20"/>
          <w:szCs w:val="20"/>
          <w:lang w:eastAsia="pl-PL"/>
        </w:rPr>
      </w:pPr>
    </w:p>
    <w:p w14:paraId="62755225" w14:textId="40133233" w:rsidR="00B50532" w:rsidRPr="00133514" w:rsidRDefault="00B50532" w:rsidP="287DAD0F">
      <w:pPr>
        <w:rPr>
          <w:rFonts w:cstheme="minorHAnsi"/>
          <w:color w:val="000000" w:themeColor="text1"/>
        </w:rPr>
      </w:pPr>
    </w:p>
    <w:sectPr w:rsidR="00B50532" w:rsidRPr="00133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EFF2" w14:textId="77777777" w:rsidR="00EE5F52" w:rsidRDefault="00EE5F52" w:rsidP="00767214">
      <w:pPr>
        <w:spacing w:after="0" w:line="240" w:lineRule="auto"/>
      </w:pPr>
      <w:r>
        <w:separator/>
      </w:r>
    </w:p>
  </w:endnote>
  <w:endnote w:type="continuationSeparator" w:id="0">
    <w:p w14:paraId="517FCAAA" w14:textId="77777777" w:rsidR="00EE5F52" w:rsidRDefault="00EE5F52" w:rsidP="00767214">
      <w:pPr>
        <w:spacing w:after="0" w:line="240" w:lineRule="auto"/>
      </w:pPr>
      <w:r>
        <w:continuationSeparator/>
      </w:r>
    </w:p>
  </w:endnote>
  <w:endnote w:type="continuationNotice" w:id="1">
    <w:p w14:paraId="35355E3E" w14:textId="77777777" w:rsidR="00EE5F52" w:rsidRDefault="00EE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5F7" w14:textId="77777777" w:rsidR="00767214" w:rsidRDefault="00767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5E97" w14:textId="77777777" w:rsidR="00767214" w:rsidRDefault="007672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2D6F" w14:textId="77777777" w:rsidR="00767214" w:rsidRDefault="0076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DD2F" w14:textId="77777777" w:rsidR="00EE5F52" w:rsidRDefault="00EE5F52" w:rsidP="00767214">
      <w:pPr>
        <w:spacing w:after="0" w:line="240" w:lineRule="auto"/>
      </w:pPr>
      <w:r>
        <w:separator/>
      </w:r>
    </w:p>
  </w:footnote>
  <w:footnote w:type="continuationSeparator" w:id="0">
    <w:p w14:paraId="1D8F5BB3" w14:textId="77777777" w:rsidR="00EE5F52" w:rsidRDefault="00EE5F52" w:rsidP="00767214">
      <w:pPr>
        <w:spacing w:after="0" w:line="240" w:lineRule="auto"/>
      </w:pPr>
      <w:r>
        <w:continuationSeparator/>
      </w:r>
    </w:p>
  </w:footnote>
  <w:footnote w:type="continuationNotice" w:id="1">
    <w:p w14:paraId="480BDCCD" w14:textId="77777777" w:rsidR="00EE5F52" w:rsidRDefault="00EE5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41AF" w14:textId="2C14ABB4" w:rsidR="00767214" w:rsidRDefault="00133514">
    <w:pPr>
      <w:pStyle w:val="Nagwek"/>
    </w:pPr>
    <w:r>
      <w:rPr>
        <w:noProof/>
      </w:rPr>
      <w:pict w14:anchorId="300BD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60" o:spid="_x0000_s1026" type="#_x0000_t75" style="position:absolute;margin-left:0;margin-top:0;width:606.95pt;height:853.45pt;z-index:-251658239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22D6" w14:textId="50848AB7" w:rsidR="00767214" w:rsidRDefault="00133514">
    <w:pPr>
      <w:pStyle w:val="Nagwek"/>
    </w:pPr>
    <w:r>
      <w:rPr>
        <w:noProof/>
      </w:rPr>
      <w:pict w14:anchorId="07CA6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61" o:spid="_x0000_s1027" type="#_x0000_t75" style="position:absolute;margin-left:0;margin-top:0;width:606.95pt;height:853.45pt;z-index:-251658238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8997" w14:textId="1B510C31" w:rsidR="00767214" w:rsidRDefault="00133514">
    <w:pPr>
      <w:pStyle w:val="Nagwek"/>
    </w:pPr>
    <w:r>
      <w:rPr>
        <w:noProof/>
      </w:rPr>
      <w:pict w14:anchorId="0F4D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59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2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E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8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3150DB"/>
    <w:multiLevelType w:val="hybridMultilevel"/>
    <w:tmpl w:val="5B00785C"/>
    <w:lvl w:ilvl="0" w:tplc="C990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A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C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D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A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8D7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A2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27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C6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C1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463D7C"/>
    <w:multiLevelType w:val="hybridMultilevel"/>
    <w:tmpl w:val="238E644E"/>
    <w:lvl w:ilvl="0" w:tplc="7206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4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0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8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412660">
    <w:abstractNumId w:val="6"/>
  </w:num>
  <w:num w:numId="2" w16cid:durableId="88279204">
    <w:abstractNumId w:val="8"/>
  </w:num>
  <w:num w:numId="3" w16cid:durableId="762921109">
    <w:abstractNumId w:val="2"/>
  </w:num>
  <w:num w:numId="4" w16cid:durableId="1162698999">
    <w:abstractNumId w:val="4"/>
  </w:num>
  <w:num w:numId="5" w16cid:durableId="16808914">
    <w:abstractNumId w:val="0"/>
  </w:num>
  <w:num w:numId="6" w16cid:durableId="78525000">
    <w:abstractNumId w:val="7"/>
  </w:num>
  <w:num w:numId="7" w16cid:durableId="311258729">
    <w:abstractNumId w:val="5"/>
  </w:num>
  <w:num w:numId="8" w16cid:durableId="1125149744">
    <w:abstractNumId w:val="3"/>
  </w:num>
  <w:num w:numId="9" w16cid:durableId="212973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4"/>
    <w:rsid w:val="0003220B"/>
    <w:rsid w:val="00057ADC"/>
    <w:rsid w:val="000846CB"/>
    <w:rsid w:val="000869C6"/>
    <w:rsid w:val="000A6873"/>
    <w:rsid w:val="000B0CEF"/>
    <w:rsid w:val="000E5DCE"/>
    <w:rsid w:val="000F128C"/>
    <w:rsid w:val="000F129E"/>
    <w:rsid w:val="00124842"/>
    <w:rsid w:val="00133514"/>
    <w:rsid w:val="00142B6D"/>
    <w:rsid w:val="00170AD3"/>
    <w:rsid w:val="00182AF7"/>
    <w:rsid w:val="001872EC"/>
    <w:rsid w:val="0018784F"/>
    <w:rsid w:val="00197D8D"/>
    <w:rsid w:val="001C3408"/>
    <w:rsid w:val="001D4EC4"/>
    <w:rsid w:val="001E178D"/>
    <w:rsid w:val="001E59A2"/>
    <w:rsid w:val="001F0163"/>
    <w:rsid w:val="00202322"/>
    <w:rsid w:val="0024483C"/>
    <w:rsid w:val="00265455"/>
    <w:rsid w:val="002702F3"/>
    <w:rsid w:val="00273F1A"/>
    <w:rsid w:val="00286BB4"/>
    <w:rsid w:val="00296458"/>
    <w:rsid w:val="00297631"/>
    <w:rsid w:val="002A15CE"/>
    <w:rsid w:val="002A2B9F"/>
    <w:rsid w:val="002B5284"/>
    <w:rsid w:val="002C42C0"/>
    <w:rsid w:val="002D6256"/>
    <w:rsid w:val="002E2F04"/>
    <w:rsid w:val="002F3D55"/>
    <w:rsid w:val="00301A18"/>
    <w:rsid w:val="00336AA8"/>
    <w:rsid w:val="00360CA2"/>
    <w:rsid w:val="00363BD0"/>
    <w:rsid w:val="003A77AE"/>
    <w:rsid w:val="003D10D3"/>
    <w:rsid w:val="003E2DAF"/>
    <w:rsid w:val="003F0220"/>
    <w:rsid w:val="003F4E73"/>
    <w:rsid w:val="0041753D"/>
    <w:rsid w:val="004275EE"/>
    <w:rsid w:val="00437A29"/>
    <w:rsid w:val="00441020"/>
    <w:rsid w:val="004617BE"/>
    <w:rsid w:val="004625D5"/>
    <w:rsid w:val="00467B1F"/>
    <w:rsid w:val="00483711"/>
    <w:rsid w:val="00492D77"/>
    <w:rsid w:val="004A2E0E"/>
    <w:rsid w:val="004C7509"/>
    <w:rsid w:val="004D018E"/>
    <w:rsid w:val="00504F9E"/>
    <w:rsid w:val="00513ABD"/>
    <w:rsid w:val="005141BF"/>
    <w:rsid w:val="00546EF8"/>
    <w:rsid w:val="0056647E"/>
    <w:rsid w:val="00590902"/>
    <w:rsid w:val="00596B85"/>
    <w:rsid w:val="005B11C6"/>
    <w:rsid w:val="005B1711"/>
    <w:rsid w:val="005B44C9"/>
    <w:rsid w:val="005C1603"/>
    <w:rsid w:val="005D1641"/>
    <w:rsid w:val="005D342C"/>
    <w:rsid w:val="00623846"/>
    <w:rsid w:val="00635A96"/>
    <w:rsid w:val="006406DF"/>
    <w:rsid w:val="00657AAF"/>
    <w:rsid w:val="00657C22"/>
    <w:rsid w:val="00665F5E"/>
    <w:rsid w:val="00682C3B"/>
    <w:rsid w:val="00683D9F"/>
    <w:rsid w:val="006964C2"/>
    <w:rsid w:val="006F0B46"/>
    <w:rsid w:val="006F641F"/>
    <w:rsid w:val="00710D28"/>
    <w:rsid w:val="00721678"/>
    <w:rsid w:val="0073115A"/>
    <w:rsid w:val="00734B0C"/>
    <w:rsid w:val="00742B01"/>
    <w:rsid w:val="00745C11"/>
    <w:rsid w:val="007476FD"/>
    <w:rsid w:val="00767214"/>
    <w:rsid w:val="00790CB6"/>
    <w:rsid w:val="007A473F"/>
    <w:rsid w:val="007D46E1"/>
    <w:rsid w:val="007E1329"/>
    <w:rsid w:val="007F3881"/>
    <w:rsid w:val="0084113D"/>
    <w:rsid w:val="00845117"/>
    <w:rsid w:val="0088548A"/>
    <w:rsid w:val="008A3480"/>
    <w:rsid w:val="008C4B4D"/>
    <w:rsid w:val="008C65DC"/>
    <w:rsid w:val="008E1C47"/>
    <w:rsid w:val="008E5AF5"/>
    <w:rsid w:val="008F0322"/>
    <w:rsid w:val="008F05B5"/>
    <w:rsid w:val="00977B84"/>
    <w:rsid w:val="00984EC7"/>
    <w:rsid w:val="009A0E47"/>
    <w:rsid w:val="009B1D73"/>
    <w:rsid w:val="009B7163"/>
    <w:rsid w:val="00A16E4C"/>
    <w:rsid w:val="00A21973"/>
    <w:rsid w:val="00A2228E"/>
    <w:rsid w:val="00A411C4"/>
    <w:rsid w:val="00A67A84"/>
    <w:rsid w:val="00A7417A"/>
    <w:rsid w:val="00A7761F"/>
    <w:rsid w:val="00A91BAD"/>
    <w:rsid w:val="00AC054C"/>
    <w:rsid w:val="00AC1A72"/>
    <w:rsid w:val="00AC4BB9"/>
    <w:rsid w:val="00AE4080"/>
    <w:rsid w:val="00AF0275"/>
    <w:rsid w:val="00B26244"/>
    <w:rsid w:val="00B26F23"/>
    <w:rsid w:val="00B50532"/>
    <w:rsid w:val="00B76C0B"/>
    <w:rsid w:val="00BC4FE4"/>
    <w:rsid w:val="00BD33A7"/>
    <w:rsid w:val="00C319A4"/>
    <w:rsid w:val="00C42B9B"/>
    <w:rsid w:val="00C53E6E"/>
    <w:rsid w:val="00CB0CEB"/>
    <w:rsid w:val="00CB2FF3"/>
    <w:rsid w:val="00CC009C"/>
    <w:rsid w:val="00CC5F5D"/>
    <w:rsid w:val="00CC683A"/>
    <w:rsid w:val="00CE45A2"/>
    <w:rsid w:val="00CE7EDF"/>
    <w:rsid w:val="00D161B9"/>
    <w:rsid w:val="00D311CA"/>
    <w:rsid w:val="00D72F01"/>
    <w:rsid w:val="00D80B87"/>
    <w:rsid w:val="00D86E7E"/>
    <w:rsid w:val="00DA7895"/>
    <w:rsid w:val="00DF625B"/>
    <w:rsid w:val="00E0743B"/>
    <w:rsid w:val="00E17059"/>
    <w:rsid w:val="00E56F16"/>
    <w:rsid w:val="00E82BDC"/>
    <w:rsid w:val="00E846E9"/>
    <w:rsid w:val="00EB22F3"/>
    <w:rsid w:val="00EB63BC"/>
    <w:rsid w:val="00EE117B"/>
    <w:rsid w:val="00EE2DE7"/>
    <w:rsid w:val="00EE5F52"/>
    <w:rsid w:val="00EE7DEB"/>
    <w:rsid w:val="00F10BEB"/>
    <w:rsid w:val="00F14D29"/>
    <w:rsid w:val="00F16ED3"/>
    <w:rsid w:val="00F17148"/>
    <w:rsid w:val="00F42E66"/>
    <w:rsid w:val="00F64590"/>
    <w:rsid w:val="00F83B9D"/>
    <w:rsid w:val="00FA02AA"/>
    <w:rsid w:val="00FC551D"/>
    <w:rsid w:val="00FD5876"/>
    <w:rsid w:val="052B9708"/>
    <w:rsid w:val="0D3AEDE9"/>
    <w:rsid w:val="10FCFCEA"/>
    <w:rsid w:val="167CC6C6"/>
    <w:rsid w:val="287DAD0F"/>
    <w:rsid w:val="2D1C3340"/>
    <w:rsid w:val="32592C3E"/>
    <w:rsid w:val="6989A827"/>
    <w:rsid w:val="6CB9B3BB"/>
    <w:rsid w:val="76A06132"/>
    <w:rsid w:val="78D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9004"/>
  <w15:chartTrackingRefBased/>
  <w15:docId w15:val="{CFC870CC-7B6E-485F-A69B-0843F4C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14"/>
  </w:style>
  <w:style w:type="paragraph" w:styleId="Stopka">
    <w:name w:val="footer"/>
    <w:basedOn w:val="Normalny"/>
    <w:link w:val="StopkaZnak"/>
    <w:uiPriority w:val="99"/>
    <w:unhideWhenUsed/>
    <w:rsid w:val="0076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14"/>
  </w:style>
  <w:style w:type="paragraph" w:styleId="NormalnyWeb">
    <w:name w:val="Normal (Web)"/>
    <w:basedOn w:val="Normalny"/>
    <w:uiPriority w:val="99"/>
    <w:unhideWhenUsed/>
    <w:rsid w:val="004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ABD"/>
    <w:rPr>
      <w:b/>
      <w:bCs/>
    </w:rPr>
  </w:style>
  <w:style w:type="character" w:customStyle="1" w:styleId="hgkelc">
    <w:name w:val="hgkelc"/>
    <w:basedOn w:val="Domylnaczcionkaakapitu"/>
    <w:rsid w:val="008C65DC"/>
  </w:style>
  <w:style w:type="character" w:styleId="Odwoaniedokomentarza">
    <w:name w:val="annotation reference"/>
    <w:basedOn w:val="Domylnaczcionkaakapitu"/>
    <w:uiPriority w:val="99"/>
    <w:semiHidden/>
    <w:unhideWhenUsed/>
    <w:rsid w:val="00A41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1C4"/>
    <w:rPr>
      <w:b/>
      <w:bCs/>
      <w:sz w:val="20"/>
      <w:szCs w:val="20"/>
    </w:rPr>
  </w:style>
  <w:style w:type="paragraph" w:customStyle="1" w:styleId="pf0">
    <w:name w:val="pf0"/>
    <w:basedOn w:val="Normalny"/>
    <w:rsid w:val="00CE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E7E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EF98-FA0B-48A7-823C-5A8C6D046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1B33-61B9-4319-BE98-B7E92EC248B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aa523ec5-cbbc-4d5f-9643-4ef855cb0569"/>
    <ds:schemaRef ds:uri="0902ce76-2b94-4f28-a436-1a49c979f0c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56CFB-9F23-4DF9-A351-9898707C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31EFA-71FE-42CA-87C0-15E5EBE4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797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Anioła, Dawid (W&amp;W Consulting)</dc:creator>
  <cp:keywords/>
  <dc:description/>
  <cp:lastModifiedBy>Danuta Cabaj</cp:lastModifiedBy>
  <cp:revision>5</cp:revision>
  <dcterms:created xsi:type="dcterms:W3CDTF">2023-10-26T14:25:00Z</dcterms:created>
  <dcterms:modified xsi:type="dcterms:W3CDTF">2023-10-30T09:30:00Z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0x010100D5A522C226D0E844B6BD0A18EC13D32E</vt:lpwstr>
  </property>
  <property fmtid="{D5CDD505-2E9C-101B-9397-08002B2CF9AE}" pid="3" name="MediaServiceImageTags">
    <vt:lpwstr/>
  </property>
</Properties>
</file>