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C383" w14:textId="60DFD4B7" w:rsidR="00D824D3" w:rsidRPr="00224D91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E35E1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E35E1A" w:rsidRPr="00E35E1A">
        <w:rPr>
          <w:rFonts w:ascii="Tahoma" w:eastAsia="Tahoma" w:hAnsi="Tahoma" w:cs="Tahoma"/>
          <w:color w:val="808080"/>
          <w:sz w:val="20"/>
          <w:szCs w:val="20"/>
        </w:rPr>
        <w:t>3</w:t>
      </w:r>
      <w:r w:rsidR="002F7265">
        <w:rPr>
          <w:rFonts w:ascii="Tahoma" w:eastAsia="Tahoma" w:hAnsi="Tahoma" w:cs="Tahoma"/>
          <w:color w:val="808080"/>
          <w:sz w:val="20"/>
          <w:szCs w:val="20"/>
        </w:rPr>
        <w:t>1</w:t>
      </w:r>
      <w:r w:rsidR="00E35E1A" w:rsidRPr="00E35E1A">
        <w:rPr>
          <w:rFonts w:ascii="Tahoma" w:eastAsia="Tahoma" w:hAnsi="Tahoma" w:cs="Tahoma"/>
          <w:color w:val="808080"/>
          <w:sz w:val="20"/>
          <w:szCs w:val="20"/>
        </w:rPr>
        <w:t xml:space="preserve"> października </w:t>
      </w:r>
      <w:r w:rsidR="00360B0E" w:rsidRPr="00224D91">
        <w:rPr>
          <w:rFonts w:ascii="Tahoma" w:eastAsia="Tahoma" w:hAnsi="Tahoma" w:cs="Tahoma"/>
          <w:color w:val="808080"/>
          <w:sz w:val="20"/>
          <w:szCs w:val="20"/>
        </w:rPr>
        <w:t>202</w:t>
      </w:r>
      <w:r w:rsidR="00FC43CA" w:rsidRPr="00224D91">
        <w:rPr>
          <w:rFonts w:ascii="Tahoma" w:eastAsia="Tahoma" w:hAnsi="Tahoma" w:cs="Tahoma"/>
          <w:color w:val="808080"/>
          <w:sz w:val="20"/>
          <w:szCs w:val="20"/>
        </w:rPr>
        <w:t>3</w:t>
      </w:r>
      <w:r w:rsidR="00B63B5B" w:rsidRPr="00224D91">
        <w:rPr>
          <w:rFonts w:ascii="Tahoma" w:eastAsia="Tahoma" w:hAnsi="Tahoma" w:cs="Tahoma"/>
          <w:color w:val="808080"/>
          <w:sz w:val="20"/>
          <w:szCs w:val="20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702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253"/>
        <w:gridCol w:w="3449"/>
      </w:tblGrid>
      <w:tr w:rsidR="00D824D3" w:rsidRPr="00775CAB" w14:paraId="18FE4A91" w14:textId="77777777" w:rsidTr="002756E4">
        <w:tc>
          <w:tcPr>
            <w:tcW w:w="7253" w:type="dxa"/>
          </w:tcPr>
          <w:p w14:paraId="50DAD41A" w14:textId="5A044020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C02D68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4A1154D9" w14:textId="77777777" w:rsidR="00224D91" w:rsidRPr="00C02D68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15F0EE83" w14:textId="77777777" w:rsidR="00224D91" w:rsidRPr="00C02D68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F08E350" w14:textId="005508BE" w:rsidR="009A2A41" w:rsidRPr="00D51FBF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D51FBF">
              <w:rPr>
                <w:rFonts w:ascii="Tahoma" w:eastAsia="Tahoma" w:hAnsi="Tahoma" w:cs="Tahoma"/>
                <w:b/>
                <w:color w:val="FFC000"/>
              </w:rPr>
              <w:t>do danych finansowych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Grupy Budimex </w:t>
            </w:r>
            <w:r>
              <w:rPr>
                <w:rFonts w:ascii="Tahoma" w:eastAsia="Tahoma" w:hAnsi="Tahoma" w:cs="Tahoma"/>
                <w:b/>
                <w:color w:val="FFC000"/>
              </w:rPr>
              <w:br/>
            </w:r>
            <w:r w:rsidR="001C04E7" w:rsidRPr="00D51FBF">
              <w:rPr>
                <w:rFonts w:ascii="Tahoma" w:eastAsia="Tahoma" w:hAnsi="Tahoma" w:cs="Tahoma"/>
                <w:b/>
                <w:color w:val="FFC000"/>
              </w:rPr>
              <w:t xml:space="preserve">za </w:t>
            </w:r>
            <w:r w:rsidR="001C04E7">
              <w:rPr>
                <w:rFonts w:ascii="Tahoma" w:eastAsia="Tahoma" w:hAnsi="Tahoma" w:cs="Tahoma"/>
                <w:b/>
                <w:color w:val="FFC000"/>
              </w:rPr>
              <w:t xml:space="preserve">trzy kwartały </w:t>
            </w:r>
            <w:r w:rsidR="009A2A41">
              <w:rPr>
                <w:rFonts w:ascii="Tahoma" w:eastAsia="Tahoma" w:hAnsi="Tahoma" w:cs="Tahoma"/>
                <w:b/>
                <w:color w:val="FFC000"/>
              </w:rPr>
              <w:t>202</w:t>
            </w:r>
            <w:r w:rsidR="00FC43CA">
              <w:rPr>
                <w:rFonts w:ascii="Tahoma" w:eastAsia="Tahoma" w:hAnsi="Tahoma" w:cs="Tahoma"/>
                <w:b/>
                <w:color w:val="FFC000"/>
              </w:rPr>
              <w:t>3</w:t>
            </w:r>
            <w:r w:rsidR="009A2A41">
              <w:rPr>
                <w:rFonts w:ascii="Tahoma" w:eastAsia="Tahoma" w:hAnsi="Tahoma" w:cs="Tahoma"/>
                <w:b/>
                <w:color w:val="FFC000"/>
              </w:rPr>
              <w:t xml:space="preserve"> roku</w:t>
            </w:r>
          </w:p>
          <w:p w14:paraId="2D0A5BC2" w14:textId="77777777" w:rsidR="00A9414D" w:rsidRPr="00B84905" w:rsidRDefault="00A9414D" w:rsidP="00B8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105BA649" w:rsidR="009A2A41" w:rsidRPr="00000972" w:rsidRDefault="00000972" w:rsidP="007170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 trzech kwartałach</w:t>
            </w:r>
            <w:r w:rsidR="009A2A41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</w:t>
            </w:r>
            <w:r w:rsidR="00FC43CA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</w:t>
            </w:r>
            <w:r w:rsidR="009A2A41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przychody ze sprzedaży Grupy Budimex wyniosły </w:t>
            </w:r>
            <w:r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6 994 </w:t>
            </w:r>
            <w:r w:rsidR="009A2A41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milionów złotych (</w:t>
            </w:r>
            <w:r w:rsidR="000C0857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</w:t>
            </w:r>
            <w:r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9,</w:t>
            </w:r>
            <w:r w:rsidR="00842EA5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</w:t>
            </w:r>
            <w:r w:rsidR="009A2A41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BD0F23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9A2A41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</w:t>
            </w:r>
            <w:r w:rsidR="0019472A">
              <w:rPr>
                <w:rStyle w:val="Odwoanieprzypisudolnego"/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footnoteReference w:id="1"/>
            </w:r>
            <w:r w:rsidR="0019472A">
              <w:rPr>
                <w:color w:val="808080"/>
              </w:rPr>
              <w:t xml:space="preserve"> </w:t>
            </w:r>
            <w:r w:rsidR="009A2A41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osiągnął poziom </w:t>
            </w:r>
            <w:r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450</w:t>
            </w:r>
            <w:r w:rsidR="009A2A41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  <w:r w:rsidR="00D06E4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664FA5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co stanowi wzrost o </w:t>
            </w:r>
            <w:r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92</w:t>
            </w:r>
            <w:r w:rsidR="00664FA5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</w:t>
            </w:r>
            <w:r w:rsidR="00842EA5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 w:rsidR="00664FA5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 (+</w:t>
            </w:r>
            <w:r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25,6</w:t>
            </w:r>
            <w:r w:rsidR="00664FA5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%)</w:t>
            </w:r>
            <w:r w:rsidR="00F243DA" w:rsidRPr="0000097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1D88B709" w14:textId="67834D12" w:rsidR="004151F3" w:rsidRPr="0006084D" w:rsidRDefault="00B60995" w:rsidP="007170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brutto Grupy wyniosła </w:t>
            </w:r>
            <w:r w:rsidR="0006084D"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8,</w:t>
            </w:r>
            <w:r w:rsidR="00D2740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porównaniu do </w:t>
            </w:r>
            <w:r w:rsidR="00D2740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7,3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="00D2740A" w:rsidRPr="006B3CB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 trzech kwartałach</w:t>
            </w:r>
            <w:r w:rsidR="00FF6C4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</w:t>
            </w:r>
            <w:r w:rsidR="005525D3"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</w:t>
            </w:r>
            <w:r w:rsidR="00F243DA"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1C8C463E" w14:textId="2706FC7D" w:rsidR="00577B5C" w:rsidRPr="002756E4" w:rsidRDefault="008166BC" w:rsidP="007170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FF0000"/>
                <w:sz w:val="18"/>
                <w:szCs w:val="18"/>
              </w:rPr>
            </w:pPr>
            <w:r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Portfel zamówień Grupy Budimex na koniec </w:t>
            </w:r>
            <w:r w:rsidR="00F42CC4"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września </w:t>
            </w:r>
            <w:r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2023 roku wyniósł 12</w:t>
            </w:r>
            <w:r w:rsidR="00F42CC4"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</w:t>
            </w:r>
            <w:r w:rsidR="00F42CC4"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ów </w:t>
            </w:r>
            <w:r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złotych</w:t>
            </w:r>
            <w:r w:rsidR="00D06E4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  <w:r w:rsidRPr="00F42CC4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</w:p>
          <w:p w14:paraId="5297255F" w14:textId="52110334" w:rsidR="009F6C68" w:rsidRPr="00D2740A" w:rsidRDefault="009F6C68" w:rsidP="007170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61"/>
              <w:jc w:val="both"/>
              <w:rPr>
                <w:rFonts w:ascii="Tahoma" w:eastAsia="Tahoma" w:hAnsi="Tahoma" w:cs="Tahoma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artość projektów oczekujących na podpisanie, oraz takich, gdzie oferta Budimex lub spółek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 Grupy </w:t>
            </w:r>
            <w:r w:rsidR="00C150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zajmuje najlepszą pozycję przetargową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to aktualnie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pona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 </w:t>
            </w:r>
            <w:r w:rsidR="00853843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12</w:t>
            </w:r>
            <w:r w:rsidR="00853843"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miliard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</w:t>
            </w:r>
            <w:r w:rsidR="00641D3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czego ponad 8 miliardów złotych przypadało na kontrakty na rynkach zagranicznych</w:t>
            </w:r>
            <w:r w:rsid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22B5F062" w14:textId="184E693C" w:rsidR="00775CAB" w:rsidRPr="001D4924" w:rsidRDefault="00775CAB" w:rsidP="007D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  <w:highlight w:val="yellow"/>
              </w:rPr>
            </w:pPr>
          </w:p>
          <w:p w14:paraId="403AB48F" w14:textId="77777777" w:rsidR="00F0006A" w:rsidRDefault="00F0006A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</w:p>
          <w:p w14:paraId="5DFE2844" w14:textId="77777777" w:rsidR="00F0006A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</w:pPr>
            <w:r w:rsidRPr="00031486"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  <w:t>Odnotowaliśmy wzrost przychodów ze sprzedaży Grupy, zarówno w części budowlanej jak i w części usługowej. Poprawiliśmy także rentowność.</w:t>
            </w:r>
          </w:p>
          <w:p w14:paraId="7A5B9516" w14:textId="77777777" w:rsidR="00F0006A" w:rsidRPr="00031486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noProof/>
                <w:color w:val="808080"/>
                <w:sz w:val="18"/>
                <w:szCs w:val="18"/>
              </w:rPr>
            </w:pPr>
          </w:p>
          <w:p w14:paraId="26736BC6" w14:textId="3D4809F8" w:rsidR="00F0006A" w:rsidRPr="0037731B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</w:pPr>
            <w:r w:rsidRPr="0037731B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Grupa Budimex wypracowała po III kwartałach 2023 roku zysk operacyjny na poziomie ‎‎</w:t>
            </w:r>
            <w:r w:rsidRPr="00D06E4C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48</w:t>
            </w:r>
            <w:r w:rsidR="00D06E4C" w:rsidRPr="00D06E4C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2</w:t>
            </w:r>
            <w:r w:rsidRPr="00D06E4C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 milionów.</w:t>
            </w:r>
            <w:r w:rsidRPr="0037731B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 Po trzech kwartałach rentowność operacyjna osiągnęła poziom 6,9%. Grupa Budimex zakończyła trzeci kwartał 2023 roku z wysok</w:t>
            </w:r>
            <w:r w:rsidR="00D06E4C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ą</w:t>
            </w:r>
            <w:r w:rsidRPr="0037731B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 pozycją gotówkową netto, przekraczającą 2,8 miliarda złotych. Mając na uwadze rekordowy poziom projektów oczekujących na podpisanie jesteśmy spokojni o poziom wykorzystania naszych mocy produkcyjnych w perspektywie najbliższych 2-3 lat.</w:t>
            </w:r>
          </w:p>
          <w:p w14:paraId="34FA4B4B" w14:textId="77777777" w:rsidR="00F0006A" w:rsidRPr="0037731B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</w:pPr>
          </w:p>
          <w:p w14:paraId="01275737" w14:textId="5CF3EFC5" w:rsidR="00F0006A" w:rsidRPr="0037731B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</w:pPr>
            <w:r w:rsidRPr="0037731B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Kontynuujemy</w:t>
            </w:r>
            <w:r w:rsidR="00D06E4C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 </w:t>
            </w:r>
            <w:r w:rsidRPr="0037731B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dywersyfikację działalności oraz inwestujemy w rozwój kompetencji.  Z</w:t>
            </w:r>
            <w:r w:rsidR="007D0F2F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> </w:t>
            </w:r>
            <w:r w:rsidRPr="0037731B">
              <w:rPr>
                <w:rFonts w:ascii="Tahoma" w:eastAsia="Tahoma" w:hAnsi="Tahoma" w:cs="Tahoma"/>
                <w:noProof/>
                <w:color w:val="808080"/>
                <w:sz w:val="18"/>
                <w:szCs w:val="18"/>
              </w:rPr>
              <w:t xml:space="preserve"> odwagą i odpowiedzialnością angażujemy się w rozwój na rynkach zagranicznych realizując coraz bardziej ambitne cele. </w:t>
            </w:r>
            <w:r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W okresie trzech kwartałów 2023 roku pozyskaliśmy kontrakty o wartości ponad 4,5 miliarda złotych. </w:t>
            </w:r>
          </w:p>
          <w:p w14:paraId="5D4979B9" w14:textId="249AB8BF" w:rsidR="00F0006A" w:rsidRDefault="00F0006A" w:rsidP="00F0006A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  <w:r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Portfel zamówień Grupy Budimex na koniec września 2023 roku przekracza</w:t>
            </w:r>
            <w:r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br/>
            </w:r>
            <w:r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lastRenderedPageBreak/>
              <w:t>12 miliardów złotych. Wartość projektów oczekujących na podpisanie</w:t>
            </w:r>
            <w:r w:rsidR="00D06E4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,</w:t>
            </w:r>
            <w:r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gdzie oferta </w:t>
            </w:r>
            <w:r w:rsidRPr="00D06E4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naszej spółki zajęła pierwsze miejsce w postępowaniach przetargowych</w:t>
            </w:r>
            <w:r w:rsidR="00D06E4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,</w:t>
            </w:r>
            <w:r w:rsidRPr="00D06E4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to aktualnie ponad </w:t>
            </w:r>
            <w:r w:rsidR="00853843" w:rsidRPr="00D06E4C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12</w:t>
            </w:r>
            <w:r w:rsidR="00853843"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</w:t>
            </w:r>
            <w:r w:rsidRPr="0037731B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miliardów złotych z czego ponad 8 miliardów złotych przypadało na kontrakty na rynkach zagranicznych: czeskim, słowackim oraz łotewskim. </w:t>
            </w:r>
          </w:p>
          <w:p w14:paraId="398A5B90" w14:textId="77777777" w:rsidR="00A44C74" w:rsidRPr="00C7760B" w:rsidRDefault="00A44C7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18"/>
                <w:szCs w:val="18"/>
                <w:highlight w:val="yellow"/>
              </w:rPr>
            </w:pPr>
          </w:p>
          <w:tbl>
            <w:tblPr>
              <w:tblW w:w="75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1418"/>
              <w:gridCol w:w="1276"/>
              <w:gridCol w:w="1984"/>
            </w:tblGrid>
            <w:tr w:rsidR="002D0D72" w:rsidRPr="002D0D72" w14:paraId="4ACBD036" w14:textId="77777777" w:rsidTr="002D0D72">
              <w:trPr>
                <w:trHeight w:val="349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30F4626F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Grupa Budimex</w:t>
                  </w: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br/>
                    <w:t>(mln zł)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A70F74B" w14:textId="77777777" w:rsidR="002D0D72" w:rsidRPr="002D0D72" w:rsidRDefault="002D0D72" w:rsidP="002D0D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2D0D72" w:rsidRPr="002D0D72" w14:paraId="194FF296" w14:textId="77777777" w:rsidTr="002D0D72">
              <w:trPr>
                <w:trHeight w:val="54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7FF8AE7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18066E1" w14:textId="77777777" w:rsidR="002D0D72" w:rsidRPr="002D0D72" w:rsidRDefault="002D0D72" w:rsidP="002D0D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000000"/>
                    </w:rPr>
                    <w:t>1-3 Q 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5F7B0F5" w14:textId="77777777" w:rsidR="002D0D72" w:rsidRPr="002D0D72" w:rsidRDefault="002D0D72" w:rsidP="002D0D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000000"/>
                    </w:rPr>
                    <w:t>1-3 Q 2022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A4CA482" w14:textId="77777777" w:rsidR="002D0D72" w:rsidRPr="002D0D72" w:rsidRDefault="002D0D72" w:rsidP="002D0D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2D0D72" w:rsidRPr="002D0D72" w14:paraId="20C866DD" w14:textId="77777777" w:rsidTr="002D0D72">
              <w:trPr>
                <w:trHeight w:val="420"/>
              </w:trPr>
              <w:tc>
                <w:tcPr>
                  <w:tcW w:w="2880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2B1A126D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2241A056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6 994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AB0DAAF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6 368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7DC24470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9,8%</w:t>
                  </w:r>
                </w:p>
              </w:tc>
            </w:tr>
            <w:tr w:rsidR="002D0D72" w:rsidRPr="002D0D72" w14:paraId="1AD704F6" w14:textId="77777777" w:rsidTr="002D0D72">
              <w:trPr>
                <w:trHeight w:val="420"/>
              </w:trPr>
              <w:tc>
                <w:tcPr>
                  <w:tcW w:w="28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1EEE99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4B433E8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0381A54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56FA8E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15,6%</w:t>
                  </w:r>
                </w:p>
              </w:tc>
            </w:tr>
            <w:tr w:rsidR="002D0D72" w:rsidRPr="002D0D72" w14:paraId="5FAE8505" w14:textId="77777777" w:rsidTr="002D0D72">
              <w:trPr>
                <w:trHeight w:val="25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5E61002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00F0DF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6,9%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D25742E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6,5%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0E6C207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0,3% pp.</w:t>
                  </w:r>
                </w:p>
              </w:tc>
            </w:tr>
            <w:tr w:rsidR="002D0D72" w:rsidRPr="002D0D72" w14:paraId="3084F4FB" w14:textId="77777777" w:rsidTr="002D0D72">
              <w:trPr>
                <w:trHeight w:val="420"/>
              </w:trPr>
              <w:tc>
                <w:tcPr>
                  <w:tcW w:w="28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5320208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84D85B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56CE0AB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466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CF3D024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27,0%</w:t>
                  </w:r>
                </w:p>
              </w:tc>
            </w:tr>
            <w:tr w:rsidR="002D0D72" w:rsidRPr="002D0D72" w14:paraId="2D188830" w14:textId="77777777" w:rsidTr="002D0D72">
              <w:trPr>
                <w:trHeight w:val="25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7B71D6B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6F082B7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8,5%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3D36F3D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7,3%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15F38F3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1,1% pp.</w:t>
                  </w:r>
                </w:p>
              </w:tc>
            </w:tr>
            <w:tr w:rsidR="002D0D72" w:rsidRPr="002D0D72" w14:paraId="2FECFFAB" w14:textId="77777777" w:rsidTr="002D0D72">
              <w:trPr>
                <w:trHeight w:val="525"/>
              </w:trPr>
              <w:tc>
                <w:tcPr>
                  <w:tcW w:w="28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212D5EF9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netto*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4A13F83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90E6241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359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7DC0D09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25,6%</w:t>
                  </w:r>
                </w:p>
              </w:tc>
            </w:tr>
            <w:tr w:rsidR="002D0D72" w:rsidRPr="002D0D72" w14:paraId="20615183" w14:textId="77777777" w:rsidTr="002D0D72">
              <w:trPr>
                <w:trHeight w:val="25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18FE17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3D89053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6,4%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257D12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5,6%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3BE8DE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0,8% pp.</w:t>
                  </w:r>
                </w:p>
              </w:tc>
            </w:tr>
            <w:tr w:rsidR="002D0D72" w:rsidRPr="002D0D72" w14:paraId="14E874ED" w14:textId="77777777" w:rsidTr="002D0D72">
              <w:trPr>
                <w:trHeight w:val="255"/>
              </w:trPr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hideMark/>
                </w:tcPr>
                <w:p w14:paraId="5080BF4B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</w:pPr>
                  <w:r w:rsidRPr="002D0D72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  <w:t>*przypadający akcjonariuszom Jednostki Dominującej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76377CA1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49B52B44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4649B66E" w14:textId="77777777" w:rsidR="002D0D72" w:rsidRPr="002D0D72" w:rsidRDefault="002D0D72" w:rsidP="002D0D7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2D0D72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123EC875" w14:textId="0873EA42" w:rsidR="0023777F" w:rsidRPr="001D4924" w:rsidRDefault="0023777F" w:rsidP="001F6968">
            <w:pPr>
              <w:spacing w:line="360" w:lineRule="auto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56892A2B" w14:textId="348ABDAE" w:rsidR="00BF116E" w:rsidRPr="00FE00A1" w:rsidRDefault="00FD14F3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Odnotowaliśmy</w:t>
            </w:r>
            <w:r w:rsidR="00B220A6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również 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E617F8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wzrost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0C5A43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(rok do roku) 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przychodów ze sprzedaży Grupy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zaró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w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no w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części budowlanej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(+</w:t>
            </w:r>
            <w:r w:rsidR="002D0D72">
              <w:rPr>
                <w:rFonts w:ascii="Tahoma" w:eastAsia="Tahoma" w:hAnsi="Tahoma" w:cs="Tahoma"/>
                <w:color w:val="808080"/>
                <w:sz w:val="18"/>
                <w:szCs w:val="18"/>
              </w:rPr>
              <w:t>9,2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%) jak i w części usługowej (+</w:t>
            </w:r>
            <w:r w:rsidR="00102CF5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1</w:t>
            </w:r>
            <w:r w:rsidR="002D0D72">
              <w:rPr>
                <w:rFonts w:ascii="Tahoma" w:eastAsia="Tahoma" w:hAnsi="Tahoma" w:cs="Tahoma"/>
                <w:color w:val="808080"/>
                <w:sz w:val="18"/>
                <w:szCs w:val="18"/>
              </w:rPr>
              <w:t>6</w:t>
            </w:r>
            <w:r w:rsidR="00102CF5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,4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%)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14:paraId="6CF9EDEB" w14:textId="2F7747C8" w:rsidR="00EA7734" w:rsidRPr="002756E4" w:rsidRDefault="007143D6" w:rsidP="0062239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C43CA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  <w:br/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Produkcja budowlano-montażowa </w:t>
            </w:r>
            <w:r w:rsidR="00EA7734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za trzy kwartały</w:t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2023 roku </w:t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622393" w:rsidRPr="002756E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(w cenach bieżących) </w:t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wzrosła rok do roku o </w:t>
            </w:r>
            <w:r w:rsidR="00EA7734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13,2</w:t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z poziomu </w:t>
            </w:r>
            <w:r w:rsidR="00EA7734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94,5</w:t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 do </w:t>
            </w:r>
            <w:r w:rsidR="00EA7734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107</w:t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A7734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miliardów </w:t>
            </w:r>
            <w:r w:rsidR="00622393"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złotych</w:t>
            </w:r>
            <w:r w:rsidR="00622393" w:rsidRPr="002756E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W segmencie budynków produkcja sprzedana wzrosła o </w:t>
            </w:r>
            <w:r w:rsidR="00EA7734" w:rsidRPr="002756E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3,9</w:t>
            </w:r>
            <w:r w:rsidR="00622393" w:rsidRPr="002756E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%, natomiast w obszarze infrastrukturalnym wzrost wyniósł aż </w:t>
            </w:r>
            <w:r w:rsidR="00EA7734" w:rsidRPr="002756E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23,5</w:t>
            </w:r>
            <w:r w:rsidR="00622393" w:rsidRPr="002756E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%.</w:t>
            </w:r>
          </w:p>
          <w:p w14:paraId="7EAAE60D" w14:textId="77777777" w:rsidR="00622393" w:rsidRPr="002756E4" w:rsidRDefault="00622393" w:rsidP="0062239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tbl>
            <w:tblPr>
              <w:tblW w:w="69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1517"/>
              <w:gridCol w:w="1517"/>
              <w:gridCol w:w="1317"/>
            </w:tblGrid>
            <w:tr w:rsidR="00EA7734" w:rsidRPr="00EA7734" w14:paraId="37D8AA91" w14:textId="77777777" w:rsidTr="002756E4">
              <w:trPr>
                <w:trHeight w:val="401"/>
              </w:trPr>
              <w:tc>
                <w:tcPr>
                  <w:tcW w:w="2610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26767399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Sektor budownictwa</w:t>
                  </w:r>
                </w:p>
              </w:tc>
              <w:tc>
                <w:tcPr>
                  <w:tcW w:w="43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93D8309" w14:textId="77777777" w:rsidR="00EA7734" w:rsidRPr="00EA7734" w:rsidRDefault="00EA7734" w:rsidP="00EA77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Dane statystyczne</w:t>
                  </w:r>
                  <w:r w:rsidRPr="00EA7734">
                    <w:rPr>
                      <w:rFonts w:ascii="Tahoma" w:eastAsia="Times New Roman" w:hAnsi="Tahoma" w:cs="Tahoma"/>
                      <w:color w:val="000000"/>
                    </w:rPr>
                    <w:t xml:space="preserve"> (mld zł)</w:t>
                  </w:r>
                </w:p>
              </w:tc>
            </w:tr>
            <w:tr w:rsidR="00EA7734" w:rsidRPr="00EA7734" w14:paraId="30579951" w14:textId="77777777" w:rsidTr="002756E4">
              <w:trPr>
                <w:trHeight w:val="621"/>
              </w:trPr>
              <w:tc>
                <w:tcPr>
                  <w:tcW w:w="2610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E143C4B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3959C4E4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000000"/>
                    </w:rPr>
                    <w:t>1-3 Q 2023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3E328C8" w14:textId="77777777" w:rsidR="00EA7734" w:rsidRPr="00EA7734" w:rsidRDefault="00EA7734" w:rsidP="00EA77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000000"/>
                    </w:rPr>
                    <w:t>1-3 Q 2022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CA06535" w14:textId="77777777" w:rsidR="00EA7734" w:rsidRPr="00EA7734" w:rsidRDefault="00EA7734" w:rsidP="00EA77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EA7734" w:rsidRPr="00EA7734" w14:paraId="20391C0D" w14:textId="77777777" w:rsidTr="002756E4">
              <w:trPr>
                <w:trHeight w:val="759"/>
              </w:trPr>
              <w:tc>
                <w:tcPr>
                  <w:tcW w:w="2610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vAlign w:val="center"/>
                  <w:hideMark/>
                </w:tcPr>
                <w:p w14:paraId="2BA18408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Produkcja </w:t>
                  </w: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  <w:t>sprzedana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E52E4F2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107,0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D260109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94,5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602B07A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13,2%</w:t>
                  </w:r>
                </w:p>
              </w:tc>
            </w:tr>
            <w:tr w:rsidR="00EA7734" w:rsidRPr="00EA7734" w14:paraId="3120609D" w14:textId="77777777" w:rsidTr="002756E4">
              <w:trPr>
                <w:trHeight w:val="466"/>
              </w:trPr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9F5EF7F" w14:textId="77777777" w:rsidR="00EA7734" w:rsidRPr="00EA7734" w:rsidRDefault="00EA7734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Budynki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AF1ADA1" w14:textId="77777777" w:rsidR="00EA7734" w:rsidRPr="00EA7734" w:rsidRDefault="00EA7734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51,8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49EF92B" w14:textId="77777777" w:rsidR="00EA7734" w:rsidRPr="00EA7734" w:rsidRDefault="00EA7734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49,9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1C9ADE2" w14:textId="77777777" w:rsidR="00EA7734" w:rsidRPr="00EA7734" w:rsidRDefault="00EA7734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3,9%</w:t>
                  </w:r>
                </w:p>
              </w:tc>
            </w:tr>
            <w:tr w:rsidR="00EA7734" w:rsidRPr="00EA7734" w14:paraId="02A47B75" w14:textId="77777777" w:rsidTr="002756E4">
              <w:trPr>
                <w:trHeight w:val="328"/>
              </w:trPr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22732A4" w14:textId="5ECB429F" w:rsidR="00EA7734" w:rsidRPr="00EA7734" w:rsidRDefault="00D06E4C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U</w:t>
                  </w:r>
                  <w:r w:rsidR="00EA7734" w:rsidRPr="00EA7734">
                    <w:rPr>
                      <w:rFonts w:ascii="Tahoma" w:eastAsia="Times New Roman" w:hAnsi="Tahoma" w:cs="Tahoma"/>
                      <w:color w:val="404040"/>
                    </w:rPr>
                    <w:t>dział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4CE929E" w14:textId="77777777" w:rsidR="00EA7734" w:rsidRPr="00EA7734" w:rsidRDefault="00EA7734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48,5%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3DBBDD2" w14:textId="77777777" w:rsidR="00EA7734" w:rsidRPr="00EA7734" w:rsidRDefault="00EA7734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52,8%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00DF609" w14:textId="77777777" w:rsidR="00EA7734" w:rsidRPr="00EA7734" w:rsidRDefault="00EA7734" w:rsidP="00EA7734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-4,3% pp.</w:t>
                  </w:r>
                </w:p>
              </w:tc>
            </w:tr>
            <w:tr w:rsidR="00EA7734" w:rsidRPr="00EA7734" w14:paraId="5894BA4A" w14:textId="77777777" w:rsidTr="002756E4">
              <w:trPr>
                <w:trHeight w:val="466"/>
              </w:trPr>
              <w:tc>
                <w:tcPr>
                  <w:tcW w:w="2610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20F637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Inżynieria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A929D76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55,1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AF7DA1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44,7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8734115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23,5%</w:t>
                  </w:r>
                </w:p>
              </w:tc>
            </w:tr>
            <w:tr w:rsidR="00EA7734" w:rsidRPr="00EA7734" w14:paraId="6264F4DC" w14:textId="77777777" w:rsidTr="002756E4">
              <w:trPr>
                <w:trHeight w:val="379"/>
              </w:trPr>
              <w:tc>
                <w:tcPr>
                  <w:tcW w:w="261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CBB85CB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drogi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21089F94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21,4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62DEBAA5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15AB2988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30,2%</w:t>
                  </w:r>
                </w:p>
              </w:tc>
            </w:tr>
            <w:tr w:rsidR="00EA7734" w:rsidRPr="00EA7734" w14:paraId="6331C07F" w14:textId="77777777" w:rsidTr="002756E4">
              <w:trPr>
                <w:trHeight w:val="379"/>
              </w:trPr>
              <w:tc>
                <w:tcPr>
                  <w:tcW w:w="261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6128D70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koleje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20C8E2A6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5ABAF6E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3675E07C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EA7734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4,6%</w:t>
                  </w:r>
                </w:p>
              </w:tc>
            </w:tr>
            <w:tr w:rsidR="00EA7734" w:rsidRPr="00EA7734" w14:paraId="3AFF031F" w14:textId="77777777" w:rsidTr="002756E4">
              <w:trPr>
                <w:trHeight w:val="328"/>
              </w:trPr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6B2C4F9" w14:textId="28526421" w:rsidR="00EA7734" w:rsidRPr="00EA7734" w:rsidRDefault="00D06E4C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U</w:t>
                  </w:r>
                  <w:r w:rsidR="00EA7734" w:rsidRPr="00EA7734">
                    <w:rPr>
                      <w:rFonts w:ascii="Tahoma" w:eastAsia="Times New Roman" w:hAnsi="Tahoma" w:cs="Tahoma"/>
                      <w:color w:val="404040"/>
                    </w:rPr>
                    <w:t>dział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33B291A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51,5%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FA4771A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47,2%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7A042D" w14:textId="77777777" w:rsidR="00EA7734" w:rsidRPr="00EA7734" w:rsidRDefault="00EA7734" w:rsidP="00EA77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EA7734">
                    <w:rPr>
                      <w:rFonts w:ascii="Tahoma" w:eastAsia="Times New Roman" w:hAnsi="Tahoma" w:cs="Tahoma"/>
                      <w:color w:val="404040"/>
                    </w:rPr>
                    <w:t>4,3% pp.</w:t>
                  </w:r>
                </w:p>
              </w:tc>
            </w:tr>
          </w:tbl>
          <w:p w14:paraId="3E85F3A8" w14:textId="01241C01" w:rsidR="0080729F" w:rsidRPr="007C69A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79E36F62" w14:textId="3D9917E6" w:rsidR="009D0F56" w:rsidRPr="002756E4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B52D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Sprzedaż segmentu budowlanego Grupy Budimex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za pierwsze trzy kwartały </w:t>
            </w:r>
            <w:r w:rsidRPr="00B52D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 2023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wyniosła </w:t>
            </w:r>
            <w:r w:rsidRPr="00B52D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6 346 milionów złotych (+9,2% r/r), notując przy tym </w:t>
            </w:r>
            <w:r w:rsidRPr="00B52D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 xml:space="preserve">wzrost zarówno rentowności operacyjnej (z 6,1% do 6,7%), jak </w:t>
            </w:r>
            <w:r w:rsidRPr="00B52D1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  <w:t xml:space="preserve">i rentowności brutto (z 6,9% do 8,4%). </w:t>
            </w:r>
          </w:p>
          <w:p w14:paraId="2535044E" w14:textId="77777777" w:rsidR="009D0F56" w:rsidRPr="001C04E7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green"/>
              </w:rPr>
            </w:pPr>
          </w:p>
          <w:tbl>
            <w:tblPr>
              <w:tblW w:w="6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420"/>
              <w:gridCol w:w="1440"/>
              <w:gridCol w:w="1240"/>
            </w:tblGrid>
            <w:tr w:rsidR="009D0F56" w:rsidRPr="001C04E7" w14:paraId="226DE7B9" w14:textId="77777777" w:rsidTr="00322750">
              <w:trPr>
                <w:trHeight w:val="349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7DF2E7FE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highlight w:val="green"/>
                    </w:rPr>
                  </w:pPr>
                  <w:r w:rsidRPr="007B6D5C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budowlany</w:t>
                  </w:r>
                  <w:r w:rsidRPr="007B6D5C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zł.)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ABAFC4C" w14:textId="77777777" w:rsidR="009D0F56" w:rsidRPr="001C04E7" w:rsidRDefault="009D0F56" w:rsidP="009D0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highlight w:val="green"/>
                    </w:rPr>
                  </w:pPr>
                  <w:r w:rsidRPr="007B6D5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9D0F56" w:rsidRPr="001C04E7" w14:paraId="2BC4C86F" w14:textId="77777777" w:rsidTr="00322750">
              <w:trPr>
                <w:trHeight w:val="540"/>
              </w:trPr>
              <w:tc>
                <w:tcPr>
                  <w:tcW w:w="2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5F5E33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highlight w:val="green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EADBAFE" w14:textId="77777777" w:rsidR="009D0F56" w:rsidRPr="001C04E7" w:rsidRDefault="009D0F56" w:rsidP="009D0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1-3 Q 2023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9EB94D6" w14:textId="77777777" w:rsidR="009D0F56" w:rsidRPr="001C04E7" w:rsidRDefault="009D0F56" w:rsidP="009D0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1-3 Q 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0DB9CB9C" w14:textId="77777777" w:rsidR="009D0F56" w:rsidRPr="001C04E7" w:rsidRDefault="009D0F56" w:rsidP="009D0F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r/r</w:t>
                  </w:r>
                </w:p>
              </w:tc>
            </w:tr>
            <w:tr w:rsidR="009D0F56" w:rsidRPr="001C04E7" w14:paraId="2657F791" w14:textId="77777777" w:rsidTr="00322750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74A1CF9" w14:textId="77777777" w:rsidR="009D0F56" w:rsidRPr="00AB5C50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AB5C5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1463D59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6 346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EAC3E58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5 809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0E0ACF4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9,2%</w:t>
                  </w:r>
                </w:p>
              </w:tc>
            </w:tr>
            <w:tr w:rsidR="009D0F56" w:rsidRPr="001C04E7" w14:paraId="47AC3F9E" w14:textId="77777777" w:rsidTr="00322750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7C130DF" w14:textId="77777777" w:rsidR="009D0F56" w:rsidRPr="00AB5C50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AB5C5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97CA184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422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D4D423B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353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7F2C63F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19,8%</w:t>
                  </w:r>
                </w:p>
              </w:tc>
            </w:tr>
            <w:tr w:rsidR="009D0F56" w:rsidRPr="001C04E7" w14:paraId="7EA11CAA" w14:textId="77777777" w:rsidTr="00322750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6117D58" w14:textId="77777777" w:rsidR="009D0F56" w:rsidRPr="00AB5C50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AB5C50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80276DA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6,7%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19679E2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6,1%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CEDA7F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0,6% pp.</w:t>
                  </w:r>
                </w:p>
              </w:tc>
            </w:tr>
            <w:tr w:rsidR="009D0F56" w:rsidRPr="001C04E7" w14:paraId="4607BCBE" w14:textId="77777777" w:rsidTr="00322750">
              <w:trPr>
                <w:trHeight w:val="420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D5A07F" w14:textId="77777777" w:rsidR="009D0F56" w:rsidRPr="00AB5C50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AB5C5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F7AC9A1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532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49606BF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398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A8D9E89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33,6%</w:t>
                  </w:r>
                </w:p>
              </w:tc>
            </w:tr>
            <w:tr w:rsidR="009D0F56" w:rsidRPr="001C04E7" w14:paraId="2F426AFE" w14:textId="77777777" w:rsidTr="00322750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1E0B019" w14:textId="77777777" w:rsidR="009D0F56" w:rsidRPr="00AB5C50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AB5C50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3D07837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8,4%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A0943F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6,9%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E640C8E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1,5% pp.</w:t>
                  </w:r>
                </w:p>
              </w:tc>
            </w:tr>
            <w:tr w:rsidR="009D0F56" w:rsidRPr="001C04E7" w14:paraId="4CD7D3EE" w14:textId="77777777" w:rsidTr="00322750">
              <w:trPr>
                <w:trHeight w:val="503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220F7016" w14:textId="77777777" w:rsidR="009D0F56" w:rsidRPr="00AB5C50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AB5C5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Portfel zamówień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54BBF5A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12 037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F8C4DA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11 326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3A49AEA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6,3%</w:t>
                  </w:r>
                </w:p>
              </w:tc>
            </w:tr>
            <w:tr w:rsidR="009D0F56" w:rsidRPr="001C04E7" w14:paraId="1457AC09" w14:textId="77777777" w:rsidTr="00322750">
              <w:trPr>
                <w:trHeight w:val="503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EEA31E6" w14:textId="77777777" w:rsidR="009D0F56" w:rsidRPr="00AB5C50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AB5C5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Kontraktacja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988EF43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4 511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4FCBB6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4 609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146CDF4" w14:textId="77777777" w:rsidR="009D0F56" w:rsidRPr="001C04E7" w:rsidRDefault="009D0F56" w:rsidP="009D0F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-2,1%</w:t>
                  </w:r>
                </w:p>
              </w:tc>
            </w:tr>
          </w:tbl>
          <w:p w14:paraId="5F9D4304" w14:textId="77777777" w:rsidR="00FD252F" w:rsidRDefault="00FD252F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E02EBDD" w14:textId="0E098E5D" w:rsidR="009D0F56" w:rsidRPr="006764CF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764C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Skala zrealizowanych przychodów ze sprzedaży 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ciągu </w:t>
            </w:r>
            <w:r w:rsidRPr="006764C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pierwszych dziewięciu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miesięcy </w:t>
            </w:r>
            <w:r w:rsidRPr="006764C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 2023 w segmencie budowlanym była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zauważalnie </w:t>
            </w:r>
            <w:r w:rsidRPr="006764C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wyższa niż w analogicznym okresie roku poprzedniego. 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Wysoki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poziom 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>portfel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zamówień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oraz jego dywersyfikacja w połączeniu ze 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>sprzyjając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ymi 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>warunk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ami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pogodow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ymi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pozwoliły na zwiększenie przychodów o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ponad 9,2</w:t>
            </w:r>
            <w:r w:rsidRPr="006764C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%. </w:t>
            </w:r>
            <w:r w:rsidR="00A113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Wzrost sprzedaży odnotowaliśmy w większości obszarów działalności </w:t>
            </w:r>
            <w:r w:rsidR="00DF1B7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budowlanej </w:t>
            </w:r>
            <w:r w:rsidR="00A113AD">
              <w:rPr>
                <w:rFonts w:ascii="Tahoma" w:eastAsia="Tahoma" w:hAnsi="Tahoma" w:cs="Tahoma"/>
                <w:color w:val="808080"/>
                <w:sz w:val="18"/>
                <w:szCs w:val="18"/>
              </w:rPr>
              <w:t>na rynku krajowym. Sprzedaż Grupy Budimex wspomagana była również</w:t>
            </w:r>
            <w:r w:rsidR="00152702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przez rozpoznanie pierwszych istotnych przychodów z działalności na rynkach zagranicznych. </w:t>
            </w:r>
          </w:p>
          <w:p w14:paraId="211F2B1C" w14:textId="77777777" w:rsidR="009D0F56" w:rsidRPr="001C04E7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43C58B47" w14:textId="3EF1C104" w:rsidR="009D0F56" w:rsidRPr="00690532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9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operacyjna segmentu budowlanego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omawianym okresie </w:t>
            </w:r>
            <w:r w:rsidRPr="0069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wyniosła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</w:t>
            </w:r>
            <w:r w:rsidRPr="0069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</w:t>
            </w:r>
            <w:r w:rsidRPr="0069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 i była wyższa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69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 0,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</w:t>
            </w:r>
            <w:r w:rsidRPr="0069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punktu procentowego w porównaniu do analogicznego okresu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ubiegłego roku</w:t>
            </w:r>
            <w:r w:rsidRPr="0069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0C7D0A89" w14:textId="77777777" w:rsidR="009D0F56" w:rsidRPr="00690532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409DC92" w14:textId="1E99C52C" w:rsidR="009D0F56" w:rsidRPr="00B93A81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skutek spowolnienia </w:t>
            </w:r>
            <w:r w:rsidRPr="00B93A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obserwowane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go</w:t>
            </w:r>
            <w:r w:rsidRPr="00B93A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budownictwie mieszkaniowym,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poprawie uległa </w:t>
            </w:r>
            <w:r w:rsidRPr="00B93A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dostępność podwykonawców w obszarze budownictwa kubaturowego, co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często przekładało się </w:t>
            </w:r>
            <w:r w:rsidR="00981B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</w:t>
            </w:r>
            <w:r w:rsidRPr="00B93A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oferowane przez nich ceny. Jednocześnie efekty wzrostów cen materiałów budowlanych oraz robocizny, obserwowanych od momentu złożenia oferty do chwili rozpoczęcia prac budowlanych (w przypadku kontraktów realizowanych w formule „Projektuj i buduj” jest to zazwyczaj ponad rok)</w:t>
            </w:r>
            <w:r w:rsidR="00F73AA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B93A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zostały częściowo zaabsorbowane dzięki </w:t>
            </w:r>
            <w:r w:rsidR="0015270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wprowadzeniu mechanizmów</w:t>
            </w:r>
            <w:r w:rsidRPr="00B93A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waloryzacji na kontraktach budowlanych realizowanych dla publicznych zamawiających. </w:t>
            </w:r>
          </w:p>
          <w:p w14:paraId="795FACB8" w14:textId="77777777" w:rsidR="009D0F56" w:rsidRPr="001C04E7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66720D52" w14:textId="42A58222" w:rsidR="009D0F56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Rentowność brutto segmentu budowlanego w omawianym okresie wyniosła 8,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i była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1,5 punktu procentowego 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wyższa niż 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analogicznym okresie 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2022 roku, kiedy wyniosła 6,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9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okresie pierwszych trzech kwartałów 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2023 roku, poza wzrostem rentowności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kontraktów 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poziomie operacyjnym, rentowność na poziomie 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zysku brutto była wspierana przez pozytywny wynik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uzyskany 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działalności finansowej z</w:t>
            </w:r>
            <w:r w:rsidR="00214B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8A11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tytułu uzyskanych odsetek od depozytów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 </w:t>
            </w:r>
          </w:p>
          <w:p w14:paraId="309B9276" w14:textId="77777777" w:rsidR="002756E4" w:rsidRDefault="002756E4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33B742A" w14:textId="1E8C83CE" w:rsidR="002756E4" w:rsidRPr="002756E4" w:rsidRDefault="002756E4" w:rsidP="009D0F56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2756E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Nowe kontrakty i portfel zamówień</w:t>
            </w:r>
          </w:p>
          <w:p w14:paraId="4075F402" w14:textId="77777777" w:rsidR="009D0F56" w:rsidRPr="004C7FFA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81EB5D0" w14:textId="2D7D975C" w:rsidR="009D0F56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okresie trzech kwartałów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2023 roku pozyskaliśmy kontrakty o wartości ponad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>4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,5 miliarda złotych. Znalazły się wśród nich takie inwestycje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jak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: Obwodnica Zabierzowa w ciągu DK 79, Linia kolejowa 104 Chabówka – Rabka Zaryte, czy rozbudowa Opery No</w:t>
            </w:r>
            <w:r w:rsid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 w Bydgoszczy.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Dodatkowo w dniu 13 </w:t>
            </w:r>
            <w:r w:rsidR="0015270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października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2023</w:t>
            </w:r>
            <w:r w:rsidR="007D42C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został podpisany istotny kontrakt kolejowy na </w:t>
            </w:r>
            <w:r w:rsidRPr="00221F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realizację kompleksowych robót budowlanych obejmujących infrastrukturę kolejową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</w:t>
            </w:r>
            <w:r w:rsidRPr="00221F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drogową ‎na ‎odcinku Tychy – Most Wisła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wartości ponad 900 milionów złotych. </w:t>
            </w:r>
          </w:p>
          <w:p w14:paraId="1D31B22C" w14:textId="77777777" w:rsidR="009D0F56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68D1203" w14:textId="64F1D294" w:rsidR="009D0F56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Portfel zamówień Grupy Budimex na koniec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września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2023 roku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przekraczał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12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miliardów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złotych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co zabezpiecza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front prac na kolejne dwa lata.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Intensyfikacja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prac nad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pozyskiwaniem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nowych ‎projektów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kraju i za granicą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sprawiła, że ‎wartość projektów oczekujących na podpisanie, oraz takich, gdzie oferta Budimex lub spółek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 Grupy 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została oceniona najwyżej,</w:t>
            </w:r>
            <w:r w:rsidR="00D42ACC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lub zajmuje najlepszą pozycję przetargową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to aktualnie </w:t>
            </w:r>
            <w:r w:rsidR="00E35E1A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ponad </w:t>
            </w:r>
            <w:r w:rsidR="009F1CBA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12 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miliardów złotych</w:t>
            </w:r>
            <w:r w:rsidR="00DD6379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 czego ponad </w:t>
            </w:r>
            <w:r w:rsidR="00E35E1A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</w:t>
            </w:r>
            <w:r w:rsidR="00E35E1A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 przypadało na kontrakty na rynkach zagranicznych – czeskim,  słowackim oraz łotewskim. W dniu 31 </w:t>
            </w:r>
            <w:r w:rsidR="00152702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sierpnia 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2023 </w:t>
            </w:r>
            <w:r w:rsidR="00DF1B7A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roku</w:t>
            </w:r>
            <w:r w:rsidR="00DF1B7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SA otrzymał informację</w:t>
            </w:r>
            <w:r w:rsidR="00E35E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wyborze oferty konsorcjum </w:t>
            </w:r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Eiffage Genie </w:t>
            </w:r>
            <w:proofErr w:type="spellStart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Civil</w:t>
            </w:r>
            <w:proofErr w:type="spellEnd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Rizzani</w:t>
            </w:r>
            <w:proofErr w:type="spellEnd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de </w:t>
            </w:r>
            <w:proofErr w:type="spellStart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Eccher</w:t>
            </w:r>
            <w:proofErr w:type="spellEnd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S.p.A</w:t>
            </w:r>
            <w:proofErr w:type="spellEnd"/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</w:t>
            </w:r>
            <w:r w:rsidRPr="004814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 S.A.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jako najkorzystniejszej w postępowaniu przetargowym na </w:t>
            </w:r>
            <w:r w:rsidR="0015270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budowę głównej linii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kolejowej „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Rail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Baltica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” na Łotwie. </w:t>
            </w:r>
            <w:r w:rsidRPr="004E0E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Budżet całego kontraktu wynosi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blisko </w:t>
            </w:r>
            <w:r w:rsidRPr="004E0E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,7 mld </w:t>
            </w:r>
            <w:r w:rsidRPr="004E0E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EUR netto, przy czym szacunkowa ‎wartość pierwszego etapu robót wynosi ok. 230 mln EUR netto. ‎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SA posiada 30% udziału w ww. konsorcjum</w:t>
            </w:r>
            <w:r w:rsidR="008816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perspektywie nadchodzących kwartałów powinno się to przełożyć na utrzymanie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wysokiego</w:t>
            </w:r>
            <w:r w:rsidR="00E35E1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zdywersyfikowanego geograficznie </w:t>
            </w:r>
            <w:r w:rsidRPr="004C7FF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portfela zamówień.</w:t>
            </w:r>
          </w:p>
          <w:p w14:paraId="3CF8B044" w14:textId="77777777" w:rsidR="009D0F56" w:rsidRPr="001C04E7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2B8EFCDE" w14:textId="551554DF" w:rsidR="009D0F56" w:rsidRDefault="009D0F56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Grupa Budimex zakończyła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trzeci kwartał 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2023 rok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u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 </w:t>
            </w:r>
            <w:r w:rsidR="00DF1B7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wysoką 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pozycją gotówkową netto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, przekraczającą 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2,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Pr="000162F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złotych. </w:t>
            </w:r>
            <w:r w:rsidRPr="00016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czerwcu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15 rok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z rzędu wypłaciliśmy dywidendę </w:t>
            </w:r>
            <w:r w:rsidRPr="000162F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wysokości 459 milionów złotych, co stanowi 17,99 zł w przeliczeniu na jedną akcję.</w:t>
            </w:r>
            <w:r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Stabilna marżowość osiągana na kontraktach budowlanych w ostatnich kwartałach, połączona z efektywnym zarzadzaniem kapitałem obrotowym oraz skrupulatną kontrolą kosztów stałych, pozwala Grupie Budimex na utrzymywanie bezpiecznego poziomu środków pieniężnych, które w przyszłości mogą zostać zainwestowanie w nowe obszary działalności.</w:t>
            </w:r>
          </w:p>
          <w:p w14:paraId="24C15B33" w14:textId="77777777" w:rsidR="00ED37CE" w:rsidRDefault="00ED37CE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8BB4368" w14:textId="7D71CA49" w:rsidR="00ED37CE" w:rsidRDefault="00ED37CE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Oceniamy, że decyzje</w:t>
            </w:r>
            <w:r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</w:t>
            </w: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o dywersyfikacji segmentowej a także ekspansja na rynki zagraniczne to właściwe kierunki, aktualnie ponad 60% kontraktów w poczekalni to zlecenia na rynkach zagranicznych. Nasza firma dysponuje odpowiednim potencjałem i</w:t>
            </w:r>
            <w:r w:rsidR="00523C63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 </w:t>
            </w: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doświadczeniem, aby realizować złożone kontrakty w Polsce i za granicą – to dla nas </w:t>
            </w: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lastRenderedPageBreak/>
              <w:t>szansa</w:t>
            </w:r>
            <w:r w:rsidR="002C635D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</w:t>
            </w: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na wzmocnienie pozycji Grupy Budimex jako wiodącej firmy budowlanej w</w:t>
            </w:r>
            <w:r w:rsidR="00523C63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 </w:t>
            </w: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obszarze Europy Środkowo-Wschodniej. </w:t>
            </w:r>
          </w:p>
          <w:p w14:paraId="6E3E8F44" w14:textId="77777777" w:rsidR="003542F5" w:rsidRDefault="003542F5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</w:p>
          <w:p w14:paraId="524DD9F6" w14:textId="604FB794" w:rsidR="003542F5" w:rsidRPr="003542F5" w:rsidRDefault="003542F5" w:rsidP="00ED37CE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3542F5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Energia i elektromobilność</w:t>
            </w:r>
          </w:p>
          <w:p w14:paraId="0315BC82" w14:textId="77777777" w:rsidR="00ED37CE" w:rsidRPr="00D17042" w:rsidRDefault="00ED37CE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</w:p>
          <w:p w14:paraId="73ED84E4" w14:textId="77777777" w:rsidR="00ED37CE" w:rsidRDefault="00ED37CE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Kontynuujemy obrany kierunek rozwoju w obszarze inwestycji w energię odnawialną. We wrześniu nasza pierwsza farma wiatrowa rozpoczęła produkcję zielonej energii. W  nowo powstałej spółce BXF Energia planujemy w perspektywie 4-5 lat zbudować  portfel projektów OZE o mocy ok. 500 MW z wiatru i słońca. Aktualnie analizujemy projekty na różnych etapach zaawansowania o mocy ok. 800 MW. </w:t>
            </w:r>
          </w:p>
          <w:p w14:paraId="7A100B79" w14:textId="77777777" w:rsidR="00ED37CE" w:rsidRPr="00D17042" w:rsidRDefault="00ED37CE" w:rsidP="00ED3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</w:pPr>
          </w:p>
          <w:p w14:paraId="3977E28B" w14:textId="116A4AB5" w:rsidR="00ED37CE" w:rsidRPr="00D06E4C" w:rsidRDefault="00ED37CE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strike/>
                <w:noProof/>
                <w:color w:val="808080"/>
                <w:sz w:val="18"/>
                <w:szCs w:val="18"/>
              </w:rPr>
            </w:pP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Sukcesywnie budujemy nasz potencjał w obszarze elektromobilności. Włączamy się w</w:t>
            </w:r>
            <w:r w:rsidR="00BB1B86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 </w:t>
            </w: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rozwój krajowej infrastruktury ładowania pojazdów elektrycznych. Do końca roku spółka Budimex Mobility będzie posiadać 160 ogólnodostępnych ładowarek</w:t>
            </w:r>
            <w:r w:rsidR="002C635D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>,</w:t>
            </w:r>
            <w:r w:rsidRPr="00D17042">
              <w:rPr>
                <w:rFonts w:ascii="Tahoma" w:eastAsia="Tahoma" w:hAnsi="Tahoma" w:cs="Tahoma"/>
                <w:bCs/>
                <w:noProof/>
                <w:color w:val="808080"/>
                <w:sz w:val="18"/>
                <w:szCs w:val="18"/>
              </w:rPr>
              <w:t xml:space="preserve"> a wewnętrzne plany zakładają 230 ładowarek na koniec 2024 roku</w:t>
            </w:r>
            <w:r w:rsidRPr="00D06E4C">
              <w:rPr>
                <w:rFonts w:ascii="Tahoma" w:eastAsia="Tahoma" w:hAnsi="Tahoma" w:cs="Tahoma"/>
                <w:bCs/>
                <w:strike/>
                <w:noProof/>
                <w:color w:val="808080"/>
                <w:sz w:val="18"/>
                <w:szCs w:val="18"/>
              </w:rPr>
              <w:t xml:space="preserve">. </w:t>
            </w:r>
          </w:p>
          <w:p w14:paraId="211870B9" w14:textId="77777777" w:rsidR="00FD252F" w:rsidRPr="00080EA6" w:rsidRDefault="00FD252F" w:rsidP="009D0F5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6BF7E76" w14:textId="3EFAD2D4" w:rsidR="00FD252F" w:rsidRDefault="0001727E" w:rsidP="00D4399C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1D4924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Grupy FBSerwis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Grupy FBSerwis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2D0D72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Po trzech kwartałach</w:t>
            </w:r>
            <w:r w:rsidR="005539C6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242A3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Grupa </w:t>
            </w:r>
            <w:r w:rsidR="00770099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FBSerwis</w:t>
            </w:r>
            <w:r w:rsidR="00C93FA1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odnotowała wzost </w:t>
            </w:r>
            <w:r w:rsidR="00C93FA1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przychodów ze sprzedaży 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o </w:t>
            </w:r>
            <w:r w:rsidR="002D0D72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93 </w:t>
            </w:r>
            <w:r w:rsidR="00C96A98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miliony 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złotych </w:t>
            </w:r>
            <w:r w:rsidR="00C93FA1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przy zachowaniu dobrej rentowności</w:t>
            </w:r>
            <w:r w:rsidR="009C59A0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.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Zysk brutto wyniósł </w:t>
            </w:r>
            <w:r w:rsidR="002D0D72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64,5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milion</w:t>
            </w:r>
            <w:r w:rsidR="0092398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ów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złotych w porównaniu do </w:t>
            </w:r>
            <w:r w:rsidR="002D0D72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65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milionów złotych w</w:t>
            </w:r>
            <w:r w:rsidR="00A11950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 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202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roku.</w:t>
            </w:r>
          </w:p>
          <w:p w14:paraId="307553FE" w14:textId="32AFF2D3" w:rsidR="00D4399C" w:rsidRPr="001D4924" w:rsidRDefault="00D4399C" w:rsidP="00D4399C">
            <w:pPr>
              <w:spacing w:line="360" w:lineRule="auto"/>
              <w:jc w:val="both"/>
              <w:rPr>
                <w:rStyle w:val="Odwoaniedokomentarza"/>
                <w:highlight w:val="yellow"/>
              </w:rPr>
            </w:pPr>
          </w:p>
          <w:tbl>
            <w:tblPr>
              <w:tblW w:w="6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420"/>
              <w:gridCol w:w="1440"/>
              <w:gridCol w:w="1240"/>
            </w:tblGrid>
            <w:tr w:rsidR="005B4DB0" w:rsidRPr="005B4DB0" w14:paraId="4438AAC3" w14:textId="77777777" w:rsidTr="005B4DB0">
              <w:trPr>
                <w:trHeight w:val="349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21D0DD3A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bookmarkStart w:id="1" w:name="_Hlk77692426"/>
                  <w:bookmarkStart w:id="2" w:name="_Hlk100758814"/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usługowy</w:t>
                  </w: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4C3BD0E" w14:textId="77777777" w:rsidR="005B4DB0" w:rsidRPr="005B4DB0" w:rsidRDefault="005B4DB0" w:rsidP="005B4D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5B4DB0" w:rsidRPr="005B4DB0" w14:paraId="3F79DAA2" w14:textId="77777777" w:rsidTr="005B4DB0">
              <w:trPr>
                <w:trHeight w:val="525"/>
              </w:trPr>
              <w:tc>
                <w:tcPr>
                  <w:tcW w:w="2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BCB2A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2ADD94E" w14:textId="77777777" w:rsidR="005B4DB0" w:rsidRPr="005B4DB0" w:rsidRDefault="005B4DB0" w:rsidP="005B4D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000000"/>
                    </w:rPr>
                    <w:t>1-3 Q 2023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12767761" w14:textId="77777777" w:rsidR="005B4DB0" w:rsidRPr="005B4DB0" w:rsidRDefault="005B4DB0" w:rsidP="005B4D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000000"/>
                    </w:rPr>
                    <w:t>1-3 Q 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5CE8965" w14:textId="77777777" w:rsidR="005B4DB0" w:rsidRPr="005B4DB0" w:rsidRDefault="005B4DB0" w:rsidP="005B4D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5B4DB0" w:rsidRPr="005B4DB0" w14:paraId="5B786D70" w14:textId="77777777" w:rsidTr="005B4DB0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0C544C1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AEB7A06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6B5372E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576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112DB6B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16,4%</w:t>
                  </w:r>
                </w:p>
              </w:tc>
            </w:tr>
            <w:tr w:rsidR="005B4DB0" w:rsidRPr="005B4DB0" w14:paraId="604DFCD4" w14:textId="77777777" w:rsidTr="005B4DB0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60B4C29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759F01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61C899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64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B596A40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-7,4%</w:t>
                  </w:r>
                </w:p>
              </w:tc>
            </w:tr>
            <w:tr w:rsidR="005B4DB0" w:rsidRPr="005B4DB0" w14:paraId="1F3BB682" w14:textId="77777777" w:rsidTr="005B4DB0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E93A4B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06E0A97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8,9%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899174D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11,2%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41FB3A6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-2,3% pp.</w:t>
                  </w:r>
                </w:p>
              </w:tc>
            </w:tr>
            <w:tr w:rsidR="005B4DB0" w:rsidRPr="005B4DB0" w14:paraId="2CF1D38C" w14:textId="77777777" w:rsidTr="005B4DB0">
              <w:trPr>
                <w:trHeight w:val="420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0D54C7A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1E3C774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A676C88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CBB6A82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-7,8%</w:t>
                  </w:r>
                </w:p>
              </w:tc>
            </w:tr>
            <w:tr w:rsidR="005B4DB0" w:rsidRPr="005B4DB0" w14:paraId="46F84324" w14:textId="77777777" w:rsidTr="005B4DB0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44D5EED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73F855C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9,5%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AEBFD68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12,0%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65303B" w14:textId="77777777" w:rsidR="005B4DB0" w:rsidRPr="005B4DB0" w:rsidRDefault="005B4DB0" w:rsidP="005B4DB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5B4DB0">
                    <w:rPr>
                      <w:rFonts w:ascii="Tahoma" w:eastAsia="Times New Roman" w:hAnsi="Tahoma" w:cs="Tahoma"/>
                      <w:color w:val="404040"/>
                    </w:rPr>
                    <w:t>-2,5% pp.</w:t>
                  </w:r>
                </w:p>
              </w:tc>
            </w:tr>
          </w:tbl>
          <w:p w14:paraId="3C880982" w14:textId="63BC3EB2" w:rsidR="00277101" w:rsidRPr="001D4924" w:rsidRDefault="00277101" w:rsidP="00277101">
            <w:pPr>
              <w:rPr>
                <w:highlight w:val="yellow"/>
              </w:rPr>
            </w:pPr>
          </w:p>
          <w:p w14:paraId="7CF89E16" w14:textId="1E5024AF" w:rsidR="004E6EA9" w:rsidRDefault="00D74729" w:rsidP="004E6E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3" w:name="_Hlk140234412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</w:t>
            </w:r>
            <w:proofErr w:type="spellStart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będącej kluczowym aktywem w ramach segmentu usługowego (wyniki części usługowej obejmują również działalności </w:t>
            </w:r>
            <w:r w:rsidR="00C96A9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spółek z obszaru OZE oraz</w:t>
            </w:r>
            <w:r w:rsidR="007760E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Parking Wrocław)</w:t>
            </w:r>
            <w:r w:rsidR="001C1C4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wyniosły </w:t>
            </w:r>
            <w:r w:rsidR="005B4DB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665,5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i były </w:t>
            </w:r>
            <w:r w:rsidR="00CC47BA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6073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16,2</w:t>
            </w:r>
            <w:r w:rsidR="00CC47BA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wyższe w porównaniu 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analogicznego okresu roku poprzedniego.</w:t>
            </w:r>
            <w:r w:rsidR="003615FB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bookmarkStart w:id="4" w:name="_Hlk148344713"/>
            <w:r w:rsidR="004E6EA9" w:rsidRPr="004E6E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Wzrost wolumenu sprzedaży został osiągnięty w każdym z segmentów działalności oraz był wyższy niż nasze wewnętrzne plany. </w:t>
            </w:r>
          </w:p>
          <w:p w14:paraId="1CE8DDAA" w14:textId="68D5A89A" w:rsidR="00D74729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18"/>
                <w:szCs w:val="18"/>
                <w:highlight w:val="yellow"/>
              </w:rPr>
            </w:pPr>
          </w:p>
          <w:p w14:paraId="328FCB95" w14:textId="77777777" w:rsidR="00D97058" w:rsidRDefault="00D97058" w:rsidP="00D9705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</w:pPr>
            <w:r w:rsidRPr="0037731B"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>Działania społeczne i nagrody</w:t>
            </w:r>
          </w:p>
          <w:p w14:paraId="5181E361" w14:textId="77777777" w:rsidR="00D97058" w:rsidRPr="0037731B" w:rsidRDefault="00D97058" w:rsidP="00D9705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</w:pPr>
          </w:p>
          <w:p w14:paraId="4C007F2E" w14:textId="258FB468" w:rsidR="001E6E9D" w:rsidRDefault="00D97058" w:rsidP="00D970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Stworzyliśmy nową salę edukacyjną </w:t>
            </w:r>
            <w:r w:rsidRPr="003442BC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Technikum Energetyczne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go</w:t>
            </w:r>
            <w:r w:rsidRPr="003442BC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w Bełchatowie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.</w:t>
            </w:r>
            <w:r w:rsidR="001E6E9D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To nagroda w k</w:t>
            </w:r>
            <w:r w:rsidRPr="0037731B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onkurs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ie</w:t>
            </w:r>
            <w:r w:rsidRPr="0037731B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na najlepszy projekt CSR w ramach akcji „Praktyka, która z Tobą zostanie”, która jest inicjatywą Budimeksu</w:t>
            </w:r>
            <w:r w:rsidR="002C635D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realizowaną</w:t>
            </w:r>
            <w:r w:rsidRPr="0037731B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we współpracy</w:t>
            </w:r>
            <w:r w:rsidR="002C635D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37731B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z Fundacją </w:t>
            </w:r>
            <w:r w:rsidRPr="0037731B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lastRenderedPageBreak/>
              <w:t xml:space="preserve">Zwolnieni z Teorii. Zwycięzcy - grupa uczniów z Technikum Energetycznego w Bełchatowie - zdecydowała się wykorzystać nabyte w szkole umiejętności budowlane i przeprowadziła renowację mieszkania dla rodziny z Ukrainy. 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Wspieraliśmy akcję Drugie Śniadanie skierowane do pierwszaków szkół podstawowych w Ełku. </w:t>
            </w:r>
          </w:p>
          <w:p w14:paraId="14652F46" w14:textId="77777777" w:rsidR="001E6E9D" w:rsidRDefault="001E6E9D" w:rsidP="00D970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</w:pPr>
          </w:p>
          <w:p w14:paraId="4456FDB3" w14:textId="394B2F5F" w:rsidR="00D97058" w:rsidRDefault="00D97058" w:rsidP="00D970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Ponad 20 wspólnot mieszkaniowych i spółdzielni włączyło się w drugą edycję programu Przystanek Zieleń w Warszawie. </w:t>
            </w:r>
            <w:r w:rsidRPr="00316562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Budimex kontynuuje program praktyk zawodowych dla uczniów i uczennic ‎techników budowlanych. W 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tegorocznej edycji </w:t>
            </w:r>
            <w:r w:rsidRPr="00316562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wzięło udział 40 praktykantów, kształcących się w ‎klasach budowlanych i specjalizacjach pokrewnych. Program „Ucz się i buduj praktykę” ma na celu ‎rozwój umiejętności młodych adeptów budownictwa, a także wsparcie w kształceniu ‎przyszłych specjalistów.</w:t>
            </w:r>
          </w:p>
          <w:p w14:paraId="584F90C5" w14:textId="77777777" w:rsidR="00D97058" w:rsidRDefault="00D97058" w:rsidP="00D9705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</w:pPr>
          </w:p>
          <w:p w14:paraId="2DED5848" w14:textId="71AB0B8A" w:rsidR="00D97058" w:rsidRPr="002756E4" w:rsidRDefault="00D97058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</w:pPr>
            <w:r w:rsidRPr="0037731B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Nasze budowy zdobyły prestiżowe nagrody.</w:t>
            </w:r>
            <w:r>
              <w:t xml:space="preserve"> </w:t>
            </w:r>
            <w:r w:rsidRPr="00D01D4A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Modernizacja Planetarium w Chorzowie otrzymała tytuł Modernizacji Roku 2023 w 27. edycji konkursu Modernizacja Roku – Budowa XXI wieku. Kontrakt realizowany przez Budimex w latach 2019 – 2022 został oceniony najwyżej przez jury w kategorii obiektów użyteczności publicznej. Do konkursu zgłoszonych zostało ponad 500 inwestycji. Nagrodzono tylko 20 najlepszych z nich.</w:t>
            </w:r>
            <w:r>
              <w:t xml:space="preserve"> </w:t>
            </w:r>
            <w:r w:rsidRPr="00316562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Budimex wraca z 2 nagrodami z tegorocznej edycji konkursu „Budowa Roku”, organizowanego przez Polski Związek Inżynierów i Techników Budownictwa. ‎Nagrodzone 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Oskarami Budowlanymi </w:t>
            </w:r>
            <w:r w:rsidRPr="00316562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inwestycje to budowa Trasy Łagiewnickiej w</w:t>
            </w:r>
            <w:r w:rsidR="00D66BC0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 </w:t>
            </w:r>
            <w:r w:rsidRPr="00316562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Krakowie oraz modernizacja Instytutu Techniki Cieplnej Politechniki Warszawskiej w</w:t>
            </w:r>
            <w:r w:rsidR="00D66BC0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 </w:t>
            </w:r>
            <w:r w:rsidRPr="00316562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 Warszawie</w:t>
            </w:r>
            <w:r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>.</w:t>
            </w:r>
          </w:p>
          <w:bookmarkEnd w:id="1"/>
          <w:bookmarkEnd w:id="2"/>
          <w:bookmarkEnd w:id="3"/>
          <w:bookmarkEnd w:id="4"/>
          <w:p w14:paraId="78B44991" w14:textId="77777777" w:rsidR="00815619" w:rsidRPr="006073ED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0000"/>
                <w:sz w:val="18"/>
                <w:szCs w:val="18"/>
                <w:highlight w:val="yellow"/>
              </w:rPr>
            </w:pPr>
          </w:p>
          <w:p w14:paraId="7F73EAFE" w14:textId="77777777" w:rsidR="00C96A98" w:rsidRPr="00C51182" w:rsidRDefault="00C96A98" w:rsidP="00C96A9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C5118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Perspektywy rynkowe</w:t>
            </w:r>
          </w:p>
          <w:p w14:paraId="1D0B05AA" w14:textId="77777777" w:rsidR="00C96A98" w:rsidRPr="00C51182" w:rsidRDefault="00C96A98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AE51A1B" w14:textId="1F94DBC1" w:rsidR="00C96A98" w:rsidRPr="00C51182" w:rsidRDefault="00C96A98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Aktualny portfel zamówień Grupy Budimex w pełni zabezpiecza front robót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kolejne kwartały. Mając na uwadze rekordowy poziom projektów oczekujących na podpisanie jesteśmy spokojni o poziom wykorzystania naszych mocy produkcyjnych </w:t>
            </w:r>
            <w:r w:rsidR="00F0217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perspektywie najbliższych 2</w:t>
            </w:r>
            <w:r w:rsidR="00255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-3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lat.</w:t>
            </w:r>
          </w:p>
          <w:p w14:paraId="15C6CF25" w14:textId="77777777" w:rsidR="00F0217B" w:rsidRDefault="00F0217B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227655C" w14:textId="547C0309" w:rsidR="00C96A98" w:rsidRDefault="00C96A98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Łączna wartość projektów oczekujących na 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podpisanie to </w:t>
            </w:r>
            <w:r w:rsidR="00E73BA4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ponad </w:t>
            </w:r>
            <w:r w:rsidR="00853843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12 </w:t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miliardów złotych – przy czym ponad połowa tej wartości dotyczy kontraktów z obszaru kolejowego, </w:t>
            </w:r>
            <w:r w:rsidR="00F0217B"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tym zlecenia na budowę głównej linii </w:t>
            </w:r>
            <w:proofErr w:type="spellStart"/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Rail</w:t>
            </w:r>
            <w:proofErr w:type="spellEnd"/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Baltica</w:t>
            </w:r>
            <w:proofErr w:type="spellEnd"/>
            <w:r w:rsidRPr="00D06E4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Łotwie. Oceniamy, że decyzje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0217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dywersyfikacj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segmentow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ej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 także ekspansja na rynki zagraniczne to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właściwe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kierunki,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aktualnie ponad 60% kontraktów w poczekalni to zlecenia na rynkach zagranicznych.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Mamy odpowiedni sprzęt, ludzi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kapitał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doświadczenie, aby realizować tak złożone kontrakty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Polsce i za granicą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– to dla nas szansa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wzmocnienie pozycji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Grupy Budimex jako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wiodącej firmy budowlanej w obszarze Europy Środkowo-Wschodniej. </w:t>
            </w:r>
          </w:p>
          <w:p w14:paraId="641ABCF8" w14:textId="77777777" w:rsidR="00F0217B" w:rsidRDefault="00F0217B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DA2210A" w14:textId="1508B5A7" w:rsidR="0095225C" w:rsidRDefault="00C96A98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rynku lokalnym nieustannie obserwujemy agresywną walkę o zlecenia zarówno </w:t>
            </w:r>
            <w:r w:rsidR="00F0217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w obszarze drogowym</w:t>
            </w:r>
            <w:r w:rsidR="00F0217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kolejowym</w:t>
            </w:r>
            <w:r w:rsidR="002C63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jak i kubaturowym. Z jednej strony jest to konsekwencja niższej podaży przetargów, z drugiej obserwujemy zaostrzenie poziomu konkurencji ze strony podmiotów zagranicznych.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Spodziewamy się, że w perspektywie kilku kwartałów konsekwencją agresywnej polityki cenowej konkurentów będzie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dalsza </w:t>
            </w:r>
            <w:r w:rsidRPr="00C5118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presja na marże w branży.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Startując w przetargach poza Polską najczęściej musimy przejść proces certyfikacji – chcielibyśmy mieć poczucie, że firmy budowlane z zagranicy są weryfikowane i certyfikowane w Polsce tak samo jak Budimex w krajach ościennych.</w:t>
            </w:r>
          </w:p>
          <w:p w14:paraId="66DAEA20" w14:textId="77777777" w:rsidR="0095225C" w:rsidRDefault="0095225C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3165B32" w14:textId="77777777" w:rsidR="00F0217B" w:rsidRDefault="00F0217B" w:rsidP="00C96A9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4745126" w14:textId="77777777" w:rsidR="002E2815" w:rsidRPr="001C04E7" w:rsidRDefault="002E2815" w:rsidP="002E281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18"/>
                <w:szCs w:val="18"/>
              </w:rPr>
            </w:pPr>
          </w:p>
          <w:p w14:paraId="44BE80C7" w14:textId="75187DB9" w:rsidR="00DE4D7D" w:rsidRPr="00FC43CA" w:rsidRDefault="00DE4D7D" w:rsidP="00212FA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B5F2F21" w14:textId="2DED115D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FC43CA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0823F3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3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0823F3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4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2398E" w14:textId="77777777" w:rsidR="000823F3" w:rsidRDefault="000823F3">
      <w:pPr>
        <w:spacing w:after="0" w:line="240" w:lineRule="auto"/>
      </w:pPr>
      <w:r>
        <w:separator/>
      </w:r>
    </w:p>
  </w:endnote>
  <w:endnote w:type="continuationSeparator" w:id="0">
    <w:p w14:paraId="61902CB6" w14:textId="77777777" w:rsidR="000823F3" w:rsidRDefault="0008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77E3" w14:textId="77777777" w:rsidR="000823F3" w:rsidRDefault="000823F3">
      <w:pPr>
        <w:spacing w:after="0" w:line="240" w:lineRule="auto"/>
      </w:pPr>
      <w:r>
        <w:separator/>
      </w:r>
    </w:p>
  </w:footnote>
  <w:footnote w:type="continuationSeparator" w:id="0">
    <w:p w14:paraId="20DE22F7" w14:textId="77777777" w:rsidR="000823F3" w:rsidRDefault="000823F3">
      <w:pPr>
        <w:spacing w:after="0" w:line="240" w:lineRule="auto"/>
      </w:pPr>
      <w:r>
        <w:continuationSeparator/>
      </w:r>
    </w:p>
  </w:footnote>
  <w:footnote w:id="1">
    <w:p w14:paraId="7420808A" w14:textId="5E61F3E2" w:rsidR="0019472A" w:rsidRPr="00BA165C" w:rsidRDefault="0019472A">
      <w:pPr>
        <w:pStyle w:val="Tekstprzypisudolnego"/>
        <w:rPr>
          <w:i/>
          <w:iCs/>
        </w:rPr>
      </w:pPr>
      <w:r w:rsidRPr="00BA165C">
        <w:rPr>
          <w:rStyle w:val="Odwoanieprzypisudolnego"/>
          <w:i/>
          <w:iCs/>
          <w:color w:val="BFBFBF" w:themeColor="background1" w:themeShade="BF"/>
        </w:rPr>
        <w:footnoteRef/>
      </w:r>
      <w:r w:rsidRPr="00BA165C">
        <w:rPr>
          <w:i/>
          <w:iCs/>
          <w:color w:val="BFBFBF" w:themeColor="background1" w:themeShade="BF"/>
        </w:rPr>
        <w:t xml:space="preserve"> </w:t>
      </w:r>
      <w:r w:rsidRPr="00BA165C">
        <w:rPr>
          <w:rFonts w:ascii="Tahoma" w:hAnsi="Tahoma" w:cs="Tahoma"/>
          <w:i/>
          <w:iCs/>
          <w:color w:val="BFBFBF" w:themeColor="background1" w:themeShade="BF"/>
          <w:sz w:val="18"/>
          <w:szCs w:val="18"/>
        </w:rPr>
        <w:t>przypadający akcjonariuszom Jednostki Dominującej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2NDQ1MDOysLA0MzRT0lEKTi0uzszPAykwrAUAP32WMywAAAA="/>
  </w:docVars>
  <w:rsids>
    <w:rsidRoot w:val="00D824D3"/>
    <w:rsid w:val="00000972"/>
    <w:rsid w:val="0000116D"/>
    <w:rsid w:val="00002FA2"/>
    <w:rsid w:val="00005901"/>
    <w:rsid w:val="0001222E"/>
    <w:rsid w:val="00013F26"/>
    <w:rsid w:val="000150C1"/>
    <w:rsid w:val="0001727E"/>
    <w:rsid w:val="00027A52"/>
    <w:rsid w:val="00031C8A"/>
    <w:rsid w:val="00032F3D"/>
    <w:rsid w:val="00033E4A"/>
    <w:rsid w:val="00033EEE"/>
    <w:rsid w:val="0003473D"/>
    <w:rsid w:val="0003691C"/>
    <w:rsid w:val="00044B01"/>
    <w:rsid w:val="000471E4"/>
    <w:rsid w:val="00053E58"/>
    <w:rsid w:val="0005619E"/>
    <w:rsid w:val="000602EE"/>
    <w:rsid w:val="0006084D"/>
    <w:rsid w:val="00061B68"/>
    <w:rsid w:val="00061F85"/>
    <w:rsid w:val="0006314F"/>
    <w:rsid w:val="000644F6"/>
    <w:rsid w:val="00080EA6"/>
    <w:rsid w:val="00081F90"/>
    <w:rsid w:val="000823F3"/>
    <w:rsid w:val="00083EB2"/>
    <w:rsid w:val="0008411D"/>
    <w:rsid w:val="00084D2C"/>
    <w:rsid w:val="00084DAA"/>
    <w:rsid w:val="000908AD"/>
    <w:rsid w:val="0009261F"/>
    <w:rsid w:val="000935B7"/>
    <w:rsid w:val="00093C5B"/>
    <w:rsid w:val="00094318"/>
    <w:rsid w:val="00096E60"/>
    <w:rsid w:val="000A0D19"/>
    <w:rsid w:val="000A29DB"/>
    <w:rsid w:val="000A4C94"/>
    <w:rsid w:val="000B0FF0"/>
    <w:rsid w:val="000B2C44"/>
    <w:rsid w:val="000B38FA"/>
    <w:rsid w:val="000B4EAD"/>
    <w:rsid w:val="000B570C"/>
    <w:rsid w:val="000B7985"/>
    <w:rsid w:val="000C0857"/>
    <w:rsid w:val="000C5A43"/>
    <w:rsid w:val="000C60FB"/>
    <w:rsid w:val="000D29F3"/>
    <w:rsid w:val="000D4CA2"/>
    <w:rsid w:val="000D51F1"/>
    <w:rsid w:val="000D6166"/>
    <w:rsid w:val="000E4D10"/>
    <w:rsid w:val="000E5514"/>
    <w:rsid w:val="000F478F"/>
    <w:rsid w:val="000F734A"/>
    <w:rsid w:val="000F7CDD"/>
    <w:rsid w:val="00102CF5"/>
    <w:rsid w:val="00103FBA"/>
    <w:rsid w:val="00106347"/>
    <w:rsid w:val="001168A4"/>
    <w:rsid w:val="00120F42"/>
    <w:rsid w:val="00121797"/>
    <w:rsid w:val="00125739"/>
    <w:rsid w:val="0012600E"/>
    <w:rsid w:val="00131EA2"/>
    <w:rsid w:val="00135A1E"/>
    <w:rsid w:val="001378BE"/>
    <w:rsid w:val="001415FC"/>
    <w:rsid w:val="00146C8B"/>
    <w:rsid w:val="00147473"/>
    <w:rsid w:val="0015239C"/>
    <w:rsid w:val="00152702"/>
    <w:rsid w:val="00154AF9"/>
    <w:rsid w:val="00164288"/>
    <w:rsid w:val="001652FF"/>
    <w:rsid w:val="0016660D"/>
    <w:rsid w:val="00166669"/>
    <w:rsid w:val="00171E71"/>
    <w:rsid w:val="00176796"/>
    <w:rsid w:val="00176B23"/>
    <w:rsid w:val="00177F03"/>
    <w:rsid w:val="00180426"/>
    <w:rsid w:val="00180DCA"/>
    <w:rsid w:val="00183716"/>
    <w:rsid w:val="00184033"/>
    <w:rsid w:val="00184B5B"/>
    <w:rsid w:val="00185CBD"/>
    <w:rsid w:val="0019013E"/>
    <w:rsid w:val="001906A3"/>
    <w:rsid w:val="00191813"/>
    <w:rsid w:val="00192F14"/>
    <w:rsid w:val="00193800"/>
    <w:rsid w:val="0019472A"/>
    <w:rsid w:val="00196E4D"/>
    <w:rsid w:val="001A02F1"/>
    <w:rsid w:val="001A13BD"/>
    <w:rsid w:val="001A4444"/>
    <w:rsid w:val="001A4687"/>
    <w:rsid w:val="001A5E03"/>
    <w:rsid w:val="001B18F8"/>
    <w:rsid w:val="001B3A88"/>
    <w:rsid w:val="001B53AC"/>
    <w:rsid w:val="001C04E7"/>
    <w:rsid w:val="001C05E8"/>
    <w:rsid w:val="001C1C48"/>
    <w:rsid w:val="001C6BED"/>
    <w:rsid w:val="001C78CD"/>
    <w:rsid w:val="001D1508"/>
    <w:rsid w:val="001D3BBF"/>
    <w:rsid w:val="001D4924"/>
    <w:rsid w:val="001D6D47"/>
    <w:rsid w:val="001E2FCE"/>
    <w:rsid w:val="001E3718"/>
    <w:rsid w:val="001E5D2F"/>
    <w:rsid w:val="001E5F16"/>
    <w:rsid w:val="001E6465"/>
    <w:rsid w:val="001E655D"/>
    <w:rsid w:val="001E6E9D"/>
    <w:rsid w:val="001E7216"/>
    <w:rsid w:val="001F3AC1"/>
    <w:rsid w:val="001F3B78"/>
    <w:rsid w:val="001F4890"/>
    <w:rsid w:val="001F540C"/>
    <w:rsid w:val="001F6968"/>
    <w:rsid w:val="00200282"/>
    <w:rsid w:val="00205C0B"/>
    <w:rsid w:val="00207D56"/>
    <w:rsid w:val="00210B3A"/>
    <w:rsid w:val="00210B70"/>
    <w:rsid w:val="0021267C"/>
    <w:rsid w:val="00212FA6"/>
    <w:rsid w:val="00214B6B"/>
    <w:rsid w:val="0022070B"/>
    <w:rsid w:val="00220B1D"/>
    <w:rsid w:val="00224B03"/>
    <w:rsid w:val="00224D91"/>
    <w:rsid w:val="002332A6"/>
    <w:rsid w:val="00234145"/>
    <w:rsid w:val="00235BCA"/>
    <w:rsid w:val="0023777F"/>
    <w:rsid w:val="00241059"/>
    <w:rsid w:val="002431E6"/>
    <w:rsid w:val="0024481E"/>
    <w:rsid w:val="00244B52"/>
    <w:rsid w:val="002451CA"/>
    <w:rsid w:val="00246369"/>
    <w:rsid w:val="00247108"/>
    <w:rsid w:val="00255A62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56E4"/>
    <w:rsid w:val="00276417"/>
    <w:rsid w:val="00277101"/>
    <w:rsid w:val="002773EE"/>
    <w:rsid w:val="002831E6"/>
    <w:rsid w:val="00286464"/>
    <w:rsid w:val="00287756"/>
    <w:rsid w:val="00291889"/>
    <w:rsid w:val="002925D8"/>
    <w:rsid w:val="0029747F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6F72"/>
    <w:rsid w:val="002C0A13"/>
    <w:rsid w:val="002C4D36"/>
    <w:rsid w:val="002C635D"/>
    <w:rsid w:val="002C6B44"/>
    <w:rsid w:val="002C71F2"/>
    <w:rsid w:val="002C72FF"/>
    <w:rsid w:val="002D0A73"/>
    <w:rsid w:val="002D0D72"/>
    <w:rsid w:val="002D3F9A"/>
    <w:rsid w:val="002D52EE"/>
    <w:rsid w:val="002E2815"/>
    <w:rsid w:val="002E348B"/>
    <w:rsid w:val="002E4678"/>
    <w:rsid w:val="002E4732"/>
    <w:rsid w:val="002F2A15"/>
    <w:rsid w:val="002F35F7"/>
    <w:rsid w:val="002F7265"/>
    <w:rsid w:val="003023A0"/>
    <w:rsid w:val="0030310D"/>
    <w:rsid w:val="00310980"/>
    <w:rsid w:val="00312C4B"/>
    <w:rsid w:val="00314819"/>
    <w:rsid w:val="003148D1"/>
    <w:rsid w:val="0031612E"/>
    <w:rsid w:val="00323D83"/>
    <w:rsid w:val="003242A3"/>
    <w:rsid w:val="00330315"/>
    <w:rsid w:val="00330932"/>
    <w:rsid w:val="003355E9"/>
    <w:rsid w:val="00335E0E"/>
    <w:rsid w:val="003371B4"/>
    <w:rsid w:val="00337C34"/>
    <w:rsid w:val="00337F4C"/>
    <w:rsid w:val="003413EC"/>
    <w:rsid w:val="00342FCE"/>
    <w:rsid w:val="00343F41"/>
    <w:rsid w:val="00352719"/>
    <w:rsid w:val="003542F5"/>
    <w:rsid w:val="00356480"/>
    <w:rsid w:val="00360B0E"/>
    <w:rsid w:val="003615FB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2AC2"/>
    <w:rsid w:val="003A0B81"/>
    <w:rsid w:val="003A74B7"/>
    <w:rsid w:val="003B17EA"/>
    <w:rsid w:val="003B19D7"/>
    <w:rsid w:val="003B2692"/>
    <w:rsid w:val="003B3277"/>
    <w:rsid w:val="003B7F94"/>
    <w:rsid w:val="003C0EF3"/>
    <w:rsid w:val="003C1C0C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F0366"/>
    <w:rsid w:val="003F1D1E"/>
    <w:rsid w:val="003F479C"/>
    <w:rsid w:val="003F7F86"/>
    <w:rsid w:val="00406D9D"/>
    <w:rsid w:val="004151F3"/>
    <w:rsid w:val="00417A3F"/>
    <w:rsid w:val="0042081D"/>
    <w:rsid w:val="0042119F"/>
    <w:rsid w:val="004226D7"/>
    <w:rsid w:val="00423508"/>
    <w:rsid w:val="00424ADA"/>
    <w:rsid w:val="00426430"/>
    <w:rsid w:val="0044439A"/>
    <w:rsid w:val="00447762"/>
    <w:rsid w:val="00450B7A"/>
    <w:rsid w:val="004510B2"/>
    <w:rsid w:val="00452E75"/>
    <w:rsid w:val="00453309"/>
    <w:rsid w:val="00456535"/>
    <w:rsid w:val="00456A67"/>
    <w:rsid w:val="004572A8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5BFB"/>
    <w:rsid w:val="004763AA"/>
    <w:rsid w:val="00486407"/>
    <w:rsid w:val="00493212"/>
    <w:rsid w:val="004A002F"/>
    <w:rsid w:val="004A25A7"/>
    <w:rsid w:val="004A417F"/>
    <w:rsid w:val="004A4455"/>
    <w:rsid w:val="004A57C9"/>
    <w:rsid w:val="004B19B6"/>
    <w:rsid w:val="004B4F60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25E2"/>
    <w:rsid w:val="004E3670"/>
    <w:rsid w:val="004E381F"/>
    <w:rsid w:val="004E3BF3"/>
    <w:rsid w:val="004E4375"/>
    <w:rsid w:val="004E514D"/>
    <w:rsid w:val="004E664B"/>
    <w:rsid w:val="004E6EA9"/>
    <w:rsid w:val="004E7219"/>
    <w:rsid w:val="004E7872"/>
    <w:rsid w:val="004F295D"/>
    <w:rsid w:val="004F5F2B"/>
    <w:rsid w:val="004F656D"/>
    <w:rsid w:val="004F76E3"/>
    <w:rsid w:val="0050050B"/>
    <w:rsid w:val="0050128F"/>
    <w:rsid w:val="005030B7"/>
    <w:rsid w:val="005106E9"/>
    <w:rsid w:val="00511640"/>
    <w:rsid w:val="00513957"/>
    <w:rsid w:val="005170F0"/>
    <w:rsid w:val="00517459"/>
    <w:rsid w:val="00522577"/>
    <w:rsid w:val="00522CB9"/>
    <w:rsid w:val="00523279"/>
    <w:rsid w:val="0052392A"/>
    <w:rsid w:val="00523965"/>
    <w:rsid w:val="00523C63"/>
    <w:rsid w:val="005279D7"/>
    <w:rsid w:val="005319A4"/>
    <w:rsid w:val="0053398D"/>
    <w:rsid w:val="00533CB6"/>
    <w:rsid w:val="0053503C"/>
    <w:rsid w:val="005403F2"/>
    <w:rsid w:val="00543269"/>
    <w:rsid w:val="00544A7C"/>
    <w:rsid w:val="0055003D"/>
    <w:rsid w:val="00551364"/>
    <w:rsid w:val="005525D3"/>
    <w:rsid w:val="00552AF7"/>
    <w:rsid w:val="00553801"/>
    <w:rsid w:val="005539C6"/>
    <w:rsid w:val="00553A39"/>
    <w:rsid w:val="00553D50"/>
    <w:rsid w:val="00556C60"/>
    <w:rsid w:val="0056066B"/>
    <w:rsid w:val="005623F5"/>
    <w:rsid w:val="00562455"/>
    <w:rsid w:val="0056314F"/>
    <w:rsid w:val="00563A0B"/>
    <w:rsid w:val="005717E9"/>
    <w:rsid w:val="00574EC5"/>
    <w:rsid w:val="00577B5C"/>
    <w:rsid w:val="0058424C"/>
    <w:rsid w:val="00584EAB"/>
    <w:rsid w:val="005863A7"/>
    <w:rsid w:val="00593858"/>
    <w:rsid w:val="0059770F"/>
    <w:rsid w:val="00597B7F"/>
    <w:rsid w:val="005A5043"/>
    <w:rsid w:val="005B039B"/>
    <w:rsid w:val="005B155B"/>
    <w:rsid w:val="005B248C"/>
    <w:rsid w:val="005B3CF6"/>
    <w:rsid w:val="005B4DB0"/>
    <w:rsid w:val="005B5026"/>
    <w:rsid w:val="005C07AB"/>
    <w:rsid w:val="005C58F7"/>
    <w:rsid w:val="005C7276"/>
    <w:rsid w:val="005D0189"/>
    <w:rsid w:val="005D25D3"/>
    <w:rsid w:val="005D7C59"/>
    <w:rsid w:val="005E0107"/>
    <w:rsid w:val="005E090C"/>
    <w:rsid w:val="005E2831"/>
    <w:rsid w:val="005E4881"/>
    <w:rsid w:val="005E6ABC"/>
    <w:rsid w:val="005F1CF1"/>
    <w:rsid w:val="005F3B41"/>
    <w:rsid w:val="005F4BD2"/>
    <w:rsid w:val="005F65B4"/>
    <w:rsid w:val="005F6802"/>
    <w:rsid w:val="005F6D3C"/>
    <w:rsid w:val="005F75ED"/>
    <w:rsid w:val="005F7CFF"/>
    <w:rsid w:val="006073ED"/>
    <w:rsid w:val="00607CC8"/>
    <w:rsid w:val="00610F49"/>
    <w:rsid w:val="00611BD0"/>
    <w:rsid w:val="006137A4"/>
    <w:rsid w:val="0061486F"/>
    <w:rsid w:val="00615980"/>
    <w:rsid w:val="006217C8"/>
    <w:rsid w:val="006221EC"/>
    <w:rsid w:val="00622393"/>
    <w:rsid w:val="00624E80"/>
    <w:rsid w:val="006273F5"/>
    <w:rsid w:val="006335D0"/>
    <w:rsid w:val="00634818"/>
    <w:rsid w:val="00634ACE"/>
    <w:rsid w:val="0063575A"/>
    <w:rsid w:val="00636727"/>
    <w:rsid w:val="00636F6F"/>
    <w:rsid w:val="00641D3B"/>
    <w:rsid w:val="0064310D"/>
    <w:rsid w:val="006449AE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3C56"/>
    <w:rsid w:val="00664FA5"/>
    <w:rsid w:val="00665EE0"/>
    <w:rsid w:val="006670FF"/>
    <w:rsid w:val="0067655C"/>
    <w:rsid w:val="00684AEF"/>
    <w:rsid w:val="00685FB2"/>
    <w:rsid w:val="006908D3"/>
    <w:rsid w:val="00691304"/>
    <w:rsid w:val="006913B6"/>
    <w:rsid w:val="00693AAB"/>
    <w:rsid w:val="006943AF"/>
    <w:rsid w:val="0069685B"/>
    <w:rsid w:val="006A1C56"/>
    <w:rsid w:val="006A293C"/>
    <w:rsid w:val="006A7081"/>
    <w:rsid w:val="006B12A4"/>
    <w:rsid w:val="006B342C"/>
    <w:rsid w:val="006B4024"/>
    <w:rsid w:val="006B4545"/>
    <w:rsid w:val="006B4A0C"/>
    <w:rsid w:val="006B4EE8"/>
    <w:rsid w:val="006B683D"/>
    <w:rsid w:val="006B7429"/>
    <w:rsid w:val="006C0560"/>
    <w:rsid w:val="006C26EC"/>
    <w:rsid w:val="006C7212"/>
    <w:rsid w:val="006D060D"/>
    <w:rsid w:val="006D1428"/>
    <w:rsid w:val="006D5288"/>
    <w:rsid w:val="006D546B"/>
    <w:rsid w:val="006D640A"/>
    <w:rsid w:val="006D721C"/>
    <w:rsid w:val="006E072B"/>
    <w:rsid w:val="006E130B"/>
    <w:rsid w:val="006E238E"/>
    <w:rsid w:val="006E566D"/>
    <w:rsid w:val="006E5944"/>
    <w:rsid w:val="006E61C6"/>
    <w:rsid w:val="006E716B"/>
    <w:rsid w:val="006F30C5"/>
    <w:rsid w:val="006F3FA9"/>
    <w:rsid w:val="007012C0"/>
    <w:rsid w:val="00702E01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551"/>
    <w:rsid w:val="007157E1"/>
    <w:rsid w:val="00717052"/>
    <w:rsid w:val="007172F7"/>
    <w:rsid w:val="00717A8C"/>
    <w:rsid w:val="00725A96"/>
    <w:rsid w:val="00726BDF"/>
    <w:rsid w:val="00734DF8"/>
    <w:rsid w:val="007426FD"/>
    <w:rsid w:val="007429FA"/>
    <w:rsid w:val="00745755"/>
    <w:rsid w:val="00747599"/>
    <w:rsid w:val="00756852"/>
    <w:rsid w:val="00762BB9"/>
    <w:rsid w:val="00763536"/>
    <w:rsid w:val="007659C0"/>
    <w:rsid w:val="0076767E"/>
    <w:rsid w:val="00770099"/>
    <w:rsid w:val="00770BC3"/>
    <w:rsid w:val="007724D1"/>
    <w:rsid w:val="00775CAB"/>
    <w:rsid w:val="007760E7"/>
    <w:rsid w:val="0077747E"/>
    <w:rsid w:val="00777A92"/>
    <w:rsid w:val="007843E3"/>
    <w:rsid w:val="00794031"/>
    <w:rsid w:val="007A6067"/>
    <w:rsid w:val="007B4EE7"/>
    <w:rsid w:val="007C0D80"/>
    <w:rsid w:val="007C3807"/>
    <w:rsid w:val="007C69AF"/>
    <w:rsid w:val="007C6D66"/>
    <w:rsid w:val="007C79AA"/>
    <w:rsid w:val="007D043C"/>
    <w:rsid w:val="007D0F2F"/>
    <w:rsid w:val="007D1D38"/>
    <w:rsid w:val="007D2158"/>
    <w:rsid w:val="007D3A36"/>
    <w:rsid w:val="007D42C6"/>
    <w:rsid w:val="007D5978"/>
    <w:rsid w:val="007D6975"/>
    <w:rsid w:val="007D7046"/>
    <w:rsid w:val="007D790E"/>
    <w:rsid w:val="007D7917"/>
    <w:rsid w:val="007E19BC"/>
    <w:rsid w:val="007E21D6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471"/>
    <w:rsid w:val="00807C4C"/>
    <w:rsid w:val="00810CB0"/>
    <w:rsid w:val="00811901"/>
    <w:rsid w:val="00815619"/>
    <w:rsid w:val="00815E45"/>
    <w:rsid w:val="008166BC"/>
    <w:rsid w:val="00817323"/>
    <w:rsid w:val="008230DA"/>
    <w:rsid w:val="00824271"/>
    <w:rsid w:val="00825812"/>
    <w:rsid w:val="00825FA7"/>
    <w:rsid w:val="008300BE"/>
    <w:rsid w:val="008373EA"/>
    <w:rsid w:val="00840917"/>
    <w:rsid w:val="00841029"/>
    <w:rsid w:val="00842EA5"/>
    <w:rsid w:val="00850178"/>
    <w:rsid w:val="00850757"/>
    <w:rsid w:val="0085210D"/>
    <w:rsid w:val="00853843"/>
    <w:rsid w:val="00854FCC"/>
    <w:rsid w:val="00857523"/>
    <w:rsid w:val="0086463D"/>
    <w:rsid w:val="00864650"/>
    <w:rsid w:val="00867B13"/>
    <w:rsid w:val="00871CAB"/>
    <w:rsid w:val="00875D93"/>
    <w:rsid w:val="0088164D"/>
    <w:rsid w:val="00887135"/>
    <w:rsid w:val="00890BCD"/>
    <w:rsid w:val="00893D6E"/>
    <w:rsid w:val="00895F6D"/>
    <w:rsid w:val="008A0044"/>
    <w:rsid w:val="008A1549"/>
    <w:rsid w:val="008A32BF"/>
    <w:rsid w:val="008A6A8C"/>
    <w:rsid w:val="008B17C9"/>
    <w:rsid w:val="008B19CA"/>
    <w:rsid w:val="008B1D6D"/>
    <w:rsid w:val="008B4670"/>
    <w:rsid w:val="008B5B79"/>
    <w:rsid w:val="008C2D2B"/>
    <w:rsid w:val="008C3396"/>
    <w:rsid w:val="008C3407"/>
    <w:rsid w:val="008C6503"/>
    <w:rsid w:val="008D3344"/>
    <w:rsid w:val="008D3B53"/>
    <w:rsid w:val="008D3DEC"/>
    <w:rsid w:val="008D6295"/>
    <w:rsid w:val="008E179B"/>
    <w:rsid w:val="008E49DC"/>
    <w:rsid w:val="008E5974"/>
    <w:rsid w:val="008E6AC7"/>
    <w:rsid w:val="008F0F82"/>
    <w:rsid w:val="008F47AB"/>
    <w:rsid w:val="008F662C"/>
    <w:rsid w:val="009004D4"/>
    <w:rsid w:val="00903035"/>
    <w:rsid w:val="0090320E"/>
    <w:rsid w:val="00904BD3"/>
    <w:rsid w:val="009060CB"/>
    <w:rsid w:val="00912059"/>
    <w:rsid w:val="00916A8F"/>
    <w:rsid w:val="00917D66"/>
    <w:rsid w:val="00917E35"/>
    <w:rsid w:val="00917F22"/>
    <w:rsid w:val="0092398F"/>
    <w:rsid w:val="00926AB4"/>
    <w:rsid w:val="00934D02"/>
    <w:rsid w:val="00934E3C"/>
    <w:rsid w:val="00935CAC"/>
    <w:rsid w:val="009412FA"/>
    <w:rsid w:val="009423FC"/>
    <w:rsid w:val="009440A3"/>
    <w:rsid w:val="009463EB"/>
    <w:rsid w:val="00950989"/>
    <w:rsid w:val="00950CD1"/>
    <w:rsid w:val="00951D6E"/>
    <w:rsid w:val="0095225C"/>
    <w:rsid w:val="00953058"/>
    <w:rsid w:val="00954753"/>
    <w:rsid w:val="0095559D"/>
    <w:rsid w:val="009625D9"/>
    <w:rsid w:val="00980272"/>
    <w:rsid w:val="00981BE9"/>
    <w:rsid w:val="00985437"/>
    <w:rsid w:val="00985A8D"/>
    <w:rsid w:val="00985D5B"/>
    <w:rsid w:val="00986024"/>
    <w:rsid w:val="0099010B"/>
    <w:rsid w:val="00990A62"/>
    <w:rsid w:val="009923E1"/>
    <w:rsid w:val="009934D7"/>
    <w:rsid w:val="009966F7"/>
    <w:rsid w:val="009A0BA1"/>
    <w:rsid w:val="009A2A41"/>
    <w:rsid w:val="009A6A6A"/>
    <w:rsid w:val="009B023E"/>
    <w:rsid w:val="009B24AE"/>
    <w:rsid w:val="009B2924"/>
    <w:rsid w:val="009B5EAF"/>
    <w:rsid w:val="009B7B45"/>
    <w:rsid w:val="009C59A0"/>
    <w:rsid w:val="009C79F3"/>
    <w:rsid w:val="009C7D4A"/>
    <w:rsid w:val="009C7EB1"/>
    <w:rsid w:val="009D0F56"/>
    <w:rsid w:val="009D744F"/>
    <w:rsid w:val="009E34F6"/>
    <w:rsid w:val="009E4C4D"/>
    <w:rsid w:val="009F1CBA"/>
    <w:rsid w:val="009F6C68"/>
    <w:rsid w:val="009F768E"/>
    <w:rsid w:val="00A01C61"/>
    <w:rsid w:val="00A04962"/>
    <w:rsid w:val="00A04EE4"/>
    <w:rsid w:val="00A10619"/>
    <w:rsid w:val="00A113AD"/>
    <w:rsid w:val="00A11950"/>
    <w:rsid w:val="00A13CA8"/>
    <w:rsid w:val="00A2286E"/>
    <w:rsid w:val="00A242D0"/>
    <w:rsid w:val="00A2774D"/>
    <w:rsid w:val="00A30799"/>
    <w:rsid w:val="00A356C3"/>
    <w:rsid w:val="00A405AF"/>
    <w:rsid w:val="00A40E99"/>
    <w:rsid w:val="00A427E8"/>
    <w:rsid w:val="00A44C74"/>
    <w:rsid w:val="00A508CB"/>
    <w:rsid w:val="00A542E3"/>
    <w:rsid w:val="00A56E7C"/>
    <w:rsid w:val="00A66652"/>
    <w:rsid w:val="00A67FDE"/>
    <w:rsid w:val="00A70255"/>
    <w:rsid w:val="00A75A99"/>
    <w:rsid w:val="00A85A81"/>
    <w:rsid w:val="00A91984"/>
    <w:rsid w:val="00A9414D"/>
    <w:rsid w:val="00A9421C"/>
    <w:rsid w:val="00A94DDE"/>
    <w:rsid w:val="00A95921"/>
    <w:rsid w:val="00A96B52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C4603"/>
    <w:rsid w:val="00AC6E6F"/>
    <w:rsid w:val="00AD1935"/>
    <w:rsid w:val="00AD1A09"/>
    <w:rsid w:val="00AD1C65"/>
    <w:rsid w:val="00AD7834"/>
    <w:rsid w:val="00AD7A82"/>
    <w:rsid w:val="00AE43FD"/>
    <w:rsid w:val="00AE4646"/>
    <w:rsid w:val="00AE7510"/>
    <w:rsid w:val="00AF215D"/>
    <w:rsid w:val="00AF4889"/>
    <w:rsid w:val="00B011E4"/>
    <w:rsid w:val="00B03683"/>
    <w:rsid w:val="00B11EAE"/>
    <w:rsid w:val="00B133ED"/>
    <w:rsid w:val="00B220A6"/>
    <w:rsid w:val="00B2487A"/>
    <w:rsid w:val="00B27AAF"/>
    <w:rsid w:val="00B31685"/>
    <w:rsid w:val="00B335BA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72AF4"/>
    <w:rsid w:val="00B7408F"/>
    <w:rsid w:val="00B763A5"/>
    <w:rsid w:val="00B76DEA"/>
    <w:rsid w:val="00B83EAA"/>
    <w:rsid w:val="00B84905"/>
    <w:rsid w:val="00B855F5"/>
    <w:rsid w:val="00B8647C"/>
    <w:rsid w:val="00B86B9D"/>
    <w:rsid w:val="00B90474"/>
    <w:rsid w:val="00B94D5E"/>
    <w:rsid w:val="00B96C47"/>
    <w:rsid w:val="00BA165C"/>
    <w:rsid w:val="00BA3215"/>
    <w:rsid w:val="00BA352E"/>
    <w:rsid w:val="00BA6BC8"/>
    <w:rsid w:val="00BB1B86"/>
    <w:rsid w:val="00BB20C3"/>
    <w:rsid w:val="00BB37BF"/>
    <w:rsid w:val="00BB574B"/>
    <w:rsid w:val="00BB5EFD"/>
    <w:rsid w:val="00BB6BF7"/>
    <w:rsid w:val="00BC3261"/>
    <w:rsid w:val="00BD0353"/>
    <w:rsid w:val="00BD0F23"/>
    <w:rsid w:val="00BD24EB"/>
    <w:rsid w:val="00BD399A"/>
    <w:rsid w:val="00BD63C9"/>
    <w:rsid w:val="00BD708C"/>
    <w:rsid w:val="00BE0EAA"/>
    <w:rsid w:val="00BE0F4A"/>
    <w:rsid w:val="00BE1816"/>
    <w:rsid w:val="00BE194F"/>
    <w:rsid w:val="00BE2321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0B8F"/>
    <w:rsid w:val="00C01170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2F0F"/>
    <w:rsid w:val="00C15058"/>
    <w:rsid w:val="00C1552F"/>
    <w:rsid w:val="00C1683A"/>
    <w:rsid w:val="00C17AB5"/>
    <w:rsid w:val="00C21BFC"/>
    <w:rsid w:val="00C220E3"/>
    <w:rsid w:val="00C22311"/>
    <w:rsid w:val="00C2526F"/>
    <w:rsid w:val="00C25482"/>
    <w:rsid w:val="00C2719B"/>
    <w:rsid w:val="00C3176E"/>
    <w:rsid w:val="00C32C83"/>
    <w:rsid w:val="00C40A1C"/>
    <w:rsid w:val="00C41615"/>
    <w:rsid w:val="00C43084"/>
    <w:rsid w:val="00C44E46"/>
    <w:rsid w:val="00C45404"/>
    <w:rsid w:val="00C47A3A"/>
    <w:rsid w:val="00C47CAD"/>
    <w:rsid w:val="00C51318"/>
    <w:rsid w:val="00C51F92"/>
    <w:rsid w:val="00C55A9C"/>
    <w:rsid w:val="00C56073"/>
    <w:rsid w:val="00C611C9"/>
    <w:rsid w:val="00C6200A"/>
    <w:rsid w:val="00C6502C"/>
    <w:rsid w:val="00C66C0B"/>
    <w:rsid w:val="00C71D6B"/>
    <w:rsid w:val="00C743F6"/>
    <w:rsid w:val="00C7760B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B45"/>
    <w:rsid w:val="00C93FA1"/>
    <w:rsid w:val="00C960B7"/>
    <w:rsid w:val="00C96A98"/>
    <w:rsid w:val="00C96B2F"/>
    <w:rsid w:val="00CA1190"/>
    <w:rsid w:val="00CA4090"/>
    <w:rsid w:val="00CA732D"/>
    <w:rsid w:val="00CA7F9C"/>
    <w:rsid w:val="00CC47BA"/>
    <w:rsid w:val="00CC4B59"/>
    <w:rsid w:val="00CC52EC"/>
    <w:rsid w:val="00CD1EBE"/>
    <w:rsid w:val="00CD548E"/>
    <w:rsid w:val="00CD57DA"/>
    <w:rsid w:val="00CE063A"/>
    <w:rsid w:val="00CE1ED2"/>
    <w:rsid w:val="00CE292D"/>
    <w:rsid w:val="00CE37C5"/>
    <w:rsid w:val="00CE45B6"/>
    <w:rsid w:val="00CE6FB8"/>
    <w:rsid w:val="00CF024B"/>
    <w:rsid w:val="00CF0586"/>
    <w:rsid w:val="00CF7BF1"/>
    <w:rsid w:val="00D02632"/>
    <w:rsid w:val="00D03B68"/>
    <w:rsid w:val="00D06C6B"/>
    <w:rsid w:val="00D06E4C"/>
    <w:rsid w:val="00D07BAF"/>
    <w:rsid w:val="00D136C3"/>
    <w:rsid w:val="00D156F0"/>
    <w:rsid w:val="00D22E38"/>
    <w:rsid w:val="00D23E56"/>
    <w:rsid w:val="00D2623A"/>
    <w:rsid w:val="00D265B4"/>
    <w:rsid w:val="00D2740A"/>
    <w:rsid w:val="00D31DC8"/>
    <w:rsid w:val="00D35BF0"/>
    <w:rsid w:val="00D36DA6"/>
    <w:rsid w:val="00D40A41"/>
    <w:rsid w:val="00D41A04"/>
    <w:rsid w:val="00D42ACC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BC0"/>
    <w:rsid w:val="00D66FC2"/>
    <w:rsid w:val="00D67C64"/>
    <w:rsid w:val="00D67FAC"/>
    <w:rsid w:val="00D72565"/>
    <w:rsid w:val="00D74729"/>
    <w:rsid w:val="00D824D3"/>
    <w:rsid w:val="00D872A4"/>
    <w:rsid w:val="00D904EF"/>
    <w:rsid w:val="00D90E88"/>
    <w:rsid w:val="00D911F2"/>
    <w:rsid w:val="00D93DDA"/>
    <w:rsid w:val="00D93F38"/>
    <w:rsid w:val="00D942B1"/>
    <w:rsid w:val="00D97058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51A5"/>
    <w:rsid w:val="00DD5C87"/>
    <w:rsid w:val="00DD6379"/>
    <w:rsid w:val="00DD7855"/>
    <w:rsid w:val="00DE0B69"/>
    <w:rsid w:val="00DE14C7"/>
    <w:rsid w:val="00DE23F2"/>
    <w:rsid w:val="00DE3C90"/>
    <w:rsid w:val="00DE3D22"/>
    <w:rsid w:val="00DE4D7D"/>
    <w:rsid w:val="00DE5AC6"/>
    <w:rsid w:val="00DF138C"/>
    <w:rsid w:val="00DF1B7A"/>
    <w:rsid w:val="00DF4A77"/>
    <w:rsid w:val="00DF554A"/>
    <w:rsid w:val="00DF6A22"/>
    <w:rsid w:val="00DF6F79"/>
    <w:rsid w:val="00DF7CA2"/>
    <w:rsid w:val="00E0076A"/>
    <w:rsid w:val="00E02292"/>
    <w:rsid w:val="00E05EDA"/>
    <w:rsid w:val="00E11DAD"/>
    <w:rsid w:val="00E122F1"/>
    <w:rsid w:val="00E12ADB"/>
    <w:rsid w:val="00E229C5"/>
    <w:rsid w:val="00E22AAD"/>
    <w:rsid w:val="00E25398"/>
    <w:rsid w:val="00E25B72"/>
    <w:rsid w:val="00E31F2A"/>
    <w:rsid w:val="00E335F9"/>
    <w:rsid w:val="00E33BD7"/>
    <w:rsid w:val="00E35E1A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67E20"/>
    <w:rsid w:val="00E70471"/>
    <w:rsid w:val="00E7157F"/>
    <w:rsid w:val="00E71F38"/>
    <w:rsid w:val="00E7344B"/>
    <w:rsid w:val="00E73BA4"/>
    <w:rsid w:val="00E762B6"/>
    <w:rsid w:val="00E808DB"/>
    <w:rsid w:val="00E80F4B"/>
    <w:rsid w:val="00E82BA3"/>
    <w:rsid w:val="00E83C60"/>
    <w:rsid w:val="00E90772"/>
    <w:rsid w:val="00E90EDE"/>
    <w:rsid w:val="00E92562"/>
    <w:rsid w:val="00E94DE1"/>
    <w:rsid w:val="00E95C5C"/>
    <w:rsid w:val="00E97B5F"/>
    <w:rsid w:val="00EA176A"/>
    <w:rsid w:val="00EA1A0A"/>
    <w:rsid w:val="00EA1E5B"/>
    <w:rsid w:val="00EA5DB3"/>
    <w:rsid w:val="00EA7734"/>
    <w:rsid w:val="00EB1D28"/>
    <w:rsid w:val="00EB1ECE"/>
    <w:rsid w:val="00EB2AA4"/>
    <w:rsid w:val="00EB40E2"/>
    <w:rsid w:val="00EC21EA"/>
    <w:rsid w:val="00EC76D5"/>
    <w:rsid w:val="00ED37CE"/>
    <w:rsid w:val="00EE53F4"/>
    <w:rsid w:val="00EE667C"/>
    <w:rsid w:val="00EE6ED3"/>
    <w:rsid w:val="00EF0A90"/>
    <w:rsid w:val="00EF26DC"/>
    <w:rsid w:val="00EF28BA"/>
    <w:rsid w:val="00EF2D8F"/>
    <w:rsid w:val="00F0006A"/>
    <w:rsid w:val="00F00CA9"/>
    <w:rsid w:val="00F0217B"/>
    <w:rsid w:val="00F03ED2"/>
    <w:rsid w:val="00F04AEE"/>
    <w:rsid w:val="00F04F62"/>
    <w:rsid w:val="00F0573C"/>
    <w:rsid w:val="00F06A02"/>
    <w:rsid w:val="00F110BA"/>
    <w:rsid w:val="00F11899"/>
    <w:rsid w:val="00F122BB"/>
    <w:rsid w:val="00F12F8A"/>
    <w:rsid w:val="00F140FF"/>
    <w:rsid w:val="00F156F3"/>
    <w:rsid w:val="00F16B5D"/>
    <w:rsid w:val="00F20985"/>
    <w:rsid w:val="00F2191E"/>
    <w:rsid w:val="00F21BA7"/>
    <w:rsid w:val="00F221C4"/>
    <w:rsid w:val="00F243DA"/>
    <w:rsid w:val="00F26121"/>
    <w:rsid w:val="00F30C90"/>
    <w:rsid w:val="00F33731"/>
    <w:rsid w:val="00F35A29"/>
    <w:rsid w:val="00F41795"/>
    <w:rsid w:val="00F42CC4"/>
    <w:rsid w:val="00F44AEC"/>
    <w:rsid w:val="00F450AF"/>
    <w:rsid w:val="00F47FCC"/>
    <w:rsid w:val="00F50280"/>
    <w:rsid w:val="00F56A92"/>
    <w:rsid w:val="00F57825"/>
    <w:rsid w:val="00F61211"/>
    <w:rsid w:val="00F64BAE"/>
    <w:rsid w:val="00F65CEF"/>
    <w:rsid w:val="00F72D5F"/>
    <w:rsid w:val="00F73AAF"/>
    <w:rsid w:val="00F8117A"/>
    <w:rsid w:val="00F81B2F"/>
    <w:rsid w:val="00F87957"/>
    <w:rsid w:val="00F922B5"/>
    <w:rsid w:val="00F9365D"/>
    <w:rsid w:val="00F97203"/>
    <w:rsid w:val="00F972A2"/>
    <w:rsid w:val="00F97B52"/>
    <w:rsid w:val="00FA0597"/>
    <w:rsid w:val="00FA1922"/>
    <w:rsid w:val="00FA1BB6"/>
    <w:rsid w:val="00FA2F9E"/>
    <w:rsid w:val="00FA321D"/>
    <w:rsid w:val="00FA36B8"/>
    <w:rsid w:val="00FA715E"/>
    <w:rsid w:val="00FB0F22"/>
    <w:rsid w:val="00FB1CEB"/>
    <w:rsid w:val="00FB3D83"/>
    <w:rsid w:val="00FC0473"/>
    <w:rsid w:val="00FC1BEE"/>
    <w:rsid w:val="00FC43CA"/>
    <w:rsid w:val="00FC48AB"/>
    <w:rsid w:val="00FC60E2"/>
    <w:rsid w:val="00FC7783"/>
    <w:rsid w:val="00FD01B0"/>
    <w:rsid w:val="00FD14F3"/>
    <w:rsid w:val="00FD252F"/>
    <w:rsid w:val="00FD5083"/>
    <w:rsid w:val="00FD63B7"/>
    <w:rsid w:val="00FD7691"/>
    <w:rsid w:val="00FE00A1"/>
    <w:rsid w:val="00FE1AB3"/>
    <w:rsid w:val="00FE2F6B"/>
    <w:rsid w:val="00FE712E"/>
    <w:rsid w:val="00FF3ABE"/>
    <w:rsid w:val="00FF5A97"/>
    <w:rsid w:val="00FF6C45"/>
    <w:rsid w:val="00FF7703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7BEE8E-4BC4-45D7-80C0-1F83AF3569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Zuzanna Karasiewicz</cp:lastModifiedBy>
  <cp:revision>4</cp:revision>
  <cp:lastPrinted>2023-10-27T06:57:00Z</cp:lastPrinted>
  <dcterms:created xsi:type="dcterms:W3CDTF">2023-10-31T07:01:00Z</dcterms:created>
  <dcterms:modified xsi:type="dcterms:W3CDTF">2023-10-31T08:31:00Z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44989d6e3b91d1ddfcd11d0e5060d34ac46ff7391e28517136f43d5258acc987</vt:lpwstr>
  </property>
</Properties>
</file>