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D051AFF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FD7E5A">
        <w:rPr>
          <w:rFonts w:ascii="Tahoma" w:eastAsia="Tahoma" w:hAnsi="Tahoma" w:cs="Tahoma"/>
          <w:color w:val="808080"/>
          <w:sz w:val="20"/>
          <w:szCs w:val="20"/>
        </w:rPr>
        <w:t>2</w:t>
      </w:r>
      <w:r w:rsidR="00BF365C">
        <w:rPr>
          <w:rFonts w:ascii="Tahoma" w:eastAsia="Tahoma" w:hAnsi="Tahoma" w:cs="Tahoma"/>
          <w:color w:val="808080"/>
          <w:sz w:val="20"/>
          <w:szCs w:val="20"/>
        </w:rPr>
        <w:t>2</w:t>
      </w:r>
      <w:r w:rsidR="00FD7E5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974C66">
        <w:rPr>
          <w:rFonts w:ascii="Tahoma" w:eastAsia="Tahoma" w:hAnsi="Tahoma" w:cs="Tahoma"/>
          <w:color w:val="808080"/>
          <w:sz w:val="20"/>
          <w:szCs w:val="20"/>
        </w:rPr>
        <w:t>listopada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1B44F898" w14:textId="6EBB3F54" w:rsidR="003B1DAE" w:rsidRDefault="009967C2" w:rsidP="009202B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E2BB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Trójmiasto #Obwodnica #OMT</w:t>
            </w:r>
          </w:p>
          <w:p w14:paraId="52CEB140" w14:textId="5B99D69F" w:rsidR="00974C66" w:rsidRPr="00FE5F48" w:rsidRDefault="00235829" w:rsidP="00325468">
            <w:pPr>
              <w:pBdr>
                <w:bottom w:val="single" w:sz="6" w:space="1" w:color="auto"/>
              </w:pBdr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2358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SA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</w:t>
            </w:r>
            <w:r w:rsidRPr="002358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rzyspiesza</w:t>
            </w:r>
            <w:r w:rsidR="00D968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37280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</w:t>
            </w:r>
            <w:r w:rsidRPr="002358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udowę </w:t>
            </w:r>
            <w:r w:rsidR="004A153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Obwodnicy</w:t>
            </w:r>
            <w:r w:rsidR="0032546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D968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Metropolitalnej</w:t>
            </w:r>
            <w:r w:rsidR="004A153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Trójmiasta</w:t>
            </w:r>
            <w:r w:rsidRPr="002358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D968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–</w:t>
            </w:r>
            <w:r w:rsidRPr="002358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D968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królowej polskich obwodnic</w:t>
            </w:r>
          </w:p>
          <w:p w14:paraId="71A27937" w14:textId="453B6B2A" w:rsidR="006866E9" w:rsidRPr="0058464F" w:rsidRDefault="00D9680A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SA, trzy miesiące przed terminem kontraktowym osiągnął drugi kamień milowy </w:t>
            </w:r>
            <w:r w:rsidR="00235829" w:rsidRPr="0023582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budowie Obwodnicy Metropolitalnej Trójmiasta (OMT) - kluczowej trasy dla regionu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341921" w:rsidRPr="00FE5F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Planowany czas o</w:t>
            </w:r>
            <w:r w:rsidR="005E3C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ddania trasy do użytku to kwiecień</w:t>
            </w:r>
            <w:r w:rsidR="00341921" w:rsidRPr="00FE5F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2025 r.</w:t>
            </w:r>
            <w:r w:rsidR="0085194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Zaawansowanie prac przekroczyło 50%. </w:t>
            </w:r>
          </w:p>
          <w:p w14:paraId="1C486550" w14:textId="7D144989" w:rsidR="00235829" w:rsidRPr="00235829" w:rsidRDefault="00235829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58464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Inauguracja prac nad OMT miała miejsce 24 listopada 2022 roku</w:t>
            </w:r>
            <w:r w:rsidR="0058464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.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Generalny wykonawca</w:t>
            </w:r>
            <w:r w:rsidR="00A21BFE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, ma według planów,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zrealiz</w:t>
            </w:r>
            <w:r w:rsidR="00A21BFE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ować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kontrakt o wartości </w:t>
            </w:r>
            <w:r w:rsidR="0017155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66</w:t>
            </w:r>
            <w:r w:rsidR="00F117C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8</w:t>
            </w:r>
            <w:r w:rsidR="00200A47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,8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mln zł netto w ciągu 38 miesięcy od podpisania umowy, z wyłączeniem okresów zimowych, do </w:t>
            </w:r>
            <w:r w:rsidR="00E538F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kwietnia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2025 roku.</w:t>
            </w:r>
          </w:p>
          <w:p w14:paraId="2912DD81" w14:textId="40AD344D" w:rsidR="00235829" w:rsidRDefault="00235829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Projekt </w:t>
            </w:r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obejmuje 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budowę dwujezdniowej drogi ekspresowej o długości 16,3 km, </w:t>
            </w:r>
            <w:r w:rsidR="005E3C6D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węzłów drogowych, obwodów, oraz</w:t>
            </w:r>
            <w:r w:rsidRPr="0023582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obiektów inżynieryjnych. Budimex, działając w formule "Projektuj i buduj", zobowiązał się do kompleksowej realizacji tego ambitnego przedsięwzięcia.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BED194" w14:textId="6F456444" w:rsidR="00235829" w:rsidRDefault="00235829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- </w:t>
            </w:r>
            <w:r w:rsidRPr="0023582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Budowa OMT została podzielona na dwie części. Pierwsze zadanie to odcinek węzeł Chwaszczyno (bez węzła) – węzeł Żukowo (bez węzła) o długości 16,3 km. W tej chwili jesteśmy w szczycie robót. Na placu budowy pracuje ponad 620 pracowników, aby  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zgodnie z zadeklarowanym terminem</w:t>
            </w:r>
            <w:r w:rsidRPr="0023582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powstała dwujezdniowa droga ekspresowa posiadająca po dwa pasy ruchu w każdym kierunku z rezerwą pod trzeci pas, węzły drogowe „Miszewo” oraz „Chwaszczyno”, obwód drogowy Miszewo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– </w:t>
            </w:r>
            <w:r w:rsidR="00075CD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informuje </w:t>
            </w:r>
            <w:r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Przemysław Czaja, </w:t>
            </w:r>
            <w:r w:rsidR="00A21BFE"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</w:t>
            </w:r>
            <w:r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yrektor </w:t>
            </w:r>
            <w:r w:rsidR="00A21BFE"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K</w:t>
            </w:r>
            <w:r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ontraktu </w:t>
            </w:r>
            <w:r w:rsidR="00A21BFE"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w </w:t>
            </w:r>
            <w:r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Budimex SA.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F45F521" w14:textId="2E5B6395" w:rsidR="00D33199" w:rsidRDefault="008E706C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B8296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Obecnie </w:t>
            </w:r>
            <w:r w:rsidR="00D33199" w:rsidRPr="00B8296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zaawansowanie prac przekroczyło 50%. Budowa obejmuje 16,5 km trasy głównej klasy S, 15,5 km dróg serwisowych i dojazdowych</w:t>
            </w:r>
            <w:r w:rsidR="00D33199" w:rsidRPr="00D3319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, wykonanie ponad 3 mln robót ziemnych</w:t>
            </w:r>
            <w:r w:rsidR="00A21BFE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oraz</w:t>
            </w:r>
            <w:r w:rsidR="00D3319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D33199" w:rsidRPr="00D3319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ponad 230 tys. m3 wymian gruntów. </w:t>
            </w:r>
            <w:r w:rsidRPr="008E706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W ramach OMT powstaje 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także </w:t>
            </w:r>
            <w:r w:rsidRPr="008E706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28 obiektów mostowych,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a </w:t>
            </w:r>
            <w:r w:rsidRPr="008E706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zaawansowanie prac 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w tym obszarze </w:t>
            </w:r>
            <w:r w:rsidRPr="008E706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wynosi </w:t>
            </w:r>
            <w:r w:rsidR="00FD6AC1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już </w:t>
            </w:r>
            <w:r w:rsidRPr="008E706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60%.</w:t>
            </w:r>
          </w:p>
          <w:p w14:paraId="4F7FD6E9" w14:textId="77777777" w:rsidR="008276F9" w:rsidRDefault="00D33199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- </w:t>
            </w:r>
            <w:r w:rsidR="008E706C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Praca</w:t>
            </w:r>
            <w:r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przy tym kontrakcie stanowi duże wyzwanie. Całość robót gęsto poprzecinana jest siatką dróg lokalnych i dojazdowych. W obszarze kontraktu są </w:t>
            </w:r>
            <w:r w:rsidR="00CF72B5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dwie</w:t>
            </w:r>
            <w:r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czynne linie kolejowe powodujące dodatkowe utrudnienia. Do wykonania na odcinku mamy ponad 280 tys. ton masy bitumicznej</w:t>
            </w:r>
            <w:r w:rsidR="008E706C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,</w:t>
            </w:r>
            <w:r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co stanowi naprawdę dużą skalę nawet jak na drogę klasy S</w:t>
            </w:r>
            <w:r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– </w:t>
            </w:r>
            <w:r w:rsidR="0013095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dodaje Przemysław Cz</w:t>
            </w:r>
            <w:r w:rsidR="008276F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aja.</w:t>
            </w:r>
          </w:p>
          <w:p w14:paraId="1161A976" w14:textId="04DE5B8A" w:rsidR="00B15833" w:rsidRPr="00235829" w:rsidRDefault="00D9680A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D9680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lastRenderedPageBreak/>
              <w:t xml:space="preserve">Prace na odcinku realizowanym przez Budimex postępują szybciej niż przewiduje harmonogram, co zaowocowało ‎blisko </w:t>
            </w:r>
            <w:r w:rsidR="0075765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trzy</w:t>
            </w:r>
            <w:r w:rsidRPr="00D9680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mies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ięcznym przyspieszeniem. </w:t>
            </w:r>
          </w:p>
          <w:p w14:paraId="0F26FBB5" w14:textId="3FC67216" w:rsidR="00235829" w:rsidRDefault="00C27EC4" w:rsidP="0023582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- 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Osiągnięcie </w:t>
            </w:r>
            <w:r w:rsidR="0013095F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drugiego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kamienia milowego przed terminem to nie tylko dowód efektywności, ale również zaangażowania zespołu Budimex w realizację tego kluczowego projektu infrastrukturalnego. Obwodnica Metropolitalna Trójmiasta</w:t>
            </w:r>
            <w:r w:rsidR="00BA775E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, ze względu na swoje znaczenie i skalę</w:t>
            </w:r>
            <w:r w:rsidR="00C52CC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, </w:t>
            </w:r>
            <w:r w:rsidR="004330BC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jest </w:t>
            </w:r>
            <w:r w:rsidR="00155DA7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często </w:t>
            </w:r>
            <w:r w:rsidR="004330BC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określana</w:t>
            </w:r>
            <w:r w:rsidR="00BA775E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mianem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królow</w:t>
            </w:r>
            <w:r w:rsidR="00BA775E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ej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polskich obwodnic</w:t>
            </w:r>
            <w:r w:rsidR="00C52CC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. Jej budowa to realizacja art</w:t>
            </w:r>
            <w:r w:rsidR="000150B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y</w:t>
            </w:r>
            <w:r w:rsidR="00C52CC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k</w:t>
            </w:r>
            <w:r w:rsidR="000150B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u</w:t>
            </w:r>
            <w:r w:rsidR="00C52CC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łowanych od lat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oczekiwa</w:t>
            </w:r>
            <w:r w:rsidR="000150B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ń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mieszkańców Trójmiasta</w:t>
            </w:r>
            <w:r w:rsidR="000150B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i</w:t>
            </w:r>
            <w:r w:rsidR="00235829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Pomorza</w:t>
            </w:r>
            <w:r w:rsidR="00D77248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, ale znaczenie samej trasy</w:t>
            </w:r>
            <w:r w:rsidR="004A788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jest równie</w:t>
            </w:r>
            <w:r w:rsidR="002A4264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ż</w:t>
            </w:r>
            <w:r w:rsidR="004A788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istotne z punktu widzenia krajowego </w:t>
            </w:r>
            <w:r w:rsidR="002A4264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i międzynarodowego </w:t>
            </w:r>
            <w:r w:rsidR="004A7880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tranzytu</w:t>
            </w:r>
            <w:r w:rsidR="006804FF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2A4264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oraz</w:t>
            </w:r>
            <w:r w:rsidR="006804FF" w:rsidRPr="00C27EC4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turystyki</w:t>
            </w:r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” – mówi Jakub </w:t>
            </w:r>
            <w:proofErr w:type="spellStart"/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Długoszek</w:t>
            </w:r>
            <w:proofErr w:type="spellEnd"/>
            <w:r w:rsidR="00D925A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,</w:t>
            </w:r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Dyrektor Budownictwa Infrastrukturalnego </w:t>
            </w:r>
            <w:r w:rsidR="00D925A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w Budimex SA.</w:t>
            </w:r>
          </w:p>
          <w:p w14:paraId="1706F8C1" w14:textId="66CEBF6E" w:rsidR="00D64822" w:rsidRDefault="00D64822" w:rsidP="00A3350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</w:pPr>
            <w:r w:rsidRPr="00D64822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Budowana obwodnica 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jest </w:t>
            </w:r>
            <w:r w:rsidR="00923E9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również 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istotna dla regionu poprzez swoje</w:t>
            </w:r>
            <w:r w:rsidRPr="00D64822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strategiczne znaczenie dla transportu ‎w obrębie Żukowa oraz Chwaszczyna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. Jej obecność w </w:t>
            </w:r>
            <w:r w:rsidR="00B24C7C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znaczący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sposób</w:t>
            </w:r>
            <w:r w:rsidRPr="00D64822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odciąży ruch na istniejącej drodze ‎ekspresowej S6 Obwodnicy Trójmiasta.‎</w:t>
            </w:r>
          </w:p>
          <w:p w14:paraId="308D38A1" w14:textId="4FB9CBFB" w:rsidR="00235829" w:rsidRDefault="008E706C" w:rsidP="00A3350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- 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Dziękujemy za wsparcie, jakie otrzymujemy od mieszkańców Trójmiasta i Pomorza. To dla nas dodatkow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a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motywacj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a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do jeszcze intensywniejszej pracy. Jesteśmy pełni determinacji, aby zrealizować ten projekt zgodnie z najwyższymi standardami i 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w umówionym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termin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ie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. Obwodnica Metropolitalna Trójmiasta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, po osiągnięciu przewidywanego kształtu,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stanie się rzeczywiście królową polskich obwodnic, a my jesteśmy dumni, że możemy być jej </w:t>
            </w:r>
            <w:r w:rsidR="00A21BFE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współ</w:t>
            </w:r>
            <w:r w:rsidR="00235829" w:rsidRPr="00D33199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twórcami</w:t>
            </w:r>
            <w:r w:rsidR="00D3319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– doda</w:t>
            </w:r>
            <w:r w:rsidR="00A21BFE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je</w:t>
            </w:r>
            <w:r w:rsidR="00D3319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Pr="00645660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Przemysław Czaja</w:t>
            </w:r>
            <w:r w:rsidR="00A21BFE">
              <w:rPr>
                <w:rFonts w:ascii="Tahoma" w:hAnsi="Tahoma" w:cs="Tahoma"/>
                <w:b/>
                <w:bCs/>
                <w:color w:val="747678"/>
                <w:sz w:val="18"/>
                <w:szCs w:val="18"/>
                <w:shd w:val="clear" w:color="auto" w:fill="FFFFFF"/>
              </w:rPr>
              <w:t>.</w:t>
            </w:r>
          </w:p>
          <w:p w14:paraId="5BEB2A06" w14:textId="05D0E7F5" w:rsidR="00900B52" w:rsidRPr="00FE5F48" w:rsidRDefault="00ED7EA9" w:rsidP="00A3350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Docelowo OMT bę</w:t>
            </w:r>
            <w:r w:rsidR="00DD3557"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dzie miała około 39 km długości </w:t>
            </w:r>
            <w:r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i umożliwi sprawny przejazd od strony autostrady A</w:t>
            </w:r>
            <w:r w:rsidR="004861F8"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1 oraz S7 w kierunku zachodnim oraz</w:t>
            </w:r>
            <w:r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 północnym województwa pomorskiego, wyprowadzając ruch tranzytowy na dalsze odcinki trasy S6 w kierunku Lęborka, Słupska i Koszalina. </w:t>
            </w:r>
          </w:p>
          <w:p w14:paraId="60313CBA" w14:textId="1674C5FB" w:rsidR="00900B52" w:rsidRDefault="00B9623E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FE5F4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OMT to kolejna inwestycja infrastrukturalna w portfolio Budimeksu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. W tym roku fir</w:t>
            </w:r>
            <w:r w:rsidR="00B6528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m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a ukończy</w:t>
            </w:r>
            <w:r w:rsidR="00B6528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ł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a m.in. budowę odcinka S-11 – </w:t>
            </w:r>
            <w:r w:rsidR="00A63B5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„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drogi życia</w:t>
            </w:r>
            <w:r w:rsidR="00A63B5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”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dla Pomorza Środkowego i Wielkopolski, oraz autostrady A-18 przykładaj</w:t>
            </w:r>
            <w:r w:rsidR="00E5703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ą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c się do likwidacji</w:t>
            </w:r>
            <w:r w:rsidR="00E5703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A63B5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tzw. „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najdłuższy</w:t>
            </w:r>
            <w:r w:rsidR="00A63B5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ch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schodów Europy</w:t>
            </w:r>
            <w:r w:rsidR="00A63B59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”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. </w:t>
            </w:r>
            <w:r w:rsidR="00EB5371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- </w:t>
            </w:r>
            <w:r w:rsidR="008345EA" w:rsidRPr="00645660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Pracujemy przy newralgicznych trasach, nasze kompetencje w zakresie infrastruktury pozwalają sprostać wymaganiom tych odcinków i terminowej, a nierzadko szybszej niż zakładana w harmonogramie, realizacji prac. Wiemy, że takie inwestycje, </w:t>
            </w:r>
            <w:r w:rsidR="006B34A6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od razu</w:t>
            </w:r>
            <w:r w:rsidR="008345EA" w:rsidRPr="00645660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przekładają się na rozwój regionu i poprawienie komfortu oraz bezpieczeństwa podróżujących</w:t>
            </w:r>
            <w:r w:rsidR="008345EA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– mówi </w:t>
            </w:r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Jakub </w:t>
            </w:r>
            <w:proofErr w:type="spellStart"/>
            <w:r w:rsidR="00B1583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Długoszek</w:t>
            </w:r>
            <w:proofErr w:type="spellEnd"/>
            <w:r w:rsidR="004E118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.</w:t>
            </w:r>
          </w:p>
          <w:p w14:paraId="4489F232" w14:textId="7B683B00" w:rsidR="00974C66" w:rsidRPr="004E118F" w:rsidRDefault="00B15833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Budimex realizuje średnio co czwarty kilometr drogi ekspresowej w Polsce. Osiemdziesiąt procent kontraktów drogowych polski generalny wykonawca realizuje przed terminem kontraktowym. </w:t>
            </w:r>
          </w:p>
          <w:p w14:paraId="5509281A" w14:textId="77777777" w:rsidR="00E962C0" w:rsidRDefault="00E962C0" w:rsidP="00125D50">
            <w:pPr>
              <w:ind w:right="1"/>
              <w:jc w:val="both"/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</w:pPr>
          </w:p>
          <w:p w14:paraId="2DC5BB1C" w14:textId="4D9F92D4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lastRenderedPageBreak/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</w:t>
            </w:r>
            <w:r w:rsidR="008E706C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br/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2AD6F0D0" w:rsidR="00DF5F3A" w:rsidRPr="00C74A85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iCs/>
                <w:color w:val="0000FF" w:themeColor="hyperlink"/>
                <w:sz w:val="16"/>
                <w:szCs w:val="16"/>
                <w:u w:val="single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BF365C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BF365C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5C74" w14:textId="77777777" w:rsidR="00B57823" w:rsidRDefault="00B57823">
      <w:pPr>
        <w:spacing w:after="0" w:line="240" w:lineRule="auto"/>
      </w:pPr>
      <w:r>
        <w:separator/>
      </w:r>
    </w:p>
  </w:endnote>
  <w:endnote w:type="continuationSeparator" w:id="0">
    <w:p w14:paraId="7C5A159A" w14:textId="77777777" w:rsidR="00B57823" w:rsidRDefault="00B57823">
      <w:pPr>
        <w:spacing w:after="0" w:line="240" w:lineRule="auto"/>
      </w:pPr>
      <w:r>
        <w:continuationSeparator/>
      </w:r>
    </w:p>
  </w:endnote>
  <w:endnote w:type="continuationNotice" w:id="1">
    <w:p w14:paraId="1F2DDDE7" w14:textId="77777777" w:rsidR="00B57823" w:rsidRDefault="00B57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309C" w14:textId="77777777" w:rsidR="00B57823" w:rsidRDefault="00B57823">
      <w:pPr>
        <w:spacing w:after="0" w:line="240" w:lineRule="auto"/>
      </w:pPr>
      <w:r>
        <w:separator/>
      </w:r>
    </w:p>
  </w:footnote>
  <w:footnote w:type="continuationSeparator" w:id="0">
    <w:p w14:paraId="030F3544" w14:textId="77777777" w:rsidR="00B57823" w:rsidRDefault="00B57823">
      <w:pPr>
        <w:spacing w:after="0" w:line="240" w:lineRule="auto"/>
      </w:pPr>
      <w:r>
        <w:continuationSeparator/>
      </w:r>
    </w:p>
  </w:footnote>
  <w:footnote w:type="continuationNotice" w:id="1">
    <w:p w14:paraId="043CE82A" w14:textId="77777777" w:rsidR="00B57823" w:rsidRDefault="00B57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6279892">
    <w:abstractNumId w:val="2"/>
  </w:num>
  <w:num w:numId="2" w16cid:durableId="1618564062">
    <w:abstractNumId w:val="3"/>
  </w:num>
  <w:num w:numId="3" w16cid:durableId="305016335">
    <w:abstractNumId w:val="1"/>
  </w:num>
  <w:num w:numId="4" w16cid:durableId="202782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0948"/>
    <w:rsid w:val="00002DF2"/>
    <w:rsid w:val="000150B9"/>
    <w:rsid w:val="000173CA"/>
    <w:rsid w:val="00017CE9"/>
    <w:rsid w:val="00022A6A"/>
    <w:rsid w:val="00025792"/>
    <w:rsid w:val="00044F06"/>
    <w:rsid w:val="00045270"/>
    <w:rsid w:val="00051E15"/>
    <w:rsid w:val="000535C6"/>
    <w:rsid w:val="0005467F"/>
    <w:rsid w:val="00056F8B"/>
    <w:rsid w:val="000607D4"/>
    <w:rsid w:val="000627AA"/>
    <w:rsid w:val="00063F95"/>
    <w:rsid w:val="00075A5D"/>
    <w:rsid w:val="00075CDA"/>
    <w:rsid w:val="000851A2"/>
    <w:rsid w:val="00087DBB"/>
    <w:rsid w:val="000B1755"/>
    <w:rsid w:val="000B7ACF"/>
    <w:rsid w:val="000D15EA"/>
    <w:rsid w:val="000D3B26"/>
    <w:rsid w:val="000E1B21"/>
    <w:rsid w:val="000E2A64"/>
    <w:rsid w:val="000E4089"/>
    <w:rsid w:val="000E432E"/>
    <w:rsid w:val="00102AE8"/>
    <w:rsid w:val="001107ED"/>
    <w:rsid w:val="0011247D"/>
    <w:rsid w:val="00116246"/>
    <w:rsid w:val="00116F69"/>
    <w:rsid w:val="0012006A"/>
    <w:rsid w:val="00125D50"/>
    <w:rsid w:val="0013095F"/>
    <w:rsid w:val="00147241"/>
    <w:rsid w:val="001537D6"/>
    <w:rsid w:val="00155DA7"/>
    <w:rsid w:val="00170C68"/>
    <w:rsid w:val="0017155B"/>
    <w:rsid w:val="00172D1D"/>
    <w:rsid w:val="001746AB"/>
    <w:rsid w:val="001836EF"/>
    <w:rsid w:val="00183C26"/>
    <w:rsid w:val="0018791B"/>
    <w:rsid w:val="00192890"/>
    <w:rsid w:val="00195F51"/>
    <w:rsid w:val="001A1A80"/>
    <w:rsid w:val="001B7483"/>
    <w:rsid w:val="001C6FB2"/>
    <w:rsid w:val="001C73F2"/>
    <w:rsid w:val="001C765C"/>
    <w:rsid w:val="001C7D7E"/>
    <w:rsid w:val="001D6410"/>
    <w:rsid w:val="001D6609"/>
    <w:rsid w:val="001E2A10"/>
    <w:rsid w:val="001E3510"/>
    <w:rsid w:val="001F0F39"/>
    <w:rsid w:val="001F5C15"/>
    <w:rsid w:val="001F67DB"/>
    <w:rsid w:val="00200472"/>
    <w:rsid w:val="00200A47"/>
    <w:rsid w:val="00203086"/>
    <w:rsid w:val="00205CBB"/>
    <w:rsid w:val="00206E7C"/>
    <w:rsid w:val="002342F3"/>
    <w:rsid w:val="00235829"/>
    <w:rsid w:val="00237B08"/>
    <w:rsid w:val="00244566"/>
    <w:rsid w:val="002541C4"/>
    <w:rsid w:val="0027391F"/>
    <w:rsid w:val="00285560"/>
    <w:rsid w:val="002911B6"/>
    <w:rsid w:val="002A2BBB"/>
    <w:rsid w:val="002A4264"/>
    <w:rsid w:val="002A4C7C"/>
    <w:rsid w:val="002B0328"/>
    <w:rsid w:val="002B5369"/>
    <w:rsid w:val="002B76CF"/>
    <w:rsid w:val="002E34D2"/>
    <w:rsid w:val="002E37BE"/>
    <w:rsid w:val="002F1071"/>
    <w:rsid w:val="002F452A"/>
    <w:rsid w:val="00307758"/>
    <w:rsid w:val="0030799E"/>
    <w:rsid w:val="003167EA"/>
    <w:rsid w:val="00325468"/>
    <w:rsid w:val="00326F2D"/>
    <w:rsid w:val="00341921"/>
    <w:rsid w:val="00343058"/>
    <w:rsid w:val="00343C19"/>
    <w:rsid w:val="00353562"/>
    <w:rsid w:val="00357C3A"/>
    <w:rsid w:val="00360101"/>
    <w:rsid w:val="00365D17"/>
    <w:rsid w:val="00371B37"/>
    <w:rsid w:val="0037280F"/>
    <w:rsid w:val="00377A2D"/>
    <w:rsid w:val="00382064"/>
    <w:rsid w:val="003841EF"/>
    <w:rsid w:val="00391521"/>
    <w:rsid w:val="00393386"/>
    <w:rsid w:val="00396AA9"/>
    <w:rsid w:val="003A152A"/>
    <w:rsid w:val="003A177A"/>
    <w:rsid w:val="003A4D98"/>
    <w:rsid w:val="003B1DAE"/>
    <w:rsid w:val="003C5333"/>
    <w:rsid w:val="003E24A7"/>
    <w:rsid w:val="0040792B"/>
    <w:rsid w:val="00417411"/>
    <w:rsid w:val="00425428"/>
    <w:rsid w:val="0042742A"/>
    <w:rsid w:val="004330BC"/>
    <w:rsid w:val="00440954"/>
    <w:rsid w:val="00442C36"/>
    <w:rsid w:val="004524BB"/>
    <w:rsid w:val="00454300"/>
    <w:rsid w:val="00454DF7"/>
    <w:rsid w:val="0045650D"/>
    <w:rsid w:val="004571FF"/>
    <w:rsid w:val="00457AA5"/>
    <w:rsid w:val="00463DB1"/>
    <w:rsid w:val="0046697A"/>
    <w:rsid w:val="00473F87"/>
    <w:rsid w:val="00482FFC"/>
    <w:rsid w:val="004861F8"/>
    <w:rsid w:val="0048734C"/>
    <w:rsid w:val="0049557E"/>
    <w:rsid w:val="004A153E"/>
    <w:rsid w:val="004A6EE5"/>
    <w:rsid w:val="004A7880"/>
    <w:rsid w:val="004B0095"/>
    <w:rsid w:val="004B3484"/>
    <w:rsid w:val="004B36C2"/>
    <w:rsid w:val="004B6F46"/>
    <w:rsid w:val="004C5C27"/>
    <w:rsid w:val="004D23DB"/>
    <w:rsid w:val="004D2CB9"/>
    <w:rsid w:val="004E118F"/>
    <w:rsid w:val="004E13B4"/>
    <w:rsid w:val="004E4796"/>
    <w:rsid w:val="004F43D9"/>
    <w:rsid w:val="004F7FD5"/>
    <w:rsid w:val="0050639D"/>
    <w:rsid w:val="005166FB"/>
    <w:rsid w:val="005234C8"/>
    <w:rsid w:val="0054395F"/>
    <w:rsid w:val="005608FA"/>
    <w:rsid w:val="005667C8"/>
    <w:rsid w:val="005726F4"/>
    <w:rsid w:val="00581480"/>
    <w:rsid w:val="005818DA"/>
    <w:rsid w:val="0058464F"/>
    <w:rsid w:val="00597E08"/>
    <w:rsid w:val="005C7B13"/>
    <w:rsid w:val="005D7BA2"/>
    <w:rsid w:val="005E3C6D"/>
    <w:rsid w:val="005E5391"/>
    <w:rsid w:val="005E6E83"/>
    <w:rsid w:val="00602232"/>
    <w:rsid w:val="00615F6F"/>
    <w:rsid w:val="00617FB9"/>
    <w:rsid w:val="00621025"/>
    <w:rsid w:val="006230EB"/>
    <w:rsid w:val="0063526B"/>
    <w:rsid w:val="00645660"/>
    <w:rsid w:val="00653141"/>
    <w:rsid w:val="00656558"/>
    <w:rsid w:val="00656A8A"/>
    <w:rsid w:val="006624BA"/>
    <w:rsid w:val="00664B42"/>
    <w:rsid w:val="00666336"/>
    <w:rsid w:val="006774E1"/>
    <w:rsid w:val="006804FF"/>
    <w:rsid w:val="00683A00"/>
    <w:rsid w:val="006866E9"/>
    <w:rsid w:val="006944A4"/>
    <w:rsid w:val="006A6AC2"/>
    <w:rsid w:val="006B23E5"/>
    <w:rsid w:val="006B34A6"/>
    <w:rsid w:val="00733A2E"/>
    <w:rsid w:val="00733DAD"/>
    <w:rsid w:val="00734D0A"/>
    <w:rsid w:val="00737601"/>
    <w:rsid w:val="00753410"/>
    <w:rsid w:val="00757654"/>
    <w:rsid w:val="007619F3"/>
    <w:rsid w:val="00764B40"/>
    <w:rsid w:val="0077410D"/>
    <w:rsid w:val="00781262"/>
    <w:rsid w:val="007866B6"/>
    <w:rsid w:val="00792086"/>
    <w:rsid w:val="0079464C"/>
    <w:rsid w:val="007A0CF3"/>
    <w:rsid w:val="007B1336"/>
    <w:rsid w:val="007C63DE"/>
    <w:rsid w:val="007C6A6A"/>
    <w:rsid w:val="007F6B0C"/>
    <w:rsid w:val="00800D2C"/>
    <w:rsid w:val="008121D0"/>
    <w:rsid w:val="00815A09"/>
    <w:rsid w:val="00815B55"/>
    <w:rsid w:val="00821277"/>
    <w:rsid w:val="00821D89"/>
    <w:rsid w:val="00826D13"/>
    <w:rsid w:val="008276F9"/>
    <w:rsid w:val="008345EA"/>
    <w:rsid w:val="008363EC"/>
    <w:rsid w:val="00844EF0"/>
    <w:rsid w:val="00845EC4"/>
    <w:rsid w:val="0085194C"/>
    <w:rsid w:val="008528AF"/>
    <w:rsid w:val="00862E0C"/>
    <w:rsid w:val="008745A4"/>
    <w:rsid w:val="00876DE2"/>
    <w:rsid w:val="00885B0E"/>
    <w:rsid w:val="0088608D"/>
    <w:rsid w:val="00892899"/>
    <w:rsid w:val="008A1719"/>
    <w:rsid w:val="008A6C3B"/>
    <w:rsid w:val="008A79BD"/>
    <w:rsid w:val="008A7B8B"/>
    <w:rsid w:val="008B2324"/>
    <w:rsid w:val="008B7319"/>
    <w:rsid w:val="008E6807"/>
    <w:rsid w:val="008E6A61"/>
    <w:rsid w:val="008E706C"/>
    <w:rsid w:val="00900B52"/>
    <w:rsid w:val="00910344"/>
    <w:rsid w:val="009202BE"/>
    <w:rsid w:val="00923E9A"/>
    <w:rsid w:val="009259BC"/>
    <w:rsid w:val="00930A84"/>
    <w:rsid w:val="00931031"/>
    <w:rsid w:val="0094259B"/>
    <w:rsid w:val="009462D1"/>
    <w:rsid w:val="00952E46"/>
    <w:rsid w:val="00956E5B"/>
    <w:rsid w:val="00974C66"/>
    <w:rsid w:val="00976376"/>
    <w:rsid w:val="00980F68"/>
    <w:rsid w:val="0098276A"/>
    <w:rsid w:val="00984ECE"/>
    <w:rsid w:val="00986D51"/>
    <w:rsid w:val="0098704A"/>
    <w:rsid w:val="0099147C"/>
    <w:rsid w:val="00994034"/>
    <w:rsid w:val="00994841"/>
    <w:rsid w:val="009967C2"/>
    <w:rsid w:val="009A2909"/>
    <w:rsid w:val="009B0A37"/>
    <w:rsid w:val="009B1449"/>
    <w:rsid w:val="009B73E1"/>
    <w:rsid w:val="009D43F4"/>
    <w:rsid w:val="009D5FA8"/>
    <w:rsid w:val="009D7093"/>
    <w:rsid w:val="009E2BBA"/>
    <w:rsid w:val="009E31B7"/>
    <w:rsid w:val="009E3AFD"/>
    <w:rsid w:val="00A058C5"/>
    <w:rsid w:val="00A132E1"/>
    <w:rsid w:val="00A212CB"/>
    <w:rsid w:val="00A21BFE"/>
    <w:rsid w:val="00A302C4"/>
    <w:rsid w:val="00A319D4"/>
    <w:rsid w:val="00A33503"/>
    <w:rsid w:val="00A4491D"/>
    <w:rsid w:val="00A51B54"/>
    <w:rsid w:val="00A63B59"/>
    <w:rsid w:val="00A641AD"/>
    <w:rsid w:val="00A751EB"/>
    <w:rsid w:val="00A90CED"/>
    <w:rsid w:val="00A96F60"/>
    <w:rsid w:val="00AA2306"/>
    <w:rsid w:val="00AB13B2"/>
    <w:rsid w:val="00AB41A5"/>
    <w:rsid w:val="00AD373B"/>
    <w:rsid w:val="00AD4501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15833"/>
    <w:rsid w:val="00B202B8"/>
    <w:rsid w:val="00B24C7C"/>
    <w:rsid w:val="00B267EF"/>
    <w:rsid w:val="00B4259F"/>
    <w:rsid w:val="00B456AB"/>
    <w:rsid w:val="00B46EF9"/>
    <w:rsid w:val="00B54304"/>
    <w:rsid w:val="00B55183"/>
    <w:rsid w:val="00B57823"/>
    <w:rsid w:val="00B57EEC"/>
    <w:rsid w:val="00B64BF4"/>
    <w:rsid w:val="00B65288"/>
    <w:rsid w:val="00B738C4"/>
    <w:rsid w:val="00B82964"/>
    <w:rsid w:val="00B87263"/>
    <w:rsid w:val="00B9623E"/>
    <w:rsid w:val="00BA775E"/>
    <w:rsid w:val="00BA7C09"/>
    <w:rsid w:val="00BB4675"/>
    <w:rsid w:val="00BE0361"/>
    <w:rsid w:val="00BE12D6"/>
    <w:rsid w:val="00BF365C"/>
    <w:rsid w:val="00C25EB3"/>
    <w:rsid w:val="00C27EC4"/>
    <w:rsid w:val="00C4409C"/>
    <w:rsid w:val="00C448E6"/>
    <w:rsid w:val="00C52CC0"/>
    <w:rsid w:val="00C5373F"/>
    <w:rsid w:val="00C54475"/>
    <w:rsid w:val="00C64A91"/>
    <w:rsid w:val="00C74A85"/>
    <w:rsid w:val="00C74D83"/>
    <w:rsid w:val="00C7678B"/>
    <w:rsid w:val="00CA3C4C"/>
    <w:rsid w:val="00CA61D7"/>
    <w:rsid w:val="00CB4A4E"/>
    <w:rsid w:val="00CB73F1"/>
    <w:rsid w:val="00CE4B1E"/>
    <w:rsid w:val="00CE4F9D"/>
    <w:rsid w:val="00CF1029"/>
    <w:rsid w:val="00CF331B"/>
    <w:rsid w:val="00CF72B5"/>
    <w:rsid w:val="00D0541E"/>
    <w:rsid w:val="00D203C5"/>
    <w:rsid w:val="00D30DBB"/>
    <w:rsid w:val="00D32CA3"/>
    <w:rsid w:val="00D33199"/>
    <w:rsid w:val="00D374D3"/>
    <w:rsid w:val="00D40B49"/>
    <w:rsid w:val="00D42BF4"/>
    <w:rsid w:val="00D431B3"/>
    <w:rsid w:val="00D564EE"/>
    <w:rsid w:val="00D62673"/>
    <w:rsid w:val="00D63FCB"/>
    <w:rsid w:val="00D64584"/>
    <w:rsid w:val="00D64822"/>
    <w:rsid w:val="00D67D0B"/>
    <w:rsid w:val="00D729D2"/>
    <w:rsid w:val="00D77248"/>
    <w:rsid w:val="00D77591"/>
    <w:rsid w:val="00D86F95"/>
    <w:rsid w:val="00D925AF"/>
    <w:rsid w:val="00D940A2"/>
    <w:rsid w:val="00D9680A"/>
    <w:rsid w:val="00D97020"/>
    <w:rsid w:val="00DA0F61"/>
    <w:rsid w:val="00DA24B5"/>
    <w:rsid w:val="00DA3BE0"/>
    <w:rsid w:val="00DB12FC"/>
    <w:rsid w:val="00DC033A"/>
    <w:rsid w:val="00DC5F43"/>
    <w:rsid w:val="00DD2AAC"/>
    <w:rsid w:val="00DD3557"/>
    <w:rsid w:val="00DD67EE"/>
    <w:rsid w:val="00DD7008"/>
    <w:rsid w:val="00DE3C90"/>
    <w:rsid w:val="00DF25E5"/>
    <w:rsid w:val="00DF5F3A"/>
    <w:rsid w:val="00E02A7B"/>
    <w:rsid w:val="00E075B9"/>
    <w:rsid w:val="00E1569A"/>
    <w:rsid w:val="00E162E5"/>
    <w:rsid w:val="00E31E81"/>
    <w:rsid w:val="00E41DD0"/>
    <w:rsid w:val="00E42B5E"/>
    <w:rsid w:val="00E43C68"/>
    <w:rsid w:val="00E47C45"/>
    <w:rsid w:val="00E538FA"/>
    <w:rsid w:val="00E53EE2"/>
    <w:rsid w:val="00E57034"/>
    <w:rsid w:val="00E662FF"/>
    <w:rsid w:val="00E71071"/>
    <w:rsid w:val="00E725B5"/>
    <w:rsid w:val="00E73188"/>
    <w:rsid w:val="00E74C2B"/>
    <w:rsid w:val="00E75C19"/>
    <w:rsid w:val="00E8571A"/>
    <w:rsid w:val="00E8668D"/>
    <w:rsid w:val="00E87862"/>
    <w:rsid w:val="00E962C0"/>
    <w:rsid w:val="00EA009C"/>
    <w:rsid w:val="00EA2FF8"/>
    <w:rsid w:val="00EB307C"/>
    <w:rsid w:val="00EB5371"/>
    <w:rsid w:val="00ED4BD3"/>
    <w:rsid w:val="00ED527E"/>
    <w:rsid w:val="00ED5AE6"/>
    <w:rsid w:val="00ED7EA9"/>
    <w:rsid w:val="00EE3A51"/>
    <w:rsid w:val="00EE7C22"/>
    <w:rsid w:val="00EF4765"/>
    <w:rsid w:val="00F00688"/>
    <w:rsid w:val="00F01D7B"/>
    <w:rsid w:val="00F03A4A"/>
    <w:rsid w:val="00F0663D"/>
    <w:rsid w:val="00F1073B"/>
    <w:rsid w:val="00F117C4"/>
    <w:rsid w:val="00F2580C"/>
    <w:rsid w:val="00F37255"/>
    <w:rsid w:val="00F70BEA"/>
    <w:rsid w:val="00F711F1"/>
    <w:rsid w:val="00F74E5F"/>
    <w:rsid w:val="00F77E12"/>
    <w:rsid w:val="00F805B0"/>
    <w:rsid w:val="00F8068E"/>
    <w:rsid w:val="00F8462E"/>
    <w:rsid w:val="00F85CAE"/>
    <w:rsid w:val="00F973E9"/>
    <w:rsid w:val="00FB12A7"/>
    <w:rsid w:val="00FB2B85"/>
    <w:rsid w:val="00FB5804"/>
    <w:rsid w:val="00FC24E6"/>
    <w:rsid w:val="00FC3CA8"/>
    <w:rsid w:val="00FC6071"/>
    <w:rsid w:val="00FD2F0C"/>
    <w:rsid w:val="00FD6AC1"/>
    <w:rsid w:val="00FD765F"/>
    <w:rsid w:val="00FD7E5A"/>
    <w:rsid w:val="00FE2B9F"/>
    <w:rsid w:val="00FE4A36"/>
    <w:rsid w:val="00FE5685"/>
    <w:rsid w:val="00FE5F48"/>
    <w:rsid w:val="00FE60DE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9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f6fa9-6f24-4f19-be03-22d4854530de">
      <Terms xmlns="http://schemas.microsoft.com/office/infopath/2007/PartnerControls"/>
    </lcf76f155ced4ddcb4097134ff3c332f>
    <TaxCatchAll xmlns="50df2969-8187-45ba-ba04-e64333525b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70BBDAEB13A4AB259C40D0BA589FA" ma:contentTypeVersion="17" ma:contentTypeDescription="Utwórz nowy dokument." ma:contentTypeScope="" ma:versionID="700052c7cf8a168743943718fd861e07">
  <xsd:schema xmlns:xsd="http://www.w3.org/2001/XMLSchema" xmlns:xs="http://www.w3.org/2001/XMLSchema" xmlns:p="http://schemas.microsoft.com/office/2006/metadata/properties" xmlns:ns2="703f6fa9-6f24-4f19-be03-22d4854530de" xmlns:ns3="50df2969-8187-45ba-ba04-e64333525b54" targetNamespace="http://schemas.microsoft.com/office/2006/metadata/properties" ma:root="true" ma:fieldsID="1f732e61bfda16a0e8818f34b22ae8e1" ns2:_="" ns3:_="">
    <xsd:import namespace="703f6fa9-6f24-4f19-be03-22d4854530de"/>
    <xsd:import namespace="50df2969-8187-45ba-ba04-e6433352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6fa9-6f24-4f19-be03-22d4854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c48f839-6dc6-4d7c-bc7b-118a5fbd1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2969-8187-45ba-ba04-e64333525b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1dcb65-2460-4c58-8d3e-b8a9c83c48c8}" ma:internalName="TaxCatchAll" ma:showField="CatchAllData" ma:web="50df2969-8187-45ba-ba04-e64333525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BB85A-6E5C-4E83-8DAB-D296D955B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50df2969-8187-45ba-ba04-e64333525b54"/>
    <ds:schemaRef ds:uri="703f6fa9-6f24-4f19-be03-22d4854530d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5C980F-2447-4964-B2F0-D67F8765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f6fa9-6f24-4f19-be03-22d4854530de"/>
    <ds:schemaRef ds:uri="50df2969-8187-45ba-ba04-e6433352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2023-11-22T12:26:00Z</dcterms:created>
  <dcterms:modified xsi:type="dcterms:W3CDTF">2023-11-22T12:26:00Z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  <property fmtid="{D5CDD505-2E9C-101B-9397-08002B2CF9AE}" pid="10" name="MediaServiceImageTags">
    <vt:lpwstr/>
  </property>
</Properties>
</file>