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43D50" w14:textId="4B802EC9" w:rsidR="003B1DAE" w:rsidRDefault="009967C2">
      <w:pPr>
        <w:tabs>
          <w:tab w:val="left" w:pos="905"/>
          <w:tab w:val="right" w:pos="9298"/>
        </w:tabs>
        <w:spacing w:after="0" w:line="360" w:lineRule="auto"/>
        <w:jc w:val="right"/>
        <w:rPr>
          <w:rFonts w:ascii="Tahoma" w:eastAsia="Tahoma" w:hAnsi="Tahoma" w:cs="Tahoma"/>
          <w:color w:val="808080"/>
          <w:sz w:val="20"/>
          <w:szCs w:val="20"/>
          <w:highlight w:val="white"/>
        </w:rPr>
      </w:pPr>
      <w:r>
        <w:rPr>
          <w:rFonts w:ascii="Tahoma" w:eastAsia="Tahoma" w:hAnsi="Tahoma" w:cs="Tahoma"/>
          <w:color w:val="808080"/>
          <w:sz w:val="20"/>
          <w:szCs w:val="20"/>
        </w:rPr>
        <w:tab/>
      </w:r>
      <w:r>
        <w:rPr>
          <w:rFonts w:ascii="Tahoma" w:eastAsia="Tahoma" w:hAnsi="Tahoma" w:cs="Tahoma"/>
          <w:color w:val="808080"/>
          <w:sz w:val="20"/>
          <w:szCs w:val="20"/>
        </w:rPr>
        <w:tab/>
        <w:t xml:space="preserve">Warszawa, </w:t>
      </w:r>
      <w:r w:rsidR="001F34D3">
        <w:rPr>
          <w:rFonts w:ascii="Tahoma" w:eastAsia="Tahoma" w:hAnsi="Tahoma" w:cs="Tahoma"/>
          <w:color w:val="808080"/>
          <w:sz w:val="20"/>
          <w:szCs w:val="20"/>
        </w:rPr>
        <w:t>21</w:t>
      </w:r>
      <w:r w:rsidR="008805C6">
        <w:rPr>
          <w:rFonts w:ascii="Tahoma" w:eastAsia="Tahoma" w:hAnsi="Tahoma" w:cs="Tahoma"/>
          <w:color w:val="808080"/>
          <w:sz w:val="20"/>
          <w:szCs w:val="20"/>
        </w:rPr>
        <w:t xml:space="preserve"> grudnia </w:t>
      </w:r>
      <w:r w:rsidR="00B456AB">
        <w:rPr>
          <w:rFonts w:ascii="Tahoma" w:eastAsia="Tahoma" w:hAnsi="Tahoma" w:cs="Tahoma"/>
          <w:color w:val="808080"/>
          <w:sz w:val="20"/>
          <w:szCs w:val="20"/>
          <w:highlight w:val="white"/>
        </w:rPr>
        <w:t>2023</w:t>
      </w:r>
      <w:r>
        <w:rPr>
          <w:rFonts w:ascii="Tahoma" w:eastAsia="Tahoma" w:hAnsi="Tahoma" w:cs="Tahoma"/>
          <w:color w:val="808080"/>
          <w:sz w:val="20"/>
          <w:szCs w:val="20"/>
          <w:highlight w:val="white"/>
        </w:rPr>
        <w:t xml:space="preserve"> r.</w:t>
      </w:r>
    </w:p>
    <w:p w14:paraId="7F210525" w14:textId="77777777" w:rsidR="003B1DAE" w:rsidRDefault="009967C2">
      <w:pPr>
        <w:spacing w:line="360" w:lineRule="auto"/>
        <w:jc w:val="center"/>
        <w:rPr>
          <w:rFonts w:ascii="Tahoma" w:eastAsia="Tahoma" w:hAnsi="Tahoma" w:cs="Tahoma"/>
          <w:b/>
          <w:color w:val="FFC000"/>
        </w:rPr>
      </w:pPr>
      <w:r>
        <w:rPr>
          <w:noProof/>
        </w:rPr>
        <w:drawing>
          <wp:anchor distT="0" distB="0" distL="114300" distR="114300" simplePos="0" relativeHeight="251658240" behindDoc="0" locked="0" layoutInCell="1" hidden="0" allowOverlap="1" wp14:anchorId="74ABE772" wp14:editId="01DB0664">
            <wp:simplePos x="0" y="0"/>
            <wp:positionH relativeFrom="column">
              <wp:posOffset>4765040</wp:posOffset>
            </wp:positionH>
            <wp:positionV relativeFrom="paragraph">
              <wp:posOffset>27305</wp:posOffset>
            </wp:positionV>
            <wp:extent cx="290830" cy="290830"/>
            <wp:effectExtent l="0" t="0" r="0" b="0"/>
            <wp:wrapNone/>
            <wp:docPr id="2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2"/>
                    <a:srcRect/>
                    <a:stretch>
                      <a:fillRect/>
                    </a:stretch>
                  </pic:blipFill>
                  <pic:spPr>
                    <a:xfrm>
                      <a:off x="0" y="0"/>
                      <a:ext cx="290830" cy="290830"/>
                    </a:xfrm>
                    <a:prstGeom prst="rect">
                      <a:avLst/>
                    </a:prstGeom>
                    <a:ln/>
                  </pic:spPr>
                </pic:pic>
              </a:graphicData>
            </a:graphic>
          </wp:anchor>
        </w:drawing>
      </w:r>
      <w:r>
        <w:rPr>
          <w:noProof/>
        </w:rPr>
        <w:drawing>
          <wp:anchor distT="0" distB="0" distL="114300" distR="114300" simplePos="0" relativeHeight="251658241" behindDoc="0" locked="0" layoutInCell="1" hidden="0" allowOverlap="1" wp14:anchorId="4A90D51D" wp14:editId="314C8883">
            <wp:simplePos x="0" y="0"/>
            <wp:positionH relativeFrom="column">
              <wp:posOffset>4370705</wp:posOffset>
            </wp:positionH>
            <wp:positionV relativeFrom="paragraph">
              <wp:posOffset>27305</wp:posOffset>
            </wp:positionV>
            <wp:extent cx="262890" cy="262890"/>
            <wp:effectExtent l="0" t="0" r="0" b="0"/>
            <wp:wrapNone/>
            <wp:docPr id="3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3"/>
                    <a:srcRect/>
                    <a:stretch>
                      <a:fillRect/>
                    </a:stretch>
                  </pic:blipFill>
                  <pic:spPr>
                    <a:xfrm>
                      <a:off x="0" y="0"/>
                      <a:ext cx="262890" cy="262890"/>
                    </a:xfrm>
                    <a:prstGeom prst="rect">
                      <a:avLst/>
                    </a:prstGeom>
                    <a:ln/>
                  </pic:spPr>
                </pic:pic>
              </a:graphicData>
            </a:graphic>
          </wp:anchor>
        </w:drawing>
      </w:r>
      <w:r>
        <w:rPr>
          <w:noProof/>
        </w:rPr>
        <w:drawing>
          <wp:anchor distT="0" distB="0" distL="114300" distR="114300" simplePos="0" relativeHeight="251658242" behindDoc="0" locked="0" layoutInCell="1" hidden="0" allowOverlap="1" wp14:anchorId="601DE54D" wp14:editId="75F2A166">
            <wp:simplePos x="0" y="0"/>
            <wp:positionH relativeFrom="column">
              <wp:posOffset>5180965</wp:posOffset>
            </wp:positionH>
            <wp:positionV relativeFrom="paragraph">
              <wp:posOffset>41275</wp:posOffset>
            </wp:positionV>
            <wp:extent cx="248920" cy="248920"/>
            <wp:effectExtent l="0" t="0" r="0" b="0"/>
            <wp:wrapNone/>
            <wp:docPr id="3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a:stretch>
                      <a:fillRect/>
                    </a:stretch>
                  </pic:blipFill>
                  <pic:spPr>
                    <a:xfrm>
                      <a:off x="0" y="0"/>
                      <a:ext cx="248920" cy="248920"/>
                    </a:xfrm>
                    <a:prstGeom prst="rect">
                      <a:avLst/>
                    </a:prstGeom>
                    <a:ln/>
                  </pic:spPr>
                </pic:pic>
              </a:graphicData>
            </a:graphic>
          </wp:anchor>
        </w:drawing>
      </w:r>
    </w:p>
    <w:p w14:paraId="19929DEF" w14:textId="77777777" w:rsidR="0049557E" w:rsidRDefault="0049557E"/>
    <w:tbl>
      <w:tblPr>
        <w:tblW w:w="14624" w:type="dxa"/>
        <w:tblInd w:w="-31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255" w:type="dxa"/>
        </w:tblCellMar>
        <w:tblLook w:val="0400" w:firstRow="0" w:lastRow="0" w:firstColumn="0" w:lastColumn="0" w:noHBand="0" w:noVBand="1"/>
      </w:tblPr>
      <w:tblGrid>
        <w:gridCol w:w="7159"/>
        <w:gridCol w:w="7465"/>
      </w:tblGrid>
      <w:tr w:rsidR="003B1DAE" w14:paraId="2D6F86A2" w14:textId="77777777" w:rsidTr="00737601">
        <w:tc>
          <w:tcPr>
            <w:tcW w:w="7159" w:type="dxa"/>
          </w:tcPr>
          <w:p w14:paraId="7224B608" w14:textId="2A58870D" w:rsidR="00CE4B1E" w:rsidRPr="00EA0B84" w:rsidRDefault="009967C2" w:rsidP="00EA0B84">
            <w:pPr>
              <w:spacing w:line="360" w:lineRule="auto"/>
              <w:rPr>
                <w:rFonts w:ascii="Tahoma" w:eastAsia="Tahoma" w:hAnsi="Tahoma" w:cs="Tahoma"/>
                <w:b/>
                <w:color w:val="7F7F7F"/>
                <w:sz w:val="24"/>
                <w:szCs w:val="24"/>
                <w:highlight w:val="white"/>
              </w:rPr>
            </w:pPr>
            <w:bookmarkStart w:id="0" w:name="_Hlk145512980"/>
            <w:r>
              <w:rPr>
                <w:rFonts w:ascii="Tahoma" w:eastAsia="Tahoma" w:hAnsi="Tahoma" w:cs="Tahoma"/>
                <w:b/>
                <w:color w:val="7F7F7F"/>
                <w:sz w:val="24"/>
                <w:szCs w:val="24"/>
                <w:highlight w:val="white"/>
              </w:rPr>
              <w:t>#Budimex #</w:t>
            </w:r>
            <w:r w:rsidR="006E7F5D">
              <w:rPr>
                <w:rFonts w:ascii="Tahoma" w:eastAsia="Tahoma" w:hAnsi="Tahoma" w:cs="Tahoma"/>
                <w:b/>
                <w:color w:val="7F7F7F"/>
                <w:sz w:val="24"/>
                <w:szCs w:val="24"/>
                <w:highlight w:val="white"/>
              </w:rPr>
              <w:t xml:space="preserve">Polityka Różnorodności </w:t>
            </w:r>
            <w:r w:rsidR="00CB4A4E">
              <w:rPr>
                <w:rFonts w:ascii="Tahoma" w:eastAsia="Tahoma" w:hAnsi="Tahoma" w:cs="Tahoma"/>
                <w:b/>
                <w:color w:val="7F7F7F"/>
                <w:sz w:val="24"/>
                <w:szCs w:val="24"/>
                <w:highlight w:val="white"/>
              </w:rPr>
              <w:t>#</w:t>
            </w:r>
            <w:r w:rsidR="006E7F5D">
              <w:rPr>
                <w:rFonts w:ascii="Tahoma" w:eastAsia="Tahoma" w:hAnsi="Tahoma" w:cs="Tahoma"/>
                <w:b/>
                <w:color w:val="7F7F7F"/>
                <w:sz w:val="24"/>
                <w:szCs w:val="24"/>
                <w:highlight w:val="white"/>
              </w:rPr>
              <w:t>Nagrody</w:t>
            </w:r>
          </w:p>
          <w:p w14:paraId="3963E934" w14:textId="77777777" w:rsidR="0077624A" w:rsidRDefault="0077624A" w:rsidP="006E7F5D">
            <w:pPr>
              <w:pBdr>
                <w:bottom w:val="single" w:sz="6" w:space="1" w:color="auto"/>
              </w:pBdr>
              <w:spacing w:line="360" w:lineRule="auto"/>
              <w:jc w:val="both"/>
              <w:rPr>
                <w:rFonts w:ascii="Tahoma" w:eastAsia="Tahoma" w:hAnsi="Tahoma" w:cs="Tahoma"/>
                <w:b/>
                <w:bCs/>
                <w:color w:val="FFC000"/>
                <w:sz w:val="24"/>
                <w:szCs w:val="24"/>
              </w:rPr>
            </w:pPr>
            <w:r w:rsidRPr="0077624A">
              <w:rPr>
                <w:rFonts w:ascii="Tahoma" w:eastAsia="Tahoma" w:hAnsi="Tahoma" w:cs="Tahoma"/>
                <w:b/>
                <w:bCs/>
                <w:color w:val="FFC000"/>
                <w:sz w:val="24"/>
                <w:szCs w:val="24"/>
              </w:rPr>
              <w:t>Rola kobiet w Budimeksie wyróżniona w rankingu Financial Times</w:t>
            </w:r>
          </w:p>
          <w:p w14:paraId="6D66AFC5" w14:textId="149B594C" w:rsidR="001F34D3" w:rsidRPr="001F34D3" w:rsidRDefault="001F34D3" w:rsidP="001F34D3">
            <w:pPr>
              <w:pBdr>
                <w:bottom w:val="single" w:sz="6" w:space="1" w:color="auto"/>
              </w:pBdr>
              <w:spacing w:line="360" w:lineRule="auto"/>
              <w:jc w:val="both"/>
              <w:rPr>
                <w:rFonts w:ascii="Tahoma" w:eastAsia="Tahoma" w:hAnsi="Tahoma" w:cs="Tahoma"/>
                <w:b/>
                <w:bCs/>
                <w:color w:val="747678"/>
                <w:sz w:val="18"/>
                <w:szCs w:val="18"/>
              </w:rPr>
            </w:pPr>
            <w:r w:rsidRPr="001F34D3">
              <w:rPr>
                <w:rFonts w:ascii="Tahoma" w:eastAsia="Tahoma" w:hAnsi="Tahoma" w:cs="Tahoma"/>
                <w:b/>
                <w:bCs/>
                <w:color w:val="747678"/>
                <w:sz w:val="18"/>
                <w:szCs w:val="18"/>
              </w:rPr>
              <w:t xml:space="preserve">Budimex - polski generalny wykonawca - znalazł się w pierwszej dziesiątce firm budowlanych na świecie w rankingu Financial Times - </w:t>
            </w:r>
            <w:proofErr w:type="spellStart"/>
            <w:r w:rsidRPr="001F34D3">
              <w:rPr>
                <w:rFonts w:ascii="Tahoma" w:eastAsia="Tahoma" w:hAnsi="Tahoma" w:cs="Tahoma"/>
                <w:b/>
                <w:bCs/>
                <w:color w:val="747678"/>
                <w:sz w:val="18"/>
                <w:szCs w:val="18"/>
              </w:rPr>
              <w:t>Diversity</w:t>
            </w:r>
            <w:proofErr w:type="spellEnd"/>
            <w:r w:rsidRPr="001F34D3">
              <w:rPr>
                <w:rFonts w:ascii="Tahoma" w:eastAsia="Tahoma" w:hAnsi="Tahoma" w:cs="Tahoma"/>
                <w:b/>
                <w:bCs/>
                <w:color w:val="747678"/>
                <w:sz w:val="18"/>
                <w:szCs w:val="18"/>
              </w:rPr>
              <w:t xml:space="preserve"> </w:t>
            </w:r>
            <w:proofErr w:type="spellStart"/>
            <w:r w:rsidRPr="001F34D3">
              <w:rPr>
                <w:rFonts w:ascii="Tahoma" w:eastAsia="Tahoma" w:hAnsi="Tahoma" w:cs="Tahoma"/>
                <w:b/>
                <w:bCs/>
                <w:color w:val="747678"/>
                <w:sz w:val="18"/>
                <w:szCs w:val="18"/>
              </w:rPr>
              <w:t>Leaders</w:t>
            </w:r>
            <w:proofErr w:type="spellEnd"/>
            <w:r w:rsidRPr="001F34D3">
              <w:rPr>
                <w:rFonts w:ascii="Tahoma" w:eastAsia="Tahoma" w:hAnsi="Tahoma" w:cs="Tahoma"/>
                <w:b/>
                <w:bCs/>
                <w:color w:val="747678"/>
                <w:sz w:val="18"/>
                <w:szCs w:val="18"/>
              </w:rPr>
              <w:t xml:space="preserve"> 2024. Polska spółka zdobyła 71,6 na 100 możliwych punktów i wyprzedziła wielu czołowych graczy rynku międzynarodowego. Wyróżnienie to efekt prowadzenia konsekwentnej polityki wspierania różnorodności oraz systematycznego wspierania rozwoju zawodowego kobiet.</w:t>
            </w:r>
          </w:p>
          <w:p w14:paraId="0B503BCE" w14:textId="26BD78FA" w:rsidR="001F34D3" w:rsidRPr="001F34D3" w:rsidRDefault="001F34D3" w:rsidP="001F34D3">
            <w:pPr>
              <w:pBdr>
                <w:bottom w:val="single" w:sz="6" w:space="1" w:color="auto"/>
              </w:pBdr>
              <w:spacing w:line="360" w:lineRule="auto"/>
              <w:jc w:val="both"/>
              <w:rPr>
                <w:rFonts w:ascii="Tahoma" w:eastAsia="Tahoma" w:hAnsi="Tahoma" w:cs="Tahoma"/>
                <w:color w:val="747678"/>
                <w:sz w:val="18"/>
                <w:szCs w:val="18"/>
              </w:rPr>
            </w:pPr>
            <w:r w:rsidRPr="001F34D3">
              <w:rPr>
                <w:rFonts w:ascii="Tahoma" w:eastAsia="Tahoma" w:hAnsi="Tahoma" w:cs="Tahoma"/>
                <w:color w:val="747678"/>
                <w:sz w:val="18"/>
                <w:szCs w:val="18"/>
              </w:rPr>
              <w:t xml:space="preserve">Organizowany po raz czwarty ranking to efekt wszechstronnych badań opierających się na analizie ankiet zebranych od ponad 100 tys. pracowników z 16 krajów. Wynik bazuje w 70% na badaniach ankietowych ponad 100 tysięcy pracowników różnych firm z całego świata, a w 30% na wskaźnikach HR, takich jak: udział kobiet w stanowiskach kierowniczych, czy komunikacja różnorodności przez firmę. Zestawienie organizują wspólnie: czołowy dziennik ekonomiczny Financial Times oraz największa na świecie globalna platforma biznesowa </w:t>
            </w:r>
            <w:proofErr w:type="spellStart"/>
            <w:r w:rsidRPr="001F34D3">
              <w:rPr>
                <w:rFonts w:ascii="Tahoma" w:eastAsia="Tahoma" w:hAnsi="Tahoma" w:cs="Tahoma"/>
                <w:color w:val="747678"/>
                <w:sz w:val="18"/>
                <w:szCs w:val="18"/>
              </w:rPr>
              <w:t>Statista</w:t>
            </w:r>
            <w:proofErr w:type="spellEnd"/>
            <w:r w:rsidRPr="001F34D3">
              <w:rPr>
                <w:rFonts w:ascii="Tahoma" w:eastAsia="Tahoma" w:hAnsi="Tahoma" w:cs="Tahoma"/>
                <w:color w:val="747678"/>
                <w:sz w:val="18"/>
                <w:szCs w:val="18"/>
              </w:rPr>
              <w:t>. W tegorocznym rankingu wzięło udział 850 firm z całego świata.</w:t>
            </w:r>
          </w:p>
          <w:p w14:paraId="14DB4397" w14:textId="4DD6C36B" w:rsidR="001F34D3" w:rsidRPr="001F34D3" w:rsidRDefault="001F34D3" w:rsidP="001F34D3">
            <w:pPr>
              <w:pBdr>
                <w:bottom w:val="single" w:sz="6" w:space="1" w:color="auto"/>
              </w:pBdr>
              <w:spacing w:line="360" w:lineRule="auto"/>
              <w:jc w:val="both"/>
              <w:rPr>
                <w:rFonts w:ascii="Tahoma" w:eastAsia="Tahoma" w:hAnsi="Tahoma" w:cs="Tahoma"/>
                <w:color w:val="747678"/>
                <w:sz w:val="18"/>
                <w:szCs w:val="18"/>
              </w:rPr>
            </w:pPr>
            <w:r w:rsidRPr="001F34D3">
              <w:rPr>
                <w:rFonts w:ascii="Tahoma" w:eastAsia="Tahoma" w:hAnsi="Tahoma" w:cs="Tahoma"/>
                <w:color w:val="747678"/>
                <w:sz w:val="18"/>
                <w:szCs w:val="18"/>
              </w:rPr>
              <w:t xml:space="preserve">– </w:t>
            </w:r>
            <w:r w:rsidRPr="001F34D3">
              <w:rPr>
                <w:rFonts w:ascii="Tahoma" w:eastAsia="Tahoma" w:hAnsi="Tahoma" w:cs="Tahoma"/>
                <w:i/>
                <w:iCs/>
                <w:color w:val="747678"/>
                <w:sz w:val="18"/>
                <w:szCs w:val="18"/>
              </w:rPr>
              <w:t>Docenienie naszych działań w zakresie wdrażania polityki różnorodności przez Financial Times jest dla nas cenne, tym bardziej, że jesteśmy jedyną polską firmą budowlaną, która znalazła się w pierwszej 25-tce firm z branży</w:t>
            </w:r>
            <w:r w:rsidRPr="001F34D3">
              <w:rPr>
                <w:rFonts w:ascii="Tahoma" w:eastAsia="Tahoma" w:hAnsi="Tahoma" w:cs="Tahoma"/>
                <w:color w:val="747678"/>
                <w:sz w:val="18"/>
                <w:szCs w:val="18"/>
              </w:rPr>
              <w:t xml:space="preserve"> – mówi Anna Karyś – Sosińska, Członek Zarządu, Dyrektor Pionu Zarządzania ‎Zasobami Ludzkimi.‎</w:t>
            </w:r>
          </w:p>
          <w:p w14:paraId="744A7EEF" w14:textId="4313CD57" w:rsidR="001F34D3" w:rsidRPr="001F34D3" w:rsidRDefault="001F34D3" w:rsidP="001F34D3">
            <w:pPr>
              <w:pBdr>
                <w:bottom w:val="single" w:sz="6" w:space="1" w:color="auto"/>
              </w:pBdr>
              <w:spacing w:line="360" w:lineRule="auto"/>
              <w:jc w:val="both"/>
              <w:rPr>
                <w:rFonts w:ascii="Tahoma" w:eastAsia="Tahoma" w:hAnsi="Tahoma" w:cs="Tahoma"/>
                <w:color w:val="747678"/>
                <w:sz w:val="18"/>
                <w:szCs w:val="18"/>
              </w:rPr>
            </w:pPr>
            <w:r w:rsidRPr="001F34D3">
              <w:rPr>
                <w:rFonts w:ascii="Tahoma" w:eastAsia="Tahoma" w:hAnsi="Tahoma" w:cs="Tahoma"/>
                <w:color w:val="747678"/>
                <w:sz w:val="18"/>
                <w:szCs w:val="18"/>
              </w:rPr>
              <w:t xml:space="preserve">W ocenie organizatorów rankingu </w:t>
            </w:r>
            <w:proofErr w:type="spellStart"/>
            <w:r w:rsidRPr="001F34D3">
              <w:rPr>
                <w:rFonts w:ascii="Tahoma" w:eastAsia="Tahoma" w:hAnsi="Tahoma" w:cs="Tahoma"/>
                <w:color w:val="747678"/>
                <w:sz w:val="18"/>
                <w:szCs w:val="18"/>
              </w:rPr>
              <w:t>Diversity</w:t>
            </w:r>
            <w:proofErr w:type="spellEnd"/>
            <w:r w:rsidRPr="001F34D3">
              <w:rPr>
                <w:rFonts w:ascii="Tahoma" w:eastAsia="Tahoma" w:hAnsi="Tahoma" w:cs="Tahoma"/>
                <w:color w:val="747678"/>
                <w:sz w:val="18"/>
                <w:szCs w:val="18"/>
              </w:rPr>
              <w:t xml:space="preserve"> </w:t>
            </w:r>
            <w:proofErr w:type="spellStart"/>
            <w:r w:rsidRPr="001F34D3">
              <w:rPr>
                <w:rFonts w:ascii="Tahoma" w:eastAsia="Tahoma" w:hAnsi="Tahoma" w:cs="Tahoma"/>
                <w:color w:val="747678"/>
                <w:sz w:val="18"/>
                <w:szCs w:val="18"/>
              </w:rPr>
              <w:t>Leaders</w:t>
            </w:r>
            <w:proofErr w:type="spellEnd"/>
            <w:r w:rsidRPr="001F34D3">
              <w:rPr>
                <w:rFonts w:ascii="Tahoma" w:eastAsia="Tahoma" w:hAnsi="Tahoma" w:cs="Tahoma"/>
                <w:color w:val="747678"/>
                <w:sz w:val="18"/>
                <w:szCs w:val="18"/>
              </w:rPr>
              <w:t xml:space="preserve"> 2024 lider na rynku polskich generalnych wykonawców prowadzi efektywną politykę, której celem jest dbanie o rozwój karier kobiet oraz wzrost ich udziału na stanowiskach kierowniczych. Dzięki prowadzonym przez firmę działaniom systematycznie rośnie zarówno sama liczba kobiet pracujących w firmie, jak i ich udział procentowy w kadrze zarządzającej oraz na stanowiskach eksperckich. Obecnie co druga kobieta (50%) pracuje na stanowisku inżynier budowy. Dla porównania w roku 2012 było ich 31%. W tym samym czasie znacznie zwiększyła się także liczba praktykantek - obecnie kobiety stanowią 47% osób poznających zawód na stażach. Firma prowadzi także politykę płacową mającą na celu zrównanie płac. Obecnie wskaźnik „</w:t>
            </w:r>
            <w:proofErr w:type="spellStart"/>
            <w:r w:rsidRPr="001F34D3">
              <w:rPr>
                <w:rFonts w:ascii="Tahoma" w:eastAsia="Tahoma" w:hAnsi="Tahoma" w:cs="Tahoma"/>
                <w:color w:val="747678"/>
                <w:sz w:val="18"/>
                <w:szCs w:val="18"/>
              </w:rPr>
              <w:t>gender</w:t>
            </w:r>
            <w:proofErr w:type="spellEnd"/>
            <w:r w:rsidRPr="001F34D3">
              <w:rPr>
                <w:rFonts w:ascii="Tahoma" w:eastAsia="Tahoma" w:hAnsi="Tahoma" w:cs="Tahoma"/>
                <w:color w:val="747678"/>
                <w:sz w:val="18"/>
                <w:szCs w:val="18"/>
              </w:rPr>
              <w:t xml:space="preserve"> </w:t>
            </w:r>
            <w:proofErr w:type="spellStart"/>
            <w:r w:rsidRPr="001F34D3">
              <w:rPr>
                <w:rFonts w:ascii="Tahoma" w:eastAsia="Tahoma" w:hAnsi="Tahoma" w:cs="Tahoma"/>
                <w:color w:val="747678"/>
                <w:sz w:val="18"/>
                <w:szCs w:val="18"/>
              </w:rPr>
              <w:t>pay</w:t>
            </w:r>
            <w:proofErr w:type="spellEnd"/>
            <w:r w:rsidRPr="001F34D3">
              <w:rPr>
                <w:rFonts w:ascii="Tahoma" w:eastAsia="Tahoma" w:hAnsi="Tahoma" w:cs="Tahoma"/>
                <w:color w:val="747678"/>
                <w:sz w:val="18"/>
                <w:szCs w:val="18"/>
              </w:rPr>
              <w:t xml:space="preserve"> gap” jest w Budimeksie na poziomie poniżej 3%, czyli niższym niż wynosi średnia UE (10% w 2022 roku). Kobiety stanowią 20% kadry menadżerskiej, to jest blisko trzykrotny wzrost od 2019 roku </w:t>
            </w:r>
            <w:r w:rsidRPr="001F34D3">
              <w:rPr>
                <w:rFonts w:ascii="Tahoma" w:eastAsia="Tahoma" w:hAnsi="Tahoma" w:cs="Tahoma"/>
                <w:color w:val="747678"/>
                <w:sz w:val="18"/>
                <w:szCs w:val="18"/>
              </w:rPr>
              <w:lastRenderedPageBreak/>
              <w:t>(8%).  Równolegle firma prowadzi działania wspierające macierzyństwo, takie jak „Mama na macierzyńskim”.</w:t>
            </w:r>
          </w:p>
          <w:p w14:paraId="09756354" w14:textId="7B5D03FB" w:rsidR="001F34D3" w:rsidRPr="001F34D3" w:rsidRDefault="001F34D3" w:rsidP="001F34D3">
            <w:pPr>
              <w:pBdr>
                <w:bottom w:val="single" w:sz="6" w:space="1" w:color="auto"/>
              </w:pBdr>
              <w:spacing w:line="360" w:lineRule="auto"/>
              <w:jc w:val="both"/>
              <w:rPr>
                <w:rFonts w:ascii="Tahoma" w:eastAsia="Tahoma" w:hAnsi="Tahoma" w:cs="Tahoma"/>
                <w:color w:val="747678"/>
                <w:sz w:val="18"/>
                <w:szCs w:val="18"/>
              </w:rPr>
            </w:pPr>
            <w:r w:rsidRPr="001F34D3">
              <w:rPr>
                <w:rFonts w:ascii="Tahoma" w:eastAsia="Tahoma" w:hAnsi="Tahoma" w:cs="Tahoma"/>
                <w:color w:val="747678"/>
                <w:sz w:val="18"/>
                <w:szCs w:val="18"/>
              </w:rPr>
              <w:t xml:space="preserve">Budimex konsekwentnie wdraża politykę różnorodności. Jej zasady zostały określone w trzech dokumentach obowiązujących we wszystkich spółkach wchodzących w skład Grupy. Pierwszym z nich są „Zasady polityki odpowiedzialności Spółki” </w:t>
            </w:r>
            <w:r>
              <w:rPr>
                <w:rFonts w:ascii="Tahoma" w:eastAsia="Tahoma" w:hAnsi="Tahoma" w:cs="Tahoma"/>
                <w:color w:val="747678"/>
                <w:sz w:val="18"/>
                <w:szCs w:val="18"/>
              </w:rPr>
              <w:t>-</w:t>
            </w:r>
            <w:r w:rsidRPr="001F34D3">
              <w:rPr>
                <w:rFonts w:ascii="Tahoma" w:eastAsia="Tahoma" w:hAnsi="Tahoma" w:cs="Tahoma"/>
                <w:color w:val="747678"/>
                <w:sz w:val="18"/>
                <w:szCs w:val="18"/>
              </w:rPr>
              <w:t xml:space="preserve"> Grupy Ferrovial, </w:t>
            </w:r>
            <w:proofErr w:type="spellStart"/>
            <w:r w:rsidRPr="001F34D3">
              <w:rPr>
                <w:rFonts w:ascii="Tahoma" w:eastAsia="Tahoma" w:hAnsi="Tahoma" w:cs="Tahoma"/>
                <w:color w:val="747678"/>
                <w:sz w:val="18"/>
                <w:szCs w:val="18"/>
              </w:rPr>
              <w:t>współakcjonariusza</w:t>
            </w:r>
            <w:proofErr w:type="spellEnd"/>
            <w:r w:rsidRPr="001F34D3">
              <w:rPr>
                <w:rFonts w:ascii="Tahoma" w:eastAsia="Tahoma" w:hAnsi="Tahoma" w:cs="Tahoma"/>
                <w:color w:val="747678"/>
                <w:sz w:val="18"/>
                <w:szCs w:val="18"/>
              </w:rPr>
              <w:t xml:space="preserve"> Budimeksu. Zawarte w tym dokumencie regulacje zobowiązują wszystkich pracowników m.in. do poszanowania podstawowych praw człowieka, sprzyjania równości oraz dbania o równowagę pomiędzy pracą, a życiem prywatnym. Zapisy „Zasad ochrony praw człowieka” określają działania, których stosowanie pozwoli zapobiec dyskryminacji w miejscu pracy, a także dostrzec wartości w różnorodności. Trzecim ważnym dokumentem jest „Kodeks Etyki” wdrażający założenia wskazanych polityk i przeciwdziałający dyskryminacji w sferze zatrudnienia.</w:t>
            </w:r>
          </w:p>
          <w:p w14:paraId="264F5AE8" w14:textId="09471A21" w:rsidR="001F34D3" w:rsidRPr="001F34D3" w:rsidRDefault="001F34D3" w:rsidP="001F34D3">
            <w:pPr>
              <w:pBdr>
                <w:bottom w:val="single" w:sz="6" w:space="1" w:color="auto"/>
              </w:pBdr>
              <w:spacing w:line="360" w:lineRule="auto"/>
              <w:jc w:val="both"/>
              <w:rPr>
                <w:rFonts w:ascii="Tahoma" w:eastAsia="Tahoma" w:hAnsi="Tahoma" w:cs="Tahoma"/>
                <w:color w:val="747678"/>
                <w:sz w:val="18"/>
                <w:szCs w:val="18"/>
              </w:rPr>
            </w:pPr>
            <w:r w:rsidRPr="001F34D3">
              <w:rPr>
                <w:rFonts w:ascii="Tahoma" w:eastAsia="Tahoma" w:hAnsi="Tahoma" w:cs="Tahoma"/>
                <w:color w:val="747678"/>
                <w:sz w:val="18"/>
                <w:szCs w:val="18"/>
              </w:rPr>
              <w:t xml:space="preserve">– </w:t>
            </w:r>
            <w:r w:rsidRPr="001F34D3">
              <w:rPr>
                <w:rFonts w:ascii="Tahoma" w:eastAsia="Tahoma" w:hAnsi="Tahoma" w:cs="Tahoma"/>
                <w:i/>
                <w:iCs/>
                <w:color w:val="747678"/>
                <w:sz w:val="18"/>
                <w:szCs w:val="18"/>
              </w:rPr>
              <w:t>Podejmowane przez nas systematycznie działania odnoszącą się do równego traktowania ze względu na płeć, wiek, niepełnosprawność, stan zdrowia, narodowość, przekonania polityczne, formę, zakres oraz podstawę zatrudnienia. Dzięki temu udało nam się stworzyć kulturę organizacyjną, która zapewnia poszanowanie dla wszelkich form różnorodności. Cieszymy się, że jest to dostrzegane także poza Polską</w:t>
            </w:r>
            <w:r w:rsidRPr="001F34D3">
              <w:rPr>
                <w:rFonts w:ascii="Tahoma" w:eastAsia="Tahoma" w:hAnsi="Tahoma" w:cs="Tahoma"/>
                <w:color w:val="747678"/>
                <w:sz w:val="18"/>
                <w:szCs w:val="18"/>
              </w:rPr>
              <w:t xml:space="preserve"> – mówi  Anna Karyś – Sosińska.</w:t>
            </w:r>
          </w:p>
          <w:p w14:paraId="5AF9594C" w14:textId="07C22149" w:rsidR="001F34D3" w:rsidRPr="001F34D3" w:rsidRDefault="001F34D3" w:rsidP="001F34D3">
            <w:pPr>
              <w:pBdr>
                <w:bottom w:val="single" w:sz="6" w:space="1" w:color="auto"/>
              </w:pBdr>
              <w:spacing w:line="360" w:lineRule="auto"/>
              <w:jc w:val="both"/>
              <w:rPr>
                <w:rFonts w:ascii="Tahoma" w:eastAsia="Tahoma" w:hAnsi="Tahoma" w:cs="Tahoma"/>
                <w:color w:val="747678"/>
                <w:sz w:val="18"/>
                <w:szCs w:val="18"/>
              </w:rPr>
            </w:pPr>
            <w:r w:rsidRPr="001F34D3">
              <w:rPr>
                <w:rFonts w:ascii="Tahoma" w:eastAsia="Tahoma" w:hAnsi="Tahoma" w:cs="Tahoma"/>
                <w:color w:val="747678"/>
                <w:sz w:val="18"/>
                <w:szCs w:val="18"/>
              </w:rPr>
              <w:t xml:space="preserve">Organizatorzy globalnego rankingu docenili także wysiłki firmy we wspieraniu współpracy międzypokoleniowej. Ze względu na dużą rozpiętość wiekową - najmłodszy pracownik Budimeksu ma 19 lat, zaś najstarszy 78 - konieczne jest budowanie zrozumienia już na poziomie komunikacji językowej. – </w:t>
            </w:r>
            <w:r w:rsidRPr="001F34D3">
              <w:rPr>
                <w:rFonts w:ascii="Tahoma" w:eastAsia="Tahoma" w:hAnsi="Tahoma" w:cs="Tahoma"/>
                <w:i/>
                <w:iCs/>
                <w:color w:val="747678"/>
                <w:sz w:val="18"/>
                <w:szCs w:val="18"/>
              </w:rPr>
              <w:t>W tym celu zorganizowaliśmy szereg różnorodnych działań. Jednym z nich były tygodniowe warsztaty, do których zaprosiliśmy językoznawcę prof. Jerzego Bralczyka. Uczestnicy tych spotkań wzięli potem udział w quizie sprawdzającym wiedzę na temat zmieniającego się języka. Dzięki takiej formie zajęć zdobywanie wiedzy stało się nie tylko przyjemne, ale i efektywne</w:t>
            </w:r>
            <w:r w:rsidRPr="001F34D3">
              <w:rPr>
                <w:rFonts w:ascii="Tahoma" w:eastAsia="Tahoma" w:hAnsi="Tahoma" w:cs="Tahoma"/>
                <w:color w:val="747678"/>
                <w:sz w:val="18"/>
                <w:szCs w:val="18"/>
              </w:rPr>
              <w:t xml:space="preserve"> – wyjaśnia Anna Karyś – Sosińska. </w:t>
            </w:r>
          </w:p>
          <w:p w14:paraId="2AE39BBE" w14:textId="77777777" w:rsidR="001F34D3" w:rsidRPr="001F34D3" w:rsidRDefault="001F34D3" w:rsidP="001F34D3">
            <w:pPr>
              <w:pBdr>
                <w:bottom w:val="single" w:sz="6" w:space="1" w:color="auto"/>
              </w:pBdr>
              <w:spacing w:line="360" w:lineRule="auto"/>
              <w:jc w:val="both"/>
              <w:rPr>
                <w:rFonts w:ascii="Tahoma" w:eastAsia="Tahoma" w:hAnsi="Tahoma" w:cs="Tahoma"/>
                <w:color w:val="747678"/>
                <w:sz w:val="18"/>
                <w:szCs w:val="18"/>
              </w:rPr>
            </w:pPr>
            <w:r w:rsidRPr="001F34D3">
              <w:rPr>
                <w:rFonts w:ascii="Tahoma" w:eastAsia="Tahoma" w:hAnsi="Tahoma" w:cs="Tahoma"/>
                <w:color w:val="747678"/>
                <w:sz w:val="18"/>
                <w:szCs w:val="18"/>
              </w:rPr>
              <w:t xml:space="preserve">Z uwagi na to, że Budimex aktywnie rozwija się na rynkach zagranicznych, ważnym elementem działań podejmowanych w Grupie jest też nauka specyfiki pracy w środowisku wielokulturowym. W związku z licznymi kontaktami ze współpracownikami, klientami oraz partnerami biznesowymi reprezentującymi różne narodowości, ale też postawy i wartości, profesjonalna i poparta badaniami wiedza na temat społecznych oraz kulturowych uwarunkowań różnorodności staje się kluczowym narzędziem w zarządzaniu. W zrozumieniu psychologicznych wymiarów różnic i podobieństw kulturowych, odwołując się między innymi do przykładów krajów takich jak Polska, Niemcy, Czechy, Słowacja, Litwa, Australia oraz Hiszpania, pomogły zorganizowane </w:t>
            </w:r>
            <w:proofErr w:type="spellStart"/>
            <w:r w:rsidRPr="001F34D3">
              <w:rPr>
                <w:rFonts w:ascii="Tahoma" w:eastAsia="Tahoma" w:hAnsi="Tahoma" w:cs="Tahoma"/>
                <w:color w:val="747678"/>
                <w:sz w:val="18"/>
                <w:szCs w:val="18"/>
              </w:rPr>
              <w:t>webinary</w:t>
            </w:r>
            <w:proofErr w:type="spellEnd"/>
            <w:r w:rsidRPr="001F34D3">
              <w:rPr>
                <w:rFonts w:ascii="Tahoma" w:eastAsia="Tahoma" w:hAnsi="Tahoma" w:cs="Tahoma"/>
                <w:color w:val="747678"/>
                <w:sz w:val="18"/>
                <w:szCs w:val="18"/>
              </w:rPr>
              <w:t xml:space="preserve"> oraz warsztaty, podczas których pracownicy mający największe </w:t>
            </w:r>
            <w:r w:rsidRPr="001F34D3">
              <w:rPr>
                <w:rFonts w:ascii="Tahoma" w:eastAsia="Tahoma" w:hAnsi="Tahoma" w:cs="Tahoma"/>
                <w:color w:val="747678"/>
                <w:sz w:val="18"/>
                <w:szCs w:val="18"/>
              </w:rPr>
              <w:lastRenderedPageBreak/>
              <w:t>doświadczenie w realizacjach poza granicami Polki dzieli się z młodszymi pracownikami praktyczną wiedzą.</w:t>
            </w:r>
          </w:p>
          <w:p w14:paraId="78DA8769" w14:textId="77777777" w:rsidR="001F34D3" w:rsidRPr="001F34D3" w:rsidRDefault="001F34D3" w:rsidP="001F34D3">
            <w:pPr>
              <w:pBdr>
                <w:bottom w:val="single" w:sz="6" w:space="1" w:color="auto"/>
              </w:pBdr>
              <w:spacing w:line="360" w:lineRule="auto"/>
              <w:jc w:val="both"/>
              <w:rPr>
                <w:rFonts w:ascii="Tahoma" w:eastAsia="Tahoma" w:hAnsi="Tahoma" w:cs="Tahoma"/>
                <w:b/>
                <w:bCs/>
                <w:color w:val="747678"/>
                <w:sz w:val="18"/>
                <w:szCs w:val="18"/>
              </w:rPr>
            </w:pPr>
          </w:p>
          <w:p w14:paraId="68497A3B" w14:textId="0BCA683B" w:rsidR="00A956DB" w:rsidRDefault="001F34D3" w:rsidP="006E7F5D">
            <w:pPr>
              <w:pBdr>
                <w:bottom w:val="single" w:sz="6" w:space="1" w:color="auto"/>
              </w:pBdr>
              <w:spacing w:line="360" w:lineRule="auto"/>
              <w:jc w:val="both"/>
              <w:rPr>
                <w:rFonts w:ascii="Tahoma" w:eastAsia="Tahoma" w:hAnsi="Tahoma" w:cs="Tahoma"/>
                <w:b/>
                <w:bCs/>
                <w:color w:val="747678"/>
                <w:sz w:val="18"/>
                <w:szCs w:val="18"/>
              </w:rPr>
            </w:pPr>
            <w:r w:rsidRPr="001F34D3">
              <w:rPr>
                <w:rFonts w:ascii="Tahoma" w:eastAsia="Tahoma" w:hAnsi="Tahoma" w:cs="Tahoma"/>
                <w:b/>
                <w:bCs/>
                <w:color w:val="747678"/>
                <w:sz w:val="18"/>
                <w:szCs w:val="18"/>
              </w:rPr>
              <w:t xml:space="preserve">Link do rankingu i metodologii badania: </w:t>
            </w:r>
            <w:hyperlink r:id="rId15" w:history="1">
              <w:r w:rsidRPr="00B067C5">
                <w:rPr>
                  <w:rStyle w:val="Hipercze"/>
                  <w:rFonts w:ascii="Tahoma" w:eastAsia="Tahoma" w:hAnsi="Tahoma" w:cs="Tahoma"/>
                  <w:b/>
                  <w:bCs/>
                  <w:sz w:val="18"/>
                  <w:szCs w:val="18"/>
                </w:rPr>
                <w:t>https://www.ft.com/content/cea8b0f2-fac0-4b80-8aa0-8488e232040e</w:t>
              </w:r>
            </w:hyperlink>
          </w:p>
          <w:p w14:paraId="703AA365" w14:textId="77777777" w:rsidR="001F34D3" w:rsidRPr="001F34D3" w:rsidRDefault="001F34D3" w:rsidP="006E7F5D">
            <w:pPr>
              <w:pBdr>
                <w:bottom w:val="single" w:sz="6" w:space="1" w:color="auto"/>
              </w:pBdr>
              <w:spacing w:line="360" w:lineRule="auto"/>
              <w:jc w:val="both"/>
              <w:rPr>
                <w:rFonts w:ascii="Tahoma" w:eastAsia="Tahoma" w:hAnsi="Tahoma" w:cs="Tahoma"/>
                <w:b/>
                <w:bCs/>
                <w:color w:val="747678"/>
                <w:sz w:val="18"/>
                <w:szCs w:val="18"/>
              </w:rPr>
            </w:pPr>
          </w:p>
          <w:p w14:paraId="2DC5BB1C" w14:textId="36CFD13D" w:rsidR="00617FB9" w:rsidRPr="00734D0A" w:rsidRDefault="00617FB9" w:rsidP="00125D50">
            <w:pPr>
              <w:ind w:right="1"/>
              <w:jc w:val="both"/>
              <w:rPr>
                <w:rFonts w:ascii="Tahoma" w:eastAsia="Tahoma" w:hAnsi="Tahoma" w:cs="Tahoma"/>
                <w:color w:val="808080"/>
                <w:sz w:val="18"/>
                <w:szCs w:val="18"/>
              </w:rPr>
            </w:pPr>
            <w:r w:rsidRPr="00617FB9">
              <w:rPr>
                <w:rFonts w:ascii="Tahoma" w:eastAsia="Tahoma" w:hAnsi="Tahoma" w:cs="Tahoma"/>
                <w:b/>
                <w:bCs/>
                <w:iCs/>
                <w:color w:val="808080"/>
                <w:sz w:val="16"/>
                <w:szCs w:val="16"/>
              </w:rPr>
              <w:t>BUDIMEX SA</w:t>
            </w:r>
            <w:r w:rsidRPr="00617FB9">
              <w:rPr>
                <w:rFonts w:ascii="Tahoma" w:eastAsia="Tahoma" w:hAnsi="Tahoma" w:cs="Tahoma"/>
                <w:color w:val="808080"/>
                <w:sz w:val="16"/>
                <w:szCs w:val="16"/>
              </w:rPr>
              <w:t> </w:t>
            </w:r>
            <w:r w:rsidRPr="00617FB9">
              <w:rPr>
                <w:rFonts w:ascii="Tahoma" w:eastAsia="Tahoma" w:hAnsi="Tahoma" w:cs="Tahoma"/>
                <w:iCs/>
                <w:color w:val="808080"/>
                <w:sz w:val="16"/>
                <w:szCs w:val="16"/>
              </w:rPr>
              <w:t xml:space="preserve">jest spółką z ponad pięćdziesięcioletnią tradycją, która ma znaczący udział w rozwoju gospodarczym Polski. Naszą pracą podnosimy jakość życia milionów Polaków. W okresie 50 lat istnienia firmy zrealizowaliśmy tysiące nowoczesnych inwestycji infrastrukturalnych, kubaturowych i przemysłowych. Kultura innowacyjności, doskonalenie i kierowanie się zasadami zrównoważonego rozwoju pozwoliły nam zdobyć pozycję lidera polskiego rynku budowlanego. Jesteśmy obecni nie tylko na rynku polskim, ale też zagranicznym. Stopniowo zwiększamy swoje zaangażowanie w sektorze </w:t>
            </w:r>
            <w:proofErr w:type="spellStart"/>
            <w:r w:rsidRPr="00617FB9">
              <w:rPr>
                <w:rFonts w:ascii="Tahoma" w:eastAsia="Tahoma" w:hAnsi="Tahoma" w:cs="Tahoma"/>
                <w:iCs/>
                <w:color w:val="808080"/>
                <w:sz w:val="16"/>
                <w:szCs w:val="16"/>
              </w:rPr>
              <w:t>facility</w:t>
            </w:r>
            <w:proofErr w:type="spellEnd"/>
            <w:r w:rsidRPr="00617FB9">
              <w:rPr>
                <w:rFonts w:ascii="Tahoma" w:eastAsia="Tahoma" w:hAnsi="Tahoma" w:cs="Tahoma"/>
                <w:iCs/>
                <w:color w:val="808080"/>
                <w:sz w:val="16"/>
                <w:szCs w:val="16"/>
              </w:rPr>
              <w:t xml:space="preserve"> management (obsługa nieruchomości i obiektów infrastruktury) oraz gospodarki odpadami. Od 1995 roku nasza spółka notowana jest na warszawskiej GPW, a od roku 2011 wchodzi w skład indeksu najbardziej odpowiedzialnych spółek giełdowych. Jej inwestorem strategicznym jest hiszpańska firma o globalnym zasięgu – Ferrovial. W skład grupy wchodzą: Mostostal Kraków oraz </w:t>
            </w:r>
            <w:proofErr w:type="spellStart"/>
            <w:r w:rsidRPr="00617FB9">
              <w:rPr>
                <w:rFonts w:ascii="Tahoma" w:eastAsia="Tahoma" w:hAnsi="Tahoma" w:cs="Tahoma"/>
                <w:iCs/>
                <w:color w:val="808080"/>
                <w:sz w:val="16"/>
                <w:szCs w:val="16"/>
              </w:rPr>
              <w:t>FBSerwis</w:t>
            </w:r>
            <w:proofErr w:type="spellEnd"/>
            <w:r w:rsidRPr="00617FB9">
              <w:rPr>
                <w:rFonts w:ascii="Tahoma" w:eastAsia="Tahoma" w:hAnsi="Tahoma" w:cs="Tahoma"/>
                <w:iCs/>
                <w:color w:val="808080"/>
                <w:sz w:val="16"/>
                <w:szCs w:val="16"/>
              </w:rPr>
              <w:t>.</w:t>
            </w:r>
          </w:p>
          <w:p w14:paraId="15A7E4D6" w14:textId="77777777" w:rsidR="00617FB9" w:rsidRPr="00617FB9" w:rsidRDefault="00617FB9" w:rsidP="00125D50">
            <w:pPr>
              <w:spacing w:before="280"/>
              <w:jc w:val="both"/>
              <w:rPr>
                <w:rFonts w:ascii="Tahoma" w:eastAsia="Tahoma" w:hAnsi="Tahoma" w:cs="Tahoma"/>
                <w:color w:val="808080"/>
                <w:sz w:val="16"/>
                <w:szCs w:val="16"/>
              </w:rPr>
            </w:pPr>
            <w:r w:rsidRPr="00617FB9">
              <w:rPr>
                <w:rFonts w:ascii="Tahoma" w:eastAsia="Tahoma" w:hAnsi="Tahoma" w:cs="Tahoma"/>
                <w:iCs/>
                <w:color w:val="808080"/>
                <w:sz w:val="16"/>
                <w:szCs w:val="16"/>
              </w:rPr>
              <w:t>Jesteśmy jednym z sygnatariuszy Porozumienia dla Bezpieczeństwa w Budownictwie – inicjatywy utworzonej w 2010 r., zrzeszającej największych generalnych wykonawców w Polsce w celu podniesienia poziomu bezpieczeństwa pracy w branży budowlanej.</w:t>
            </w:r>
          </w:p>
          <w:p w14:paraId="3F31773A" w14:textId="002AC3E2" w:rsidR="003B1DAE" w:rsidRDefault="00617FB9" w:rsidP="00F973E9">
            <w:pPr>
              <w:spacing w:before="280"/>
              <w:jc w:val="both"/>
              <w:rPr>
                <w:rFonts w:ascii="Tahoma" w:eastAsia="Tahoma" w:hAnsi="Tahoma" w:cs="Tahoma"/>
                <w:b/>
                <w:color w:val="FFC000"/>
              </w:rPr>
            </w:pPr>
            <w:r w:rsidRPr="00617FB9">
              <w:rPr>
                <w:rFonts w:ascii="Tahoma" w:eastAsia="Tahoma" w:hAnsi="Tahoma" w:cs="Tahoma"/>
                <w:iCs/>
                <w:color w:val="808080"/>
                <w:sz w:val="16"/>
                <w:szCs w:val="16"/>
              </w:rPr>
              <w:t>Więcej informacji jest dostępnych na </w:t>
            </w:r>
            <w:hyperlink r:id="rId16" w:history="1">
              <w:r w:rsidRPr="00617FB9">
                <w:rPr>
                  <w:rStyle w:val="Hipercze"/>
                  <w:rFonts w:ascii="Tahoma" w:eastAsia="Tahoma" w:hAnsi="Tahoma" w:cs="Tahoma"/>
                  <w:iCs/>
                  <w:sz w:val="16"/>
                  <w:szCs w:val="16"/>
                </w:rPr>
                <w:t>www.budimex.pl</w:t>
              </w:r>
            </w:hyperlink>
          </w:p>
        </w:tc>
        <w:tc>
          <w:tcPr>
            <w:tcW w:w="7465" w:type="dxa"/>
          </w:tcPr>
          <w:p w14:paraId="67B7D26C" w14:textId="77777777" w:rsidR="003B1DAE" w:rsidRDefault="003B1DAE">
            <w:pPr>
              <w:spacing w:line="360" w:lineRule="auto"/>
              <w:jc w:val="center"/>
              <w:rPr>
                <w:rFonts w:ascii="Tahoma" w:eastAsia="Tahoma" w:hAnsi="Tahoma" w:cs="Tahoma"/>
                <w:b/>
                <w:color w:val="FFC000"/>
              </w:rPr>
            </w:pPr>
          </w:p>
          <w:p w14:paraId="121057B9" w14:textId="77777777" w:rsidR="003B1DAE" w:rsidRDefault="003B1DAE">
            <w:pPr>
              <w:spacing w:line="360" w:lineRule="auto"/>
              <w:jc w:val="center"/>
              <w:rPr>
                <w:rFonts w:ascii="Tahoma" w:eastAsia="Tahoma" w:hAnsi="Tahoma" w:cs="Tahoma"/>
                <w:b/>
                <w:color w:val="FFC000"/>
              </w:rPr>
            </w:pPr>
          </w:p>
          <w:p w14:paraId="1802098F" w14:textId="77777777" w:rsidR="003B1DAE" w:rsidRDefault="003B1DAE">
            <w:pPr>
              <w:spacing w:line="360" w:lineRule="auto"/>
              <w:jc w:val="center"/>
              <w:rPr>
                <w:rFonts w:ascii="Tahoma" w:eastAsia="Tahoma" w:hAnsi="Tahoma" w:cs="Tahoma"/>
                <w:b/>
                <w:color w:val="FFC000"/>
              </w:rPr>
            </w:pPr>
          </w:p>
          <w:p w14:paraId="21357304" w14:textId="77777777" w:rsidR="003B1DAE" w:rsidRDefault="003B1DAE">
            <w:pPr>
              <w:spacing w:line="360" w:lineRule="auto"/>
              <w:jc w:val="center"/>
              <w:rPr>
                <w:rFonts w:ascii="Tahoma" w:eastAsia="Tahoma" w:hAnsi="Tahoma" w:cs="Tahoma"/>
                <w:b/>
                <w:color w:val="FFC000"/>
              </w:rPr>
            </w:pPr>
          </w:p>
          <w:p w14:paraId="1A8A1F8C" w14:textId="77777777" w:rsidR="003B1DAE" w:rsidRDefault="003B1DAE">
            <w:pPr>
              <w:spacing w:line="360" w:lineRule="auto"/>
              <w:jc w:val="center"/>
              <w:rPr>
                <w:rFonts w:ascii="Tahoma" w:eastAsia="Tahoma" w:hAnsi="Tahoma" w:cs="Tahoma"/>
                <w:b/>
                <w:color w:val="FFC000"/>
              </w:rPr>
            </w:pPr>
          </w:p>
          <w:p w14:paraId="3FE8EF16" w14:textId="77777777" w:rsidR="003B1DAE" w:rsidRDefault="003B1DAE">
            <w:pPr>
              <w:spacing w:line="360" w:lineRule="auto"/>
              <w:jc w:val="center"/>
              <w:rPr>
                <w:rFonts w:ascii="Tahoma" w:eastAsia="Tahoma" w:hAnsi="Tahoma" w:cs="Tahoma"/>
                <w:b/>
                <w:color w:val="FFC000"/>
              </w:rPr>
            </w:pPr>
          </w:p>
          <w:p w14:paraId="662905CB" w14:textId="77777777" w:rsidR="003B1DAE" w:rsidRDefault="003B1DAE">
            <w:pPr>
              <w:spacing w:after="120" w:line="360" w:lineRule="auto"/>
              <w:rPr>
                <w:rFonts w:ascii="Verdana" w:eastAsia="Verdana" w:hAnsi="Verdana" w:cs="Verdana"/>
                <w:b/>
                <w:color w:val="FFC000"/>
                <w:sz w:val="20"/>
                <w:szCs w:val="20"/>
              </w:rPr>
            </w:pPr>
          </w:p>
          <w:p w14:paraId="4ED01EAD" w14:textId="77777777" w:rsidR="003B1DAE" w:rsidRDefault="009967C2">
            <w:pPr>
              <w:spacing w:after="120" w:line="360" w:lineRule="auto"/>
              <w:rPr>
                <w:rFonts w:ascii="Verdana" w:eastAsia="Verdana" w:hAnsi="Verdana" w:cs="Verdana"/>
                <w:b/>
                <w:color w:val="FFC000"/>
                <w:sz w:val="20"/>
                <w:szCs w:val="20"/>
              </w:rPr>
            </w:pPr>
            <w:r>
              <w:rPr>
                <w:rFonts w:ascii="Verdana" w:eastAsia="Verdana" w:hAnsi="Verdana" w:cs="Verdana"/>
                <w:b/>
                <w:color w:val="FFC000"/>
                <w:sz w:val="20"/>
                <w:szCs w:val="20"/>
              </w:rPr>
              <w:t xml:space="preserve">Kontakt: </w:t>
            </w:r>
          </w:p>
          <w:p w14:paraId="2135BC33" w14:textId="77777777" w:rsidR="003B1DAE" w:rsidRDefault="009967C2">
            <w:pPr>
              <w:spacing w:after="120" w:line="360" w:lineRule="auto"/>
              <w:rPr>
                <w:rFonts w:ascii="Verdana" w:eastAsia="Verdana" w:hAnsi="Verdana" w:cs="Verdana"/>
                <w:color w:val="808080"/>
                <w:sz w:val="18"/>
                <w:szCs w:val="18"/>
              </w:rPr>
            </w:pPr>
            <w:r>
              <w:rPr>
                <w:rFonts w:ascii="Verdana" w:eastAsia="Verdana" w:hAnsi="Verdana" w:cs="Verdana"/>
                <w:color w:val="808080"/>
                <w:sz w:val="18"/>
                <w:szCs w:val="18"/>
              </w:rPr>
              <w:t>Michał Wrzosek Rzecznik Prasowy</w:t>
            </w:r>
          </w:p>
          <w:p w14:paraId="2581B2D7" w14:textId="77777777" w:rsidR="003B1DAE" w:rsidRDefault="009967C2">
            <w:pPr>
              <w:spacing w:line="360" w:lineRule="auto"/>
              <w:rPr>
                <w:rFonts w:ascii="Verdana" w:eastAsia="Verdana" w:hAnsi="Verdana" w:cs="Verdana"/>
                <w:color w:val="808080"/>
                <w:sz w:val="18"/>
                <w:szCs w:val="18"/>
              </w:rPr>
            </w:pPr>
            <w:r>
              <w:rPr>
                <w:rFonts w:ascii="Verdana" w:eastAsia="Verdana" w:hAnsi="Verdana" w:cs="Verdana"/>
                <w:color w:val="808080"/>
                <w:sz w:val="18"/>
                <w:szCs w:val="18"/>
              </w:rPr>
              <w:t xml:space="preserve">tel. (22) 62 36 164, 512 478 522, </w:t>
            </w:r>
          </w:p>
          <w:p w14:paraId="7BB6B26D" w14:textId="77777777" w:rsidR="003B1DAE" w:rsidRDefault="00D904C7">
            <w:pPr>
              <w:spacing w:line="360" w:lineRule="auto"/>
              <w:rPr>
                <w:rFonts w:ascii="Verdana" w:eastAsia="Verdana" w:hAnsi="Verdana" w:cs="Verdana"/>
                <w:color w:val="808080"/>
                <w:sz w:val="18"/>
                <w:szCs w:val="18"/>
              </w:rPr>
            </w:pPr>
            <w:hyperlink r:id="rId17">
              <w:r w:rsidR="009967C2">
                <w:rPr>
                  <w:rFonts w:ascii="Verdana" w:eastAsia="Verdana" w:hAnsi="Verdana" w:cs="Verdana"/>
                  <w:color w:val="808080"/>
                  <w:sz w:val="18"/>
                  <w:szCs w:val="18"/>
                  <w:u w:val="single"/>
                </w:rPr>
                <w:t>michal.wrzosek@budimex.pl</w:t>
              </w:r>
            </w:hyperlink>
          </w:p>
          <w:p w14:paraId="2AE7F503" w14:textId="77777777" w:rsidR="003B1DAE" w:rsidRDefault="00D904C7">
            <w:pPr>
              <w:spacing w:before="280" w:after="280" w:line="360" w:lineRule="auto"/>
              <w:jc w:val="both"/>
              <w:rPr>
                <w:rFonts w:ascii="Tahoma" w:eastAsia="Tahoma" w:hAnsi="Tahoma" w:cs="Tahoma"/>
                <w:color w:val="7F7F7F"/>
                <w:sz w:val="18"/>
                <w:szCs w:val="18"/>
              </w:rPr>
            </w:pPr>
            <w:hyperlink r:id="rId18">
              <w:r w:rsidR="009967C2">
                <w:rPr>
                  <w:rFonts w:ascii="Tahoma" w:eastAsia="Tahoma" w:hAnsi="Tahoma" w:cs="Tahoma"/>
                  <w:color w:val="7F7F7F"/>
                  <w:sz w:val="18"/>
                  <w:szCs w:val="18"/>
                  <w:u w:val="single"/>
                </w:rPr>
                <w:t>www.media.budimex.pl</w:t>
              </w:r>
            </w:hyperlink>
          </w:p>
          <w:p w14:paraId="1FAF3FD8" w14:textId="77777777" w:rsidR="003B1DAE" w:rsidRDefault="003B1DAE">
            <w:pPr>
              <w:spacing w:line="360" w:lineRule="auto"/>
              <w:jc w:val="center"/>
              <w:rPr>
                <w:rFonts w:ascii="Tahoma" w:eastAsia="Tahoma" w:hAnsi="Tahoma" w:cs="Tahoma"/>
                <w:b/>
                <w:color w:val="FFC000"/>
              </w:rPr>
            </w:pPr>
          </w:p>
          <w:p w14:paraId="21310D73" w14:textId="77777777" w:rsidR="003B1DAE" w:rsidRDefault="003B1DAE">
            <w:pPr>
              <w:spacing w:line="360" w:lineRule="auto"/>
              <w:jc w:val="center"/>
              <w:rPr>
                <w:rFonts w:ascii="Tahoma" w:eastAsia="Tahoma" w:hAnsi="Tahoma" w:cs="Tahoma"/>
                <w:b/>
                <w:color w:val="FFC000"/>
              </w:rPr>
            </w:pPr>
          </w:p>
          <w:p w14:paraId="71DDAF4B" w14:textId="77777777" w:rsidR="003B1DAE" w:rsidRDefault="003B1DAE">
            <w:pPr>
              <w:spacing w:line="360" w:lineRule="auto"/>
              <w:jc w:val="center"/>
              <w:rPr>
                <w:rFonts w:ascii="Tahoma" w:eastAsia="Tahoma" w:hAnsi="Tahoma" w:cs="Tahoma"/>
                <w:b/>
                <w:color w:val="FFC000"/>
              </w:rPr>
            </w:pPr>
          </w:p>
          <w:p w14:paraId="609ACB20" w14:textId="77777777" w:rsidR="003B1DAE" w:rsidRDefault="003B1DAE">
            <w:pPr>
              <w:spacing w:line="360" w:lineRule="auto"/>
              <w:jc w:val="center"/>
              <w:rPr>
                <w:rFonts w:ascii="Tahoma" w:eastAsia="Tahoma" w:hAnsi="Tahoma" w:cs="Tahoma"/>
                <w:b/>
                <w:color w:val="FFC000"/>
              </w:rPr>
            </w:pPr>
          </w:p>
        </w:tc>
      </w:tr>
      <w:bookmarkEnd w:id="0"/>
    </w:tbl>
    <w:p w14:paraId="2A8CBFEE" w14:textId="77777777" w:rsidR="003B1DAE" w:rsidRDefault="003B1DAE">
      <w:pPr>
        <w:spacing w:line="360" w:lineRule="auto"/>
        <w:ind w:right="1"/>
        <w:jc w:val="both"/>
        <w:rPr>
          <w:rFonts w:ascii="Tahoma" w:eastAsia="Tahoma" w:hAnsi="Tahoma" w:cs="Tahoma"/>
          <w:color w:val="808080"/>
          <w:sz w:val="18"/>
          <w:szCs w:val="18"/>
        </w:rPr>
      </w:pPr>
    </w:p>
    <w:sectPr w:rsidR="003B1DAE">
      <w:headerReference w:type="even" r:id="rId19"/>
      <w:headerReference w:type="default" r:id="rId20"/>
      <w:footerReference w:type="even" r:id="rId21"/>
      <w:footerReference w:type="default" r:id="rId22"/>
      <w:headerReference w:type="first" r:id="rId23"/>
      <w:footerReference w:type="first" r:id="rId24"/>
      <w:pgSz w:w="11906" w:h="16838"/>
      <w:pgMar w:top="1417" w:right="1133"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BE988" w14:textId="77777777" w:rsidR="00A8004C" w:rsidRDefault="00A8004C">
      <w:pPr>
        <w:spacing w:after="0" w:line="240" w:lineRule="auto"/>
      </w:pPr>
      <w:r>
        <w:separator/>
      </w:r>
    </w:p>
  </w:endnote>
  <w:endnote w:type="continuationSeparator" w:id="0">
    <w:p w14:paraId="371FF38F" w14:textId="77777777" w:rsidR="00A8004C" w:rsidRDefault="00A8004C">
      <w:pPr>
        <w:spacing w:after="0" w:line="240" w:lineRule="auto"/>
      </w:pPr>
      <w:r>
        <w:continuationSeparator/>
      </w:r>
    </w:p>
  </w:endnote>
  <w:endnote w:type="continuationNotice" w:id="1">
    <w:p w14:paraId="390A4887" w14:textId="77777777" w:rsidR="00A8004C" w:rsidRDefault="00A8004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D47EC" w14:textId="77777777" w:rsidR="005234C8" w:rsidRDefault="005234C8">
    <w:pPr>
      <w:pBdr>
        <w:top w:val="nil"/>
        <w:left w:val="nil"/>
        <w:bottom w:val="nil"/>
        <w:right w:val="nil"/>
        <w:between w:val="nil"/>
      </w:pBdr>
      <w:tabs>
        <w:tab w:val="center" w:pos="4536"/>
        <w:tab w:val="right" w:pos="9072"/>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F70EE" w14:textId="77777777" w:rsidR="005234C8" w:rsidRDefault="005234C8">
    <w:pPr>
      <w:pBdr>
        <w:top w:val="nil"/>
        <w:left w:val="nil"/>
        <w:bottom w:val="nil"/>
        <w:right w:val="nil"/>
        <w:between w:val="nil"/>
      </w:pBdr>
      <w:tabs>
        <w:tab w:val="center" w:pos="4536"/>
        <w:tab w:val="right" w:pos="9072"/>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A4A64" w14:textId="77777777" w:rsidR="005234C8" w:rsidRDefault="005234C8">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CD369" w14:textId="77777777" w:rsidR="00A8004C" w:rsidRDefault="00A8004C">
      <w:pPr>
        <w:spacing w:after="0" w:line="240" w:lineRule="auto"/>
      </w:pPr>
      <w:r>
        <w:separator/>
      </w:r>
    </w:p>
  </w:footnote>
  <w:footnote w:type="continuationSeparator" w:id="0">
    <w:p w14:paraId="4FF71654" w14:textId="77777777" w:rsidR="00A8004C" w:rsidRDefault="00A8004C">
      <w:pPr>
        <w:spacing w:after="0" w:line="240" w:lineRule="auto"/>
      </w:pPr>
      <w:r>
        <w:continuationSeparator/>
      </w:r>
    </w:p>
  </w:footnote>
  <w:footnote w:type="continuationNotice" w:id="1">
    <w:p w14:paraId="5739761C" w14:textId="77777777" w:rsidR="00A8004C" w:rsidRDefault="00A8004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50B18" w14:textId="77777777" w:rsidR="005234C8" w:rsidRDefault="005234C8">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D9826" w14:textId="77777777" w:rsidR="005234C8" w:rsidRDefault="005234C8">
    <w:pPr>
      <w:pBdr>
        <w:top w:val="nil"/>
        <w:left w:val="nil"/>
        <w:bottom w:val="nil"/>
        <w:right w:val="nil"/>
        <w:between w:val="nil"/>
      </w:pBdr>
      <w:tabs>
        <w:tab w:val="center" w:pos="4536"/>
        <w:tab w:val="right" w:pos="9072"/>
        <w:tab w:val="left" w:pos="785"/>
        <w:tab w:val="left" w:pos="3828"/>
      </w:tabs>
      <w:spacing w:after="0" w:line="240" w:lineRule="auto"/>
      <w:rPr>
        <w:rFonts w:ascii="Tahoma" w:eastAsia="Tahoma" w:hAnsi="Tahoma" w:cs="Tahoma"/>
        <w:b/>
        <w:color w:val="808080"/>
        <w:sz w:val="28"/>
        <w:szCs w:val="28"/>
      </w:rPr>
    </w:pPr>
    <w:r>
      <w:rPr>
        <w:noProof/>
      </w:rPr>
      <w:drawing>
        <wp:anchor distT="0" distB="0" distL="114300" distR="114300" simplePos="0" relativeHeight="251658240" behindDoc="0" locked="0" layoutInCell="1" hidden="0" allowOverlap="1" wp14:anchorId="7C60455E" wp14:editId="145225DB">
          <wp:simplePos x="0" y="0"/>
          <wp:positionH relativeFrom="column">
            <wp:posOffset>761</wp:posOffset>
          </wp:positionH>
          <wp:positionV relativeFrom="paragraph">
            <wp:posOffset>693</wp:posOffset>
          </wp:positionV>
          <wp:extent cx="1396800" cy="478800"/>
          <wp:effectExtent l="0" t="0" r="0" b="0"/>
          <wp:wrapNone/>
          <wp:docPr id="3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396800" cy="478800"/>
                  </a:xfrm>
                  <a:prstGeom prst="rect">
                    <a:avLst/>
                  </a:prstGeom>
                  <a:ln/>
                </pic:spPr>
              </pic:pic>
            </a:graphicData>
          </a:graphic>
        </wp:anchor>
      </w:drawing>
    </w:r>
  </w:p>
  <w:p w14:paraId="7282C477" w14:textId="77777777" w:rsidR="005234C8" w:rsidRDefault="005234C8">
    <w:pPr>
      <w:pBdr>
        <w:top w:val="nil"/>
        <w:left w:val="nil"/>
        <w:bottom w:val="nil"/>
        <w:right w:val="nil"/>
        <w:between w:val="nil"/>
      </w:pBdr>
      <w:tabs>
        <w:tab w:val="center" w:pos="4536"/>
        <w:tab w:val="right" w:pos="9072"/>
        <w:tab w:val="left" w:pos="785"/>
      </w:tabs>
      <w:spacing w:after="0" w:line="240" w:lineRule="auto"/>
      <w:jc w:val="right"/>
      <w:rPr>
        <w:rFonts w:ascii="Tahoma" w:eastAsia="Tahoma" w:hAnsi="Tahoma" w:cs="Tahoma"/>
        <w:b/>
        <w:color w:val="808080"/>
        <w:sz w:val="28"/>
        <w:szCs w:val="28"/>
      </w:rPr>
    </w:pPr>
    <w:r>
      <w:rPr>
        <w:rFonts w:ascii="Tahoma" w:eastAsia="Tahoma" w:hAnsi="Tahoma" w:cs="Tahoma"/>
        <w:b/>
        <w:color w:val="808080"/>
        <w:sz w:val="28"/>
        <w:szCs w:val="28"/>
      </w:rPr>
      <w:t>Informacja prasowa</w:t>
    </w:r>
  </w:p>
  <w:p w14:paraId="1DB80131" w14:textId="77777777" w:rsidR="005234C8" w:rsidRDefault="005234C8">
    <w:pPr>
      <w:pBdr>
        <w:top w:val="nil"/>
        <w:left w:val="nil"/>
        <w:bottom w:val="nil"/>
        <w:right w:val="nil"/>
        <w:between w:val="nil"/>
      </w:pBdr>
      <w:tabs>
        <w:tab w:val="center" w:pos="4536"/>
        <w:tab w:val="right" w:pos="9072"/>
        <w:tab w:val="left" w:pos="785"/>
      </w:tabs>
      <w:spacing w:after="0" w:line="240" w:lineRule="auto"/>
      <w:jc w:val="right"/>
      <w:rPr>
        <w:rFonts w:ascii="Tahoma" w:eastAsia="Tahoma" w:hAnsi="Tahoma" w:cs="Tahoma"/>
        <w:b/>
        <w:color w:val="808080"/>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CD600" w14:textId="77777777" w:rsidR="005234C8" w:rsidRDefault="005234C8">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04A94"/>
    <w:multiLevelType w:val="hybridMultilevel"/>
    <w:tmpl w:val="A1385B38"/>
    <w:lvl w:ilvl="0" w:tplc="FC90BEA4">
      <w:start w:val="1"/>
      <w:numFmt w:val="decimal"/>
      <w:lvlText w:val="%1."/>
      <w:lvlJc w:val="left"/>
      <w:pPr>
        <w:tabs>
          <w:tab w:val="num" w:pos="720"/>
        </w:tabs>
        <w:ind w:left="720" w:hanging="360"/>
      </w:pPr>
    </w:lvl>
    <w:lvl w:ilvl="1" w:tplc="2836FB84" w:tentative="1">
      <w:start w:val="1"/>
      <w:numFmt w:val="decimal"/>
      <w:lvlText w:val="%2."/>
      <w:lvlJc w:val="left"/>
      <w:pPr>
        <w:tabs>
          <w:tab w:val="num" w:pos="1440"/>
        </w:tabs>
        <w:ind w:left="1440" w:hanging="360"/>
      </w:pPr>
    </w:lvl>
    <w:lvl w:ilvl="2" w:tplc="8F869690" w:tentative="1">
      <w:start w:val="1"/>
      <w:numFmt w:val="decimal"/>
      <w:lvlText w:val="%3."/>
      <w:lvlJc w:val="left"/>
      <w:pPr>
        <w:tabs>
          <w:tab w:val="num" w:pos="2160"/>
        </w:tabs>
        <w:ind w:left="2160" w:hanging="360"/>
      </w:pPr>
    </w:lvl>
    <w:lvl w:ilvl="3" w:tplc="B56A5C06" w:tentative="1">
      <w:start w:val="1"/>
      <w:numFmt w:val="decimal"/>
      <w:lvlText w:val="%4."/>
      <w:lvlJc w:val="left"/>
      <w:pPr>
        <w:tabs>
          <w:tab w:val="num" w:pos="2880"/>
        </w:tabs>
        <w:ind w:left="2880" w:hanging="360"/>
      </w:pPr>
    </w:lvl>
    <w:lvl w:ilvl="4" w:tplc="D27ECD8C" w:tentative="1">
      <w:start w:val="1"/>
      <w:numFmt w:val="decimal"/>
      <w:lvlText w:val="%5."/>
      <w:lvlJc w:val="left"/>
      <w:pPr>
        <w:tabs>
          <w:tab w:val="num" w:pos="3600"/>
        </w:tabs>
        <w:ind w:left="3600" w:hanging="360"/>
      </w:pPr>
    </w:lvl>
    <w:lvl w:ilvl="5" w:tplc="FD484E9A" w:tentative="1">
      <w:start w:val="1"/>
      <w:numFmt w:val="decimal"/>
      <w:lvlText w:val="%6."/>
      <w:lvlJc w:val="left"/>
      <w:pPr>
        <w:tabs>
          <w:tab w:val="num" w:pos="4320"/>
        </w:tabs>
        <w:ind w:left="4320" w:hanging="360"/>
      </w:pPr>
    </w:lvl>
    <w:lvl w:ilvl="6" w:tplc="C3F2ACA2" w:tentative="1">
      <w:start w:val="1"/>
      <w:numFmt w:val="decimal"/>
      <w:lvlText w:val="%7."/>
      <w:lvlJc w:val="left"/>
      <w:pPr>
        <w:tabs>
          <w:tab w:val="num" w:pos="5040"/>
        </w:tabs>
        <w:ind w:left="5040" w:hanging="360"/>
      </w:pPr>
    </w:lvl>
    <w:lvl w:ilvl="7" w:tplc="4D9849B0" w:tentative="1">
      <w:start w:val="1"/>
      <w:numFmt w:val="decimal"/>
      <w:lvlText w:val="%8."/>
      <w:lvlJc w:val="left"/>
      <w:pPr>
        <w:tabs>
          <w:tab w:val="num" w:pos="5760"/>
        </w:tabs>
        <w:ind w:left="5760" w:hanging="360"/>
      </w:pPr>
    </w:lvl>
    <w:lvl w:ilvl="8" w:tplc="458EB016" w:tentative="1">
      <w:start w:val="1"/>
      <w:numFmt w:val="decimal"/>
      <w:lvlText w:val="%9."/>
      <w:lvlJc w:val="left"/>
      <w:pPr>
        <w:tabs>
          <w:tab w:val="num" w:pos="6480"/>
        </w:tabs>
        <w:ind w:left="6480" w:hanging="360"/>
      </w:pPr>
    </w:lvl>
  </w:abstractNum>
  <w:abstractNum w:abstractNumId="1" w15:restartNumberingAfterBreak="0">
    <w:nsid w:val="51E639EB"/>
    <w:multiLevelType w:val="multilevel"/>
    <w:tmpl w:val="5B124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3A94AF0"/>
    <w:multiLevelType w:val="multilevel"/>
    <w:tmpl w:val="4C548C0A"/>
    <w:lvl w:ilvl="0">
      <w:start w:val="1"/>
      <w:numFmt w:val="bullet"/>
      <w:lvlText w:val="●"/>
      <w:lvlJc w:val="left"/>
      <w:pPr>
        <w:ind w:left="720" w:hanging="360"/>
      </w:pPr>
      <w:rPr>
        <w:rFonts w:ascii="Noto Sans Symbols" w:eastAsia="Noto Sans Symbols" w:hAnsi="Noto Sans Symbols" w:cs="Noto Sans Symbols"/>
        <w:color w:val="FFC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003725F"/>
    <w:multiLevelType w:val="multilevel"/>
    <w:tmpl w:val="02C6DBEC"/>
    <w:lvl w:ilvl="0">
      <w:start w:val="1"/>
      <w:numFmt w:val="bullet"/>
      <w:lvlText w:val="●"/>
      <w:lvlJc w:val="left"/>
      <w:pPr>
        <w:ind w:left="720" w:hanging="360"/>
      </w:pPr>
      <w:rPr>
        <w:rFonts w:ascii="Noto Sans Symbols" w:eastAsia="Noto Sans Symbols" w:hAnsi="Noto Sans Symbols" w:cs="Noto Sans Symbols"/>
        <w:color w:val="FFC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413208847">
    <w:abstractNumId w:val="2"/>
  </w:num>
  <w:num w:numId="2" w16cid:durableId="1992253705">
    <w:abstractNumId w:val="3"/>
  </w:num>
  <w:num w:numId="3" w16cid:durableId="1066488112">
    <w:abstractNumId w:val="1"/>
  </w:num>
  <w:num w:numId="4" w16cid:durableId="8191500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DAE"/>
    <w:rsid w:val="00025792"/>
    <w:rsid w:val="00044F06"/>
    <w:rsid w:val="00045270"/>
    <w:rsid w:val="0005467F"/>
    <w:rsid w:val="00075A5D"/>
    <w:rsid w:val="000851A2"/>
    <w:rsid w:val="00087DBB"/>
    <w:rsid w:val="000B1755"/>
    <w:rsid w:val="000D15EA"/>
    <w:rsid w:val="000D3B26"/>
    <w:rsid w:val="000E1B21"/>
    <w:rsid w:val="000E432E"/>
    <w:rsid w:val="0011247D"/>
    <w:rsid w:val="00116246"/>
    <w:rsid w:val="00125D50"/>
    <w:rsid w:val="00167E28"/>
    <w:rsid w:val="00170C68"/>
    <w:rsid w:val="00172D1D"/>
    <w:rsid w:val="001746AB"/>
    <w:rsid w:val="001775B0"/>
    <w:rsid w:val="0018791B"/>
    <w:rsid w:val="00192890"/>
    <w:rsid w:val="00195F51"/>
    <w:rsid w:val="001C6FB2"/>
    <w:rsid w:val="001C765C"/>
    <w:rsid w:val="001E2A10"/>
    <w:rsid w:val="001E3510"/>
    <w:rsid w:val="001F0F39"/>
    <w:rsid w:val="001F34D3"/>
    <w:rsid w:val="001F5C15"/>
    <w:rsid w:val="001F67DB"/>
    <w:rsid w:val="00203086"/>
    <w:rsid w:val="00206E7C"/>
    <w:rsid w:val="002342F3"/>
    <w:rsid w:val="00237B08"/>
    <w:rsid w:val="002541C4"/>
    <w:rsid w:val="0027391F"/>
    <w:rsid w:val="00285560"/>
    <w:rsid w:val="002911B6"/>
    <w:rsid w:val="002B0328"/>
    <w:rsid w:val="002E34D2"/>
    <w:rsid w:val="002E37BE"/>
    <w:rsid w:val="002F1071"/>
    <w:rsid w:val="00307758"/>
    <w:rsid w:val="00326F2D"/>
    <w:rsid w:val="00335EFA"/>
    <w:rsid w:val="00343058"/>
    <w:rsid w:val="00343C19"/>
    <w:rsid w:val="00360101"/>
    <w:rsid w:val="00365D17"/>
    <w:rsid w:val="00382064"/>
    <w:rsid w:val="003841EF"/>
    <w:rsid w:val="00391521"/>
    <w:rsid w:val="00396AA9"/>
    <w:rsid w:val="003A4D98"/>
    <w:rsid w:val="003B1DAE"/>
    <w:rsid w:val="003C5333"/>
    <w:rsid w:val="00417411"/>
    <w:rsid w:val="00425428"/>
    <w:rsid w:val="00440954"/>
    <w:rsid w:val="00454DF7"/>
    <w:rsid w:val="0045650D"/>
    <w:rsid w:val="004571FF"/>
    <w:rsid w:val="00457AA5"/>
    <w:rsid w:val="00463DB1"/>
    <w:rsid w:val="00473F87"/>
    <w:rsid w:val="00482FFC"/>
    <w:rsid w:val="0048734C"/>
    <w:rsid w:val="0049557E"/>
    <w:rsid w:val="004A6EE5"/>
    <w:rsid w:val="004B3484"/>
    <w:rsid w:val="004B36C2"/>
    <w:rsid w:val="004B6F46"/>
    <w:rsid w:val="004D23DB"/>
    <w:rsid w:val="004D2CB9"/>
    <w:rsid w:val="004E13B4"/>
    <w:rsid w:val="004E4796"/>
    <w:rsid w:val="004F7FD5"/>
    <w:rsid w:val="0050639D"/>
    <w:rsid w:val="005234C8"/>
    <w:rsid w:val="0054395F"/>
    <w:rsid w:val="005726F4"/>
    <w:rsid w:val="00581480"/>
    <w:rsid w:val="00597E08"/>
    <w:rsid w:val="005A3F00"/>
    <w:rsid w:val="005C7B13"/>
    <w:rsid w:val="005D7BA2"/>
    <w:rsid w:val="005E5391"/>
    <w:rsid w:val="005E6E83"/>
    <w:rsid w:val="00602232"/>
    <w:rsid w:val="00617FB9"/>
    <w:rsid w:val="00621025"/>
    <w:rsid w:val="006230EB"/>
    <w:rsid w:val="006624BA"/>
    <w:rsid w:val="00664B42"/>
    <w:rsid w:val="006774E1"/>
    <w:rsid w:val="00683A00"/>
    <w:rsid w:val="006944A4"/>
    <w:rsid w:val="006B23E5"/>
    <w:rsid w:val="006E7F5D"/>
    <w:rsid w:val="00733A2E"/>
    <w:rsid w:val="00734D0A"/>
    <w:rsid w:val="00737601"/>
    <w:rsid w:val="00753410"/>
    <w:rsid w:val="007619F3"/>
    <w:rsid w:val="00764B40"/>
    <w:rsid w:val="0077624A"/>
    <w:rsid w:val="007866B6"/>
    <w:rsid w:val="0079464C"/>
    <w:rsid w:val="007A0CF3"/>
    <w:rsid w:val="007B1336"/>
    <w:rsid w:val="007C63DE"/>
    <w:rsid w:val="007C6A6A"/>
    <w:rsid w:val="00800D2C"/>
    <w:rsid w:val="00811AF9"/>
    <w:rsid w:val="008121D0"/>
    <w:rsid w:val="00815A09"/>
    <w:rsid w:val="00815B55"/>
    <w:rsid w:val="00821277"/>
    <w:rsid w:val="00821D89"/>
    <w:rsid w:val="008363EC"/>
    <w:rsid w:val="00845EC4"/>
    <w:rsid w:val="008528AF"/>
    <w:rsid w:val="00862E0C"/>
    <w:rsid w:val="008745A4"/>
    <w:rsid w:val="00876DE2"/>
    <w:rsid w:val="008805C6"/>
    <w:rsid w:val="00885B0E"/>
    <w:rsid w:val="008A1719"/>
    <w:rsid w:val="008A79BD"/>
    <w:rsid w:val="008B2324"/>
    <w:rsid w:val="008B7319"/>
    <w:rsid w:val="00910344"/>
    <w:rsid w:val="009202BE"/>
    <w:rsid w:val="009259BC"/>
    <w:rsid w:val="00930A84"/>
    <w:rsid w:val="0094259B"/>
    <w:rsid w:val="009462D1"/>
    <w:rsid w:val="00952E46"/>
    <w:rsid w:val="00984ECE"/>
    <w:rsid w:val="00994841"/>
    <w:rsid w:val="009967C2"/>
    <w:rsid w:val="009A2909"/>
    <w:rsid w:val="009B1449"/>
    <w:rsid w:val="009D43F4"/>
    <w:rsid w:val="009D5FA8"/>
    <w:rsid w:val="009D7093"/>
    <w:rsid w:val="009E3AFD"/>
    <w:rsid w:val="00A058C5"/>
    <w:rsid w:val="00A132E1"/>
    <w:rsid w:val="00A4491D"/>
    <w:rsid w:val="00A51B54"/>
    <w:rsid w:val="00A751EB"/>
    <w:rsid w:val="00A8004C"/>
    <w:rsid w:val="00A82DFE"/>
    <w:rsid w:val="00A90CED"/>
    <w:rsid w:val="00A956DB"/>
    <w:rsid w:val="00A96F60"/>
    <w:rsid w:val="00AA2306"/>
    <w:rsid w:val="00AB13B2"/>
    <w:rsid w:val="00AB41A5"/>
    <w:rsid w:val="00AD373B"/>
    <w:rsid w:val="00AD6A2F"/>
    <w:rsid w:val="00AE0702"/>
    <w:rsid w:val="00AE517C"/>
    <w:rsid w:val="00AF57C6"/>
    <w:rsid w:val="00AF7CB0"/>
    <w:rsid w:val="00B01620"/>
    <w:rsid w:val="00B05C4A"/>
    <w:rsid w:val="00B070DA"/>
    <w:rsid w:val="00B12F71"/>
    <w:rsid w:val="00B13BDE"/>
    <w:rsid w:val="00B202B8"/>
    <w:rsid w:val="00B267EF"/>
    <w:rsid w:val="00B36F97"/>
    <w:rsid w:val="00B456AB"/>
    <w:rsid w:val="00B46EF9"/>
    <w:rsid w:val="00B54304"/>
    <w:rsid w:val="00B55183"/>
    <w:rsid w:val="00B57EEC"/>
    <w:rsid w:val="00B64BF4"/>
    <w:rsid w:val="00B738C4"/>
    <w:rsid w:val="00B87263"/>
    <w:rsid w:val="00BA7C09"/>
    <w:rsid w:val="00BB4675"/>
    <w:rsid w:val="00C448E6"/>
    <w:rsid w:val="00C5373F"/>
    <w:rsid w:val="00C64A91"/>
    <w:rsid w:val="00C74D83"/>
    <w:rsid w:val="00C7678B"/>
    <w:rsid w:val="00CA3C4C"/>
    <w:rsid w:val="00CA61D7"/>
    <w:rsid w:val="00CA756C"/>
    <w:rsid w:val="00CB4A4E"/>
    <w:rsid w:val="00CE4B1E"/>
    <w:rsid w:val="00CE4F9D"/>
    <w:rsid w:val="00CF1029"/>
    <w:rsid w:val="00CF331B"/>
    <w:rsid w:val="00D0541E"/>
    <w:rsid w:val="00D203C5"/>
    <w:rsid w:val="00D247FD"/>
    <w:rsid w:val="00D40B49"/>
    <w:rsid w:val="00D431B3"/>
    <w:rsid w:val="00D62673"/>
    <w:rsid w:val="00D63FCB"/>
    <w:rsid w:val="00D67D0B"/>
    <w:rsid w:val="00D77591"/>
    <w:rsid w:val="00D940A2"/>
    <w:rsid w:val="00D97020"/>
    <w:rsid w:val="00DA0F61"/>
    <w:rsid w:val="00DA3BE0"/>
    <w:rsid w:val="00DB12FC"/>
    <w:rsid w:val="00DB76CF"/>
    <w:rsid w:val="00DC033A"/>
    <w:rsid w:val="00DD2AAC"/>
    <w:rsid w:val="00DD67EE"/>
    <w:rsid w:val="00DE3C90"/>
    <w:rsid w:val="00DF25E5"/>
    <w:rsid w:val="00E06A9C"/>
    <w:rsid w:val="00E075B9"/>
    <w:rsid w:val="00E162E5"/>
    <w:rsid w:val="00E31E81"/>
    <w:rsid w:val="00E41DD0"/>
    <w:rsid w:val="00E43C68"/>
    <w:rsid w:val="00E473CA"/>
    <w:rsid w:val="00E47C45"/>
    <w:rsid w:val="00E53EE2"/>
    <w:rsid w:val="00E71071"/>
    <w:rsid w:val="00E725B5"/>
    <w:rsid w:val="00E74C2B"/>
    <w:rsid w:val="00E75C19"/>
    <w:rsid w:val="00E8571A"/>
    <w:rsid w:val="00E8668D"/>
    <w:rsid w:val="00EA0B84"/>
    <w:rsid w:val="00EA2FF8"/>
    <w:rsid w:val="00EB307C"/>
    <w:rsid w:val="00ED4BD3"/>
    <w:rsid w:val="00ED5AE6"/>
    <w:rsid w:val="00EF4765"/>
    <w:rsid w:val="00F00688"/>
    <w:rsid w:val="00F0663D"/>
    <w:rsid w:val="00F1073B"/>
    <w:rsid w:val="00F657D5"/>
    <w:rsid w:val="00F70BEA"/>
    <w:rsid w:val="00F8068E"/>
    <w:rsid w:val="00F8462E"/>
    <w:rsid w:val="00F85CAE"/>
    <w:rsid w:val="00F973E9"/>
    <w:rsid w:val="00FB12A7"/>
    <w:rsid w:val="00FB2B85"/>
    <w:rsid w:val="00FB5804"/>
    <w:rsid w:val="00FD2F0C"/>
    <w:rsid w:val="00FE2B9F"/>
    <w:rsid w:val="00FE4A36"/>
    <w:rsid w:val="00FE5685"/>
    <w:rsid w:val="00FF1E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0B7E98"/>
  <w15:docId w15:val="{F2CC35BA-721A-4A98-AE1C-332947C90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85560"/>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paragraph" w:styleId="Podtytu">
    <w:name w:val="Subtitle"/>
    <w:basedOn w:val="Normalny"/>
    <w:next w:val="Normalny"/>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6"/>
    <w:pPr>
      <w:spacing w:after="0" w:line="240" w:lineRule="auto"/>
    </w:pPr>
    <w:tblPr>
      <w:tblStyleRowBandSize w:val="1"/>
      <w:tblStyleColBandSize w:val="1"/>
      <w:tblCellMar>
        <w:left w:w="255" w:type="dxa"/>
        <w:right w:w="108" w:type="dxa"/>
      </w:tblCellMar>
    </w:tblPr>
  </w:style>
  <w:style w:type="paragraph" w:styleId="Tekstdymka">
    <w:name w:val="Balloon Text"/>
    <w:basedOn w:val="Normalny"/>
    <w:link w:val="TekstdymkaZnak"/>
    <w:uiPriority w:val="99"/>
    <w:semiHidden/>
    <w:unhideWhenUsed/>
    <w:rsid w:val="001E284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E2843"/>
    <w:rPr>
      <w:rFonts w:ascii="Segoe UI" w:hAnsi="Segoe UI" w:cs="Segoe UI"/>
      <w:sz w:val="18"/>
      <w:szCs w:val="18"/>
    </w:rPr>
  </w:style>
  <w:style w:type="table" w:customStyle="1" w:styleId="a0">
    <w:basedOn w:val="TableNormal6"/>
    <w:pPr>
      <w:spacing w:after="0" w:line="240" w:lineRule="auto"/>
    </w:pPr>
    <w:tblPr>
      <w:tblStyleRowBandSize w:val="1"/>
      <w:tblStyleColBandSize w:val="1"/>
      <w:tblCellMar>
        <w:left w:w="255" w:type="dxa"/>
        <w:right w:w="108" w:type="dxa"/>
      </w:tblCellMar>
    </w:tblPr>
  </w:style>
  <w:style w:type="table" w:customStyle="1" w:styleId="a1">
    <w:basedOn w:val="TableNormal6"/>
    <w:pPr>
      <w:spacing w:after="0" w:line="240" w:lineRule="auto"/>
    </w:pPr>
    <w:tblPr>
      <w:tblStyleRowBandSize w:val="1"/>
      <w:tblStyleColBandSize w:val="1"/>
      <w:tblCellMar>
        <w:left w:w="255" w:type="dxa"/>
        <w:right w:w="108" w:type="dxa"/>
      </w:tblCellMar>
    </w:tblPr>
  </w:style>
  <w:style w:type="character" w:styleId="Odwoaniedokomentarza">
    <w:name w:val="annotation reference"/>
    <w:basedOn w:val="Domylnaczcionkaakapitu"/>
    <w:uiPriority w:val="99"/>
    <w:semiHidden/>
    <w:unhideWhenUsed/>
    <w:rsid w:val="00D77B2D"/>
    <w:rPr>
      <w:sz w:val="16"/>
      <w:szCs w:val="16"/>
    </w:rPr>
  </w:style>
  <w:style w:type="paragraph" w:styleId="Tekstkomentarza">
    <w:name w:val="annotation text"/>
    <w:basedOn w:val="Normalny"/>
    <w:link w:val="TekstkomentarzaZnak"/>
    <w:uiPriority w:val="99"/>
    <w:unhideWhenUsed/>
    <w:rsid w:val="00D77B2D"/>
    <w:pPr>
      <w:spacing w:line="240" w:lineRule="auto"/>
    </w:pPr>
    <w:rPr>
      <w:sz w:val="20"/>
      <w:szCs w:val="20"/>
    </w:rPr>
  </w:style>
  <w:style w:type="character" w:customStyle="1" w:styleId="TekstkomentarzaZnak">
    <w:name w:val="Tekst komentarza Znak"/>
    <w:basedOn w:val="Domylnaczcionkaakapitu"/>
    <w:link w:val="Tekstkomentarza"/>
    <w:uiPriority w:val="99"/>
    <w:rsid w:val="00D77B2D"/>
    <w:rPr>
      <w:sz w:val="20"/>
      <w:szCs w:val="20"/>
    </w:rPr>
  </w:style>
  <w:style w:type="paragraph" w:styleId="Tematkomentarza">
    <w:name w:val="annotation subject"/>
    <w:basedOn w:val="Tekstkomentarza"/>
    <w:next w:val="Tekstkomentarza"/>
    <w:link w:val="TematkomentarzaZnak"/>
    <w:uiPriority w:val="99"/>
    <w:semiHidden/>
    <w:unhideWhenUsed/>
    <w:rsid w:val="00D77B2D"/>
    <w:rPr>
      <w:b/>
      <w:bCs/>
    </w:rPr>
  </w:style>
  <w:style w:type="character" w:customStyle="1" w:styleId="TematkomentarzaZnak">
    <w:name w:val="Temat komentarza Znak"/>
    <w:basedOn w:val="TekstkomentarzaZnak"/>
    <w:link w:val="Tematkomentarza"/>
    <w:uiPriority w:val="99"/>
    <w:semiHidden/>
    <w:rsid w:val="00D77B2D"/>
    <w:rPr>
      <w:b/>
      <w:bCs/>
      <w:sz w:val="20"/>
      <w:szCs w:val="20"/>
    </w:rPr>
  </w:style>
  <w:style w:type="table" w:customStyle="1" w:styleId="a2">
    <w:basedOn w:val="TableNormal4"/>
    <w:pPr>
      <w:spacing w:after="0" w:line="240" w:lineRule="auto"/>
    </w:pPr>
    <w:tblPr>
      <w:tblStyleRowBandSize w:val="1"/>
      <w:tblStyleColBandSize w:val="1"/>
      <w:tblCellMar>
        <w:left w:w="255" w:type="dxa"/>
        <w:right w:w="108" w:type="dxa"/>
      </w:tblCellMar>
    </w:tblPr>
  </w:style>
  <w:style w:type="table" w:customStyle="1" w:styleId="a3">
    <w:basedOn w:val="TableNormal3"/>
    <w:pPr>
      <w:spacing w:after="0" w:line="240" w:lineRule="auto"/>
    </w:pPr>
    <w:tblPr>
      <w:tblStyleRowBandSize w:val="1"/>
      <w:tblStyleColBandSize w:val="1"/>
      <w:tblCellMar>
        <w:left w:w="255" w:type="dxa"/>
        <w:right w:w="108" w:type="dxa"/>
      </w:tblCellMar>
    </w:tblPr>
  </w:style>
  <w:style w:type="paragraph" w:styleId="Nagwek">
    <w:name w:val="header"/>
    <w:basedOn w:val="Normalny"/>
    <w:link w:val="NagwekZnak"/>
    <w:uiPriority w:val="99"/>
    <w:unhideWhenUsed/>
    <w:rsid w:val="004C325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C3250"/>
  </w:style>
  <w:style w:type="paragraph" w:styleId="Stopka">
    <w:name w:val="footer"/>
    <w:basedOn w:val="Normalny"/>
    <w:link w:val="StopkaZnak"/>
    <w:uiPriority w:val="99"/>
    <w:unhideWhenUsed/>
    <w:rsid w:val="004C325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C3250"/>
  </w:style>
  <w:style w:type="table" w:customStyle="1" w:styleId="a4">
    <w:basedOn w:val="TableNormal2"/>
    <w:pPr>
      <w:spacing w:after="0" w:line="240" w:lineRule="auto"/>
    </w:pPr>
    <w:tblPr>
      <w:tblStyleRowBandSize w:val="1"/>
      <w:tblStyleColBandSize w:val="1"/>
      <w:tblCellMar>
        <w:left w:w="255" w:type="dxa"/>
        <w:right w:w="108" w:type="dxa"/>
      </w:tblCellMar>
    </w:tblPr>
  </w:style>
  <w:style w:type="paragraph" w:styleId="Akapitzlist">
    <w:name w:val="List Paragraph"/>
    <w:basedOn w:val="Normalny"/>
    <w:uiPriority w:val="34"/>
    <w:qFormat/>
    <w:rsid w:val="002909A0"/>
    <w:pPr>
      <w:ind w:left="720"/>
      <w:contextualSpacing/>
    </w:pPr>
  </w:style>
  <w:style w:type="table" w:customStyle="1" w:styleId="a5">
    <w:basedOn w:val="TableNormal1"/>
    <w:pPr>
      <w:spacing w:after="0" w:line="240" w:lineRule="auto"/>
    </w:pPr>
    <w:tblPr>
      <w:tblStyleRowBandSize w:val="1"/>
      <w:tblStyleColBandSize w:val="1"/>
      <w:tblCellMar>
        <w:left w:w="255" w:type="dxa"/>
        <w:right w:w="108" w:type="dxa"/>
      </w:tblCellMar>
    </w:tblPr>
  </w:style>
  <w:style w:type="table" w:customStyle="1" w:styleId="a6">
    <w:basedOn w:val="TableNormal0"/>
    <w:pPr>
      <w:spacing w:after="0" w:line="240" w:lineRule="auto"/>
    </w:pPr>
    <w:tblPr>
      <w:tblStyleRowBandSize w:val="1"/>
      <w:tblStyleColBandSize w:val="1"/>
      <w:tblCellMar>
        <w:left w:w="255" w:type="dxa"/>
        <w:right w:w="108" w:type="dxa"/>
      </w:tblCellMar>
    </w:tblPr>
  </w:style>
  <w:style w:type="character" w:styleId="Hipercze">
    <w:name w:val="Hyperlink"/>
    <w:basedOn w:val="Domylnaczcionkaakapitu"/>
    <w:uiPriority w:val="99"/>
    <w:unhideWhenUsed/>
    <w:rsid w:val="00617FB9"/>
    <w:rPr>
      <w:color w:val="0000FF" w:themeColor="hyperlink"/>
      <w:u w:val="single"/>
    </w:rPr>
  </w:style>
  <w:style w:type="paragraph" w:styleId="NormalnyWeb">
    <w:name w:val="Normal (Web)"/>
    <w:basedOn w:val="Normalny"/>
    <w:uiPriority w:val="99"/>
    <w:semiHidden/>
    <w:unhideWhenUsed/>
    <w:rsid w:val="00463DB1"/>
    <w:rPr>
      <w:rFonts w:ascii="Times New Roman" w:hAnsi="Times New Roman" w:cs="Times New Roman"/>
      <w:sz w:val="24"/>
      <w:szCs w:val="24"/>
    </w:rPr>
  </w:style>
  <w:style w:type="character" w:styleId="Uwydatnienie">
    <w:name w:val="Emphasis"/>
    <w:basedOn w:val="Domylnaczcionkaakapitu"/>
    <w:uiPriority w:val="20"/>
    <w:qFormat/>
    <w:rsid w:val="0049557E"/>
    <w:rPr>
      <w:i/>
      <w:iCs/>
    </w:rPr>
  </w:style>
  <w:style w:type="paragraph" w:styleId="Tekstprzypisukocowego">
    <w:name w:val="endnote text"/>
    <w:basedOn w:val="Normalny"/>
    <w:link w:val="TekstprzypisukocowegoZnak"/>
    <w:uiPriority w:val="99"/>
    <w:semiHidden/>
    <w:unhideWhenUsed/>
    <w:rsid w:val="00B12F7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12F71"/>
    <w:rPr>
      <w:sz w:val="20"/>
      <w:szCs w:val="20"/>
    </w:rPr>
  </w:style>
  <w:style w:type="character" w:styleId="Odwoanieprzypisukocowego">
    <w:name w:val="endnote reference"/>
    <w:basedOn w:val="Domylnaczcionkaakapitu"/>
    <w:uiPriority w:val="99"/>
    <w:semiHidden/>
    <w:unhideWhenUsed/>
    <w:rsid w:val="00B12F71"/>
    <w:rPr>
      <w:vertAlign w:val="superscript"/>
    </w:rPr>
  </w:style>
  <w:style w:type="paragraph" w:styleId="Poprawka">
    <w:name w:val="Revision"/>
    <w:hidden/>
    <w:uiPriority w:val="99"/>
    <w:semiHidden/>
    <w:rsid w:val="00E74C2B"/>
    <w:pPr>
      <w:spacing w:after="0" w:line="240" w:lineRule="auto"/>
    </w:pPr>
  </w:style>
  <w:style w:type="character" w:customStyle="1" w:styleId="Nierozpoznanawzmianka1">
    <w:name w:val="Nierozpoznana wzmianka1"/>
    <w:basedOn w:val="Domylnaczcionkaakapitu"/>
    <w:uiPriority w:val="99"/>
    <w:semiHidden/>
    <w:unhideWhenUsed/>
    <w:rsid w:val="00821277"/>
    <w:rPr>
      <w:color w:val="605E5C"/>
      <w:shd w:val="clear" w:color="auto" w:fill="E1DFDD"/>
    </w:rPr>
  </w:style>
  <w:style w:type="character" w:styleId="Nierozpoznanawzmianka">
    <w:name w:val="Unresolved Mention"/>
    <w:basedOn w:val="Domylnaczcionkaakapitu"/>
    <w:uiPriority w:val="99"/>
    <w:semiHidden/>
    <w:unhideWhenUsed/>
    <w:rsid w:val="001775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59102">
      <w:bodyDiv w:val="1"/>
      <w:marLeft w:val="0"/>
      <w:marRight w:val="0"/>
      <w:marTop w:val="0"/>
      <w:marBottom w:val="0"/>
      <w:divBdr>
        <w:top w:val="none" w:sz="0" w:space="0" w:color="auto"/>
        <w:left w:val="none" w:sz="0" w:space="0" w:color="auto"/>
        <w:bottom w:val="none" w:sz="0" w:space="0" w:color="auto"/>
        <w:right w:val="none" w:sz="0" w:space="0" w:color="auto"/>
      </w:divBdr>
    </w:div>
    <w:div w:id="102188668">
      <w:bodyDiv w:val="1"/>
      <w:marLeft w:val="0"/>
      <w:marRight w:val="0"/>
      <w:marTop w:val="0"/>
      <w:marBottom w:val="0"/>
      <w:divBdr>
        <w:top w:val="none" w:sz="0" w:space="0" w:color="auto"/>
        <w:left w:val="none" w:sz="0" w:space="0" w:color="auto"/>
        <w:bottom w:val="none" w:sz="0" w:space="0" w:color="auto"/>
        <w:right w:val="none" w:sz="0" w:space="0" w:color="auto"/>
      </w:divBdr>
    </w:div>
    <w:div w:id="277566106">
      <w:bodyDiv w:val="1"/>
      <w:marLeft w:val="0"/>
      <w:marRight w:val="0"/>
      <w:marTop w:val="0"/>
      <w:marBottom w:val="0"/>
      <w:divBdr>
        <w:top w:val="none" w:sz="0" w:space="0" w:color="auto"/>
        <w:left w:val="none" w:sz="0" w:space="0" w:color="auto"/>
        <w:bottom w:val="none" w:sz="0" w:space="0" w:color="auto"/>
        <w:right w:val="none" w:sz="0" w:space="0" w:color="auto"/>
      </w:divBdr>
    </w:div>
    <w:div w:id="372077543">
      <w:bodyDiv w:val="1"/>
      <w:marLeft w:val="0"/>
      <w:marRight w:val="0"/>
      <w:marTop w:val="0"/>
      <w:marBottom w:val="0"/>
      <w:divBdr>
        <w:top w:val="none" w:sz="0" w:space="0" w:color="auto"/>
        <w:left w:val="none" w:sz="0" w:space="0" w:color="auto"/>
        <w:bottom w:val="none" w:sz="0" w:space="0" w:color="auto"/>
        <w:right w:val="none" w:sz="0" w:space="0" w:color="auto"/>
      </w:divBdr>
    </w:div>
    <w:div w:id="537860120">
      <w:bodyDiv w:val="1"/>
      <w:marLeft w:val="0"/>
      <w:marRight w:val="0"/>
      <w:marTop w:val="0"/>
      <w:marBottom w:val="0"/>
      <w:divBdr>
        <w:top w:val="none" w:sz="0" w:space="0" w:color="auto"/>
        <w:left w:val="none" w:sz="0" w:space="0" w:color="auto"/>
        <w:bottom w:val="none" w:sz="0" w:space="0" w:color="auto"/>
        <w:right w:val="none" w:sz="0" w:space="0" w:color="auto"/>
      </w:divBdr>
    </w:div>
    <w:div w:id="541939076">
      <w:bodyDiv w:val="1"/>
      <w:marLeft w:val="0"/>
      <w:marRight w:val="0"/>
      <w:marTop w:val="0"/>
      <w:marBottom w:val="0"/>
      <w:divBdr>
        <w:top w:val="none" w:sz="0" w:space="0" w:color="auto"/>
        <w:left w:val="none" w:sz="0" w:space="0" w:color="auto"/>
        <w:bottom w:val="none" w:sz="0" w:space="0" w:color="auto"/>
        <w:right w:val="none" w:sz="0" w:space="0" w:color="auto"/>
      </w:divBdr>
    </w:div>
    <w:div w:id="557086440">
      <w:bodyDiv w:val="1"/>
      <w:marLeft w:val="0"/>
      <w:marRight w:val="0"/>
      <w:marTop w:val="0"/>
      <w:marBottom w:val="0"/>
      <w:divBdr>
        <w:top w:val="none" w:sz="0" w:space="0" w:color="auto"/>
        <w:left w:val="none" w:sz="0" w:space="0" w:color="auto"/>
        <w:bottom w:val="none" w:sz="0" w:space="0" w:color="auto"/>
        <w:right w:val="none" w:sz="0" w:space="0" w:color="auto"/>
      </w:divBdr>
      <w:divsChild>
        <w:div w:id="693729933">
          <w:marLeft w:val="0"/>
          <w:marRight w:val="0"/>
          <w:marTop w:val="0"/>
          <w:marBottom w:val="240"/>
          <w:divBdr>
            <w:top w:val="none" w:sz="0" w:space="0" w:color="auto"/>
            <w:left w:val="none" w:sz="0" w:space="0" w:color="auto"/>
            <w:bottom w:val="none" w:sz="0" w:space="0" w:color="auto"/>
            <w:right w:val="none" w:sz="0" w:space="0" w:color="auto"/>
          </w:divBdr>
        </w:div>
      </w:divsChild>
    </w:div>
    <w:div w:id="591859675">
      <w:bodyDiv w:val="1"/>
      <w:marLeft w:val="0"/>
      <w:marRight w:val="0"/>
      <w:marTop w:val="0"/>
      <w:marBottom w:val="0"/>
      <w:divBdr>
        <w:top w:val="none" w:sz="0" w:space="0" w:color="auto"/>
        <w:left w:val="none" w:sz="0" w:space="0" w:color="auto"/>
        <w:bottom w:val="none" w:sz="0" w:space="0" w:color="auto"/>
        <w:right w:val="none" w:sz="0" w:space="0" w:color="auto"/>
      </w:divBdr>
    </w:div>
    <w:div w:id="621694524">
      <w:bodyDiv w:val="1"/>
      <w:marLeft w:val="0"/>
      <w:marRight w:val="0"/>
      <w:marTop w:val="0"/>
      <w:marBottom w:val="0"/>
      <w:divBdr>
        <w:top w:val="none" w:sz="0" w:space="0" w:color="auto"/>
        <w:left w:val="none" w:sz="0" w:space="0" w:color="auto"/>
        <w:bottom w:val="none" w:sz="0" w:space="0" w:color="auto"/>
        <w:right w:val="none" w:sz="0" w:space="0" w:color="auto"/>
      </w:divBdr>
    </w:div>
    <w:div w:id="722217663">
      <w:bodyDiv w:val="1"/>
      <w:marLeft w:val="0"/>
      <w:marRight w:val="0"/>
      <w:marTop w:val="0"/>
      <w:marBottom w:val="0"/>
      <w:divBdr>
        <w:top w:val="none" w:sz="0" w:space="0" w:color="auto"/>
        <w:left w:val="none" w:sz="0" w:space="0" w:color="auto"/>
        <w:bottom w:val="none" w:sz="0" w:space="0" w:color="auto"/>
        <w:right w:val="none" w:sz="0" w:space="0" w:color="auto"/>
      </w:divBdr>
      <w:divsChild>
        <w:div w:id="670134849">
          <w:marLeft w:val="547"/>
          <w:marRight w:val="0"/>
          <w:marTop w:val="0"/>
          <w:marBottom w:val="0"/>
          <w:divBdr>
            <w:top w:val="none" w:sz="0" w:space="0" w:color="auto"/>
            <w:left w:val="none" w:sz="0" w:space="0" w:color="auto"/>
            <w:bottom w:val="none" w:sz="0" w:space="0" w:color="auto"/>
            <w:right w:val="none" w:sz="0" w:space="0" w:color="auto"/>
          </w:divBdr>
        </w:div>
        <w:div w:id="634917937">
          <w:marLeft w:val="547"/>
          <w:marRight w:val="0"/>
          <w:marTop w:val="0"/>
          <w:marBottom w:val="0"/>
          <w:divBdr>
            <w:top w:val="none" w:sz="0" w:space="0" w:color="auto"/>
            <w:left w:val="none" w:sz="0" w:space="0" w:color="auto"/>
            <w:bottom w:val="none" w:sz="0" w:space="0" w:color="auto"/>
            <w:right w:val="none" w:sz="0" w:space="0" w:color="auto"/>
          </w:divBdr>
        </w:div>
        <w:div w:id="1481190525">
          <w:marLeft w:val="547"/>
          <w:marRight w:val="0"/>
          <w:marTop w:val="0"/>
          <w:marBottom w:val="0"/>
          <w:divBdr>
            <w:top w:val="none" w:sz="0" w:space="0" w:color="auto"/>
            <w:left w:val="none" w:sz="0" w:space="0" w:color="auto"/>
            <w:bottom w:val="none" w:sz="0" w:space="0" w:color="auto"/>
            <w:right w:val="none" w:sz="0" w:space="0" w:color="auto"/>
          </w:divBdr>
        </w:div>
        <w:div w:id="753937629">
          <w:marLeft w:val="547"/>
          <w:marRight w:val="0"/>
          <w:marTop w:val="0"/>
          <w:marBottom w:val="0"/>
          <w:divBdr>
            <w:top w:val="none" w:sz="0" w:space="0" w:color="auto"/>
            <w:left w:val="none" w:sz="0" w:space="0" w:color="auto"/>
            <w:bottom w:val="none" w:sz="0" w:space="0" w:color="auto"/>
            <w:right w:val="none" w:sz="0" w:space="0" w:color="auto"/>
          </w:divBdr>
        </w:div>
        <w:div w:id="246116476">
          <w:marLeft w:val="547"/>
          <w:marRight w:val="0"/>
          <w:marTop w:val="0"/>
          <w:marBottom w:val="0"/>
          <w:divBdr>
            <w:top w:val="none" w:sz="0" w:space="0" w:color="auto"/>
            <w:left w:val="none" w:sz="0" w:space="0" w:color="auto"/>
            <w:bottom w:val="none" w:sz="0" w:space="0" w:color="auto"/>
            <w:right w:val="none" w:sz="0" w:space="0" w:color="auto"/>
          </w:divBdr>
        </w:div>
        <w:div w:id="393548058">
          <w:marLeft w:val="547"/>
          <w:marRight w:val="0"/>
          <w:marTop w:val="0"/>
          <w:marBottom w:val="0"/>
          <w:divBdr>
            <w:top w:val="none" w:sz="0" w:space="0" w:color="auto"/>
            <w:left w:val="none" w:sz="0" w:space="0" w:color="auto"/>
            <w:bottom w:val="none" w:sz="0" w:space="0" w:color="auto"/>
            <w:right w:val="none" w:sz="0" w:space="0" w:color="auto"/>
          </w:divBdr>
        </w:div>
      </w:divsChild>
    </w:div>
    <w:div w:id="738141087">
      <w:bodyDiv w:val="1"/>
      <w:marLeft w:val="0"/>
      <w:marRight w:val="0"/>
      <w:marTop w:val="0"/>
      <w:marBottom w:val="0"/>
      <w:divBdr>
        <w:top w:val="none" w:sz="0" w:space="0" w:color="auto"/>
        <w:left w:val="none" w:sz="0" w:space="0" w:color="auto"/>
        <w:bottom w:val="none" w:sz="0" w:space="0" w:color="auto"/>
        <w:right w:val="none" w:sz="0" w:space="0" w:color="auto"/>
      </w:divBdr>
    </w:div>
    <w:div w:id="966665738">
      <w:bodyDiv w:val="1"/>
      <w:marLeft w:val="0"/>
      <w:marRight w:val="0"/>
      <w:marTop w:val="0"/>
      <w:marBottom w:val="0"/>
      <w:divBdr>
        <w:top w:val="none" w:sz="0" w:space="0" w:color="auto"/>
        <w:left w:val="none" w:sz="0" w:space="0" w:color="auto"/>
        <w:bottom w:val="none" w:sz="0" w:space="0" w:color="auto"/>
        <w:right w:val="none" w:sz="0" w:space="0" w:color="auto"/>
      </w:divBdr>
    </w:div>
    <w:div w:id="980960153">
      <w:bodyDiv w:val="1"/>
      <w:marLeft w:val="0"/>
      <w:marRight w:val="0"/>
      <w:marTop w:val="0"/>
      <w:marBottom w:val="0"/>
      <w:divBdr>
        <w:top w:val="none" w:sz="0" w:space="0" w:color="auto"/>
        <w:left w:val="none" w:sz="0" w:space="0" w:color="auto"/>
        <w:bottom w:val="none" w:sz="0" w:space="0" w:color="auto"/>
        <w:right w:val="none" w:sz="0" w:space="0" w:color="auto"/>
      </w:divBdr>
    </w:div>
    <w:div w:id="1040400261">
      <w:bodyDiv w:val="1"/>
      <w:marLeft w:val="0"/>
      <w:marRight w:val="0"/>
      <w:marTop w:val="0"/>
      <w:marBottom w:val="0"/>
      <w:divBdr>
        <w:top w:val="none" w:sz="0" w:space="0" w:color="auto"/>
        <w:left w:val="none" w:sz="0" w:space="0" w:color="auto"/>
        <w:bottom w:val="none" w:sz="0" w:space="0" w:color="auto"/>
        <w:right w:val="none" w:sz="0" w:space="0" w:color="auto"/>
      </w:divBdr>
    </w:div>
    <w:div w:id="1075861079">
      <w:bodyDiv w:val="1"/>
      <w:marLeft w:val="0"/>
      <w:marRight w:val="0"/>
      <w:marTop w:val="0"/>
      <w:marBottom w:val="0"/>
      <w:divBdr>
        <w:top w:val="none" w:sz="0" w:space="0" w:color="auto"/>
        <w:left w:val="none" w:sz="0" w:space="0" w:color="auto"/>
        <w:bottom w:val="none" w:sz="0" w:space="0" w:color="auto"/>
        <w:right w:val="none" w:sz="0" w:space="0" w:color="auto"/>
      </w:divBdr>
    </w:div>
    <w:div w:id="1301616419">
      <w:bodyDiv w:val="1"/>
      <w:marLeft w:val="0"/>
      <w:marRight w:val="0"/>
      <w:marTop w:val="0"/>
      <w:marBottom w:val="0"/>
      <w:divBdr>
        <w:top w:val="none" w:sz="0" w:space="0" w:color="auto"/>
        <w:left w:val="none" w:sz="0" w:space="0" w:color="auto"/>
        <w:bottom w:val="none" w:sz="0" w:space="0" w:color="auto"/>
        <w:right w:val="none" w:sz="0" w:space="0" w:color="auto"/>
      </w:divBdr>
    </w:div>
    <w:div w:id="1353259532">
      <w:bodyDiv w:val="1"/>
      <w:marLeft w:val="0"/>
      <w:marRight w:val="0"/>
      <w:marTop w:val="0"/>
      <w:marBottom w:val="0"/>
      <w:divBdr>
        <w:top w:val="none" w:sz="0" w:space="0" w:color="auto"/>
        <w:left w:val="none" w:sz="0" w:space="0" w:color="auto"/>
        <w:bottom w:val="none" w:sz="0" w:space="0" w:color="auto"/>
        <w:right w:val="none" w:sz="0" w:space="0" w:color="auto"/>
      </w:divBdr>
    </w:div>
    <w:div w:id="1374423656">
      <w:bodyDiv w:val="1"/>
      <w:marLeft w:val="0"/>
      <w:marRight w:val="0"/>
      <w:marTop w:val="0"/>
      <w:marBottom w:val="0"/>
      <w:divBdr>
        <w:top w:val="none" w:sz="0" w:space="0" w:color="auto"/>
        <w:left w:val="none" w:sz="0" w:space="0" w:color="auto"/>
        <w:bottom w:val="none" w:sz="0" w:space="0" w:color="auto"/>
        <w:right w:val="none" w:sz="0" w:space="0" w:color="auto"/>
      </w:divBdr>
    </w:div>
    <w:div w:id="1514563632">
      <w:bodyDiv w:val="1"/>
      <w:marLeft w:val="0"/>
      <w:marRight w:val="0"/>
      <w:marTop w:val="0"/>
      <w:marBottom w:val="0"/>
      <w:divBdr>
        <w:top w:val="none" w:sz="0" w:space="0" w:color="auto"/>
        <w:left w:val="none" w:sz="0" w:space="0" w:color="auto"/>
        <w:bottom w:val="none" w:sz="0" w:space="0" w:color="auto"/>
        <w:right w:val="none" w:sz="0" w:space="0" w:color="auto"/>
      </w:divBdr>
    </w:div>
    <w:div w:id="1527254199">
      <w:bodyDiv w:val="1"/>
      <w:marLeft w:val="0"/>
      <w:marRight w:val="0"/>
      <w:marTop w:val="0"/>
      <w:marBottom w:val="0"/>
      <w:divBdr>
        <w:top w:val="none" w:sz="0" w:space="0" w:color="auto"/>
        <w:left w:val="none" w:sz="0" w:space="0" w:color="auto"/>
        <w:bottom w:val="none" w:sz="0" w:space="0" w:color="auto"/>
        <w:right w:val="none" w:sz="0" w:space="0" w:color="auto"/>
      </w:divBdr>
    </w:div>
    <w:div w:id="1654917057">
      <w:bodyDiv w:val="1"/>
      <w:marLeft w:val="0"/>
      <w:marRight w:val="0"/>
      <w:marTop w:val="0"/>
      <w:marBottom w:val="0"/>
      <w:divBdr>
        <w:top w:val="none" w:sz="0" w:space="0" w:color="auto"/>
        <w:left w:val="none" w:sz="0" w:space="0" w:color="auto"/>
        <w:bottom w:val="none" w:sz="0" w:space="0" w:color="auto"/>
        <w:right w:val="none" w:sz="0" w:space="0" w:color="auto"/>
      </w:divBdr>
    </w:div>
    <w:div w:id="1755279652">
      <w:bodyDiv w:val="1"/>
      <w:marLeft w:val="0"/>
      <w:marRight w:val="0"/>
      <w:marTop w:val="0"/>
      <w:marBottom w:val="0"/>
      <w:divBdr>
        <w:top w:val="none" w:sz="0" w:space="0" w:color="auto"/>
        <w:left w:val="none" w:sz="0" w:space="0" w:color="auto"/>
        <w:bottom w:val="none" w:sz="0" w:space="0" w:color="auto"/>
        <w:right w:val="none" w:sz="0" w:space="0" w:color="auto"/>
      </w:divBdr>
    </w:div>
    <w:div w:id="1969243139">
      <w:bodyDiv w:val="1"/>
      <w:marLeft w:val="0"/>
      <w:marRight w:val="0"/>
      <w:marTop w:val="0"/>
      <w:marBottom w:val="0"/>
      <w:divBdr>
        <w:top w:val="none" w:sz="0" w:space="0" w:color="auto"/>
        <w:left w:val="none" w:sz="0" w:space="0" w:color="auto"/>
        <w:bottom w:val="none" w:sz="0" w:space="0" w:color="auto"/>
        <w:right w:val="none" w:sz="0" w:space="0" w:color="auto"/>
      </w:divBdr>
    </w:div>
    <w:div w:id="1986424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media.budimex.p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michal.wrzosek@budimex.p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budimex.p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s://www.ft.com/content/cea8b0f2-fac0-4b80-8aa0-8488e232040e" TargetMode="External"/><Relationship Id="rId23"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60f8d824-3a1b-4e30-b0d7-ad106b94356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49C2C9159751B46A65AAFF155BEE7B3" ma:contentTypeVersion="17" ma:contentTypeDescription="Utwórz nowy dokument." ma:contentTypeScope="" ma:versionID="7f7df87ddeda491263ac67afc3a477e7">
  <xsd:schema xmlns:xsd="http://www.w3.org/2001/XMLSchema" xmlns:xs="http://www.w3.org/2001/XMLSchema" xmlns:p="http://schemas.microsoft.com/office/2006/metadata/properties" xmlns:ns3="60f8d824-3a1b-4e30-b0d7-ad106b943563" xmlns:ns4="362bd224-3aa9-4c78-aac4-9f2084b957e5" targetNamespace="http://schemas.microsoft.com/office/2006/metadata/properties" ma:root="true" ma:fieldsID="b83aab55db1200b0a45a60460aa830f5" ns3:_="" ns4:_="">
    <xsd:import namespace="60f8d824-3a1b-4e30-b0d7-ad106b943563"/>
    <xsd:import namespace="362bd224-3aa9-4c78-aac4-9f2084b957e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element ref="ns3:MediaLengthInSeconds" minOccurs="0"/>
                <xsd:element ref="ns3:_activity" minOccurs="0"/>
                <xsd:element ref="ns4:SharedWithUsers" minOccurs="0"/>
                <xsd:element ref="ns4:SharedWithDetails" minOccurs="0"/>
                <xsd:element ref="ns4:SharingHintHash"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f8d824-3a1b-4e30-b0d7-ad106b9435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_activity" ma:index="19"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62bd224-3aa9-4c78-aac4-9f2084b957e5" elementFormDefault="qualified">
    <xsd:import namespace="http://schemas.microsoft.com/office/2006/documentManagement/types"/>
    <xsd:import namespace="http://schemas.microsoft.com/office/infopath/2007/PartnerControls"/>
    <xsd:element name="SharedWithUsers" ma:index="2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Udostępnione dla — szczegóły" ma:internalName="SharedWithDetails" ma:readOnly="true">
      <xsd:simpleType>
        <xsd:restriction base="dms:Note">
          <xsd:maxLength value="255"/>
        </xsd:restriction>
      </xsd:simpleType>
    </xsd:element>
    <xsd:element name="SharingHintHash" ma:index="2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go:docsCustomData xmlns:go="http://customooxmlschemas.google.com/" roundtripDataSignature="AMtx7mjv3XfVOTsnrrJMgr+04bwcsmgMmQ==">AMUW2mWYt16ubMZyE8Wtf8CF+UtafYBsC7aOFa7h+Y64RCObJN0iJqsvX7WfAKlGlRNg8VvVH/heBOMuOudwz6IkWrX+3+z8AA8BCUA8skPW3WO86Lr2evH2F/dN4jxiAz+u98gsxIbLEadMp/UBxoBMnBCK+35TjEXURRnhwfJl6dEBUsUuvc0bhX4ACn13VVbCSgu4A2dxhPv5LxscoE53y3eAG1y09IZgx7lmFhAaihi0uzquaC6EjuJKYNkmIKu+rx4yDrUMml23TIak+fZZyUxzRpLfIA==</go:docsCustomData>
</go:gDocsCustomXmlDataStorag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124CD1-32B9-434D-A4A5-A27A3E947DD3}">
  <ds:schemaRefs>
    <ds:schemaRef ds:uri="http://schemas.microsoft.com/office/2006/metadata/properties"/>
    <ds:schemaRef ds:uri="http://schemas.microsoft.com/office/infopath/2007/PartnerControls"/>
    <ds:schemaRef ds:uri="60f8d824-3a1b-4e30-b0d7-ad106b943563"/>
  </ds:schemaRefs>
</ds:datastoreItem>
</file>

<file path=customXml/itemProps2.xml><?xml version="1.0" encoding="utf-8"?>
<ds:datastoreItem xmlns:ds="http://schemas.openxmlformats.org/officeDocument/2006/customXml" ds:itemID="{3015360F-BFF4-4649-B34C-7E28CA12E7E1}">
  <ds:schemaRefs>
    <ds:schemaRef ds:uri="http://schemas.microsoft.com/sharepoint/v3/contenttype/forms"/>
  </ds:schemaRefs>
</ds:datastoreItem>
</file>

<file path=customXml/itemProps3.xml><?xml version="1.0" encoding="utf-8"?>
<ds:datastoreItem xmlns:ds="http://schemas.openxmlformats.org/officeDocument/2006/customXml" ds:itemID="{91F75B1F-C546-4929-90FA-5F594DCD23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f8d824-3a1b-4e30-b0d7-ad106b943563"/>
    <ds:schemaRef ds:uri="362bd224-3aa9-4c78-aac4-9f2084b957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0F543EC6-8591-4A7C-A2F7-C1E2DAE2A088}">
  <ds:schemaRefs>
    <ds:schemaRef ds:uri="http://schemas.openxmlformats.org/officeDocument/2006/bibliography"/>
  </ds:schemaRefs>
</ds:datastoreItem>
</file>

<file path=docMetadata/LabelInfo.xml><?xml version="1.0" encoding="utf-8"?>
<clbl:labelList xmlns:clbl="http://schemas.microsoft.com/office/2020/mipLabelMetadata">
  <clbl:label id="{b05923b3-4e86-4aa9-9018-d7e3c1e08536}" enabled="1" method="Standard" siteId="{66a13ed4-5c17-4ee8-ba28-778da8cdd7d4}" removed="0"/>
</clbl:labelList>
</file>

<file path=docProps/app.xml><?xml version="1.0" encoding="utf-8"?>
<Properties xmlns="http://schemas.openxmlformats.org/officeDocument/2006/extended-properties" xmlns:vt="http://schemas.openxmlformats.org/officeDocument/2006/docPropsVTypes">
  <Template>Normal.dotm</Template>
  <TotalTime>1</TotalTime>
  <Pages>3</Pages>
  <Words>1004</Words>
  <Characters>6026</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7016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Katarzyna Wójcik</dc:creator>
  <cp:lastModifiedBy>Noremberg, Robert</cp:lastModifiedBy>
  <cp:revision>2</cp:revision>
  <dcterms:created xsi:type="dcterms:W3CDTF">2023-12-21T09:49:00Z</dcterms:created>
  <dcterms:modified xsi:type="dcterms:W3CDTF">2023-12-21T09:49:00Z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05923b3-4e86-4aa9-9018-d7e3c1e08536_Enabled">
    <vt:lpwstr>true</vt:lpwstr>
  </property>
  <property fmtid="{D5CDD505-2E9C-101B-9397-08002B2CF9AE}" pid="3" name="MSIP_Label_b05923b3-4e86-4aa9-9018-d7e3c1e08536_SetDate">
    <vt:lpwstr>2022-11-24T09:42:54Z</vt:lpwstr>
  </property>
  <property fmtid="{D5CDD505-2E9C-101B-9397-08002B2CF9AE}" pid="4" name="MSIP_Label_b05923b3-4e86-4aa9-9018-d7e3c1e08536_Method">
    <vt:lpwstr>Standard</vt:lpwstr>
  </property>
  <property fmtid="{D5CDD505-2E9C-101B-9397-08002B2CF9AE}" pid="5" name="MSIP_Label_b05923b3-4e86-4aa9-9018-d7e3c1e08536_Name">
    <vt:lpwstr>Wewnętrzna 2</vt:lpwstr>
  </property>
  <property fmtid="{D5CDD505-2E9C-101B-9397-08002B2CF9AE}" pid="6" name="MSIP_Label_b05923b3-4e86-4aa9-9018-d7e3c1e08536_SiteId">
    <vt:lpwstr>66a13ed4-5c17-4ee8-ba28-778da8cdd7d4</vt:lpwstr>
  </property>
  <property fmtid="{D5CDD505-2E9C-101B-9397-08002B2CF9AE}" pid="7" name="MSIP_Label_b05923b3-4e86-4aa9-9018-d7e3c1e08536_ActionId">
    <vt:lpwstr>91135e52-3dc7-459e-a4e1-5b350c7b8d8c</vt:lpwstr>
  </property>
  <property fmtid="{D5CDD505-2E9C-101B-9397-08002B2CF9AE}" pid="8" name="MSIP_Label_b05923b3-4e86-4aa9-9018-d7e3c1e08536_ContentBits">
    <vt:lpwstr>0</vt:lpwstr>
  </property>
  <property fmtid="{D5CDD505-2E9C-101B-9397-08002B2CF9AE}" pid="9" name="ContentTypeId">
    <vt:lpwstr>0x010100349C2C9159751B46A65AAFF155BEE7B3</vt:lpwstr>
  </property>
</Properties>
</file>