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29B141B5" w14:textId="4592D6FB" w:rsidR="000813BE" w:rsidRPr="00876552" w:rsidRDefault="00B53CD5" w:rsidP="002135AC">
      <w:pPr>
        <w:jc w:val="right"/>
        <w:rPr>
          <w:rFonts w:cstheme="minorHAnsi"/>
        </w:rPr>
      </w:pPr>
      <w:r>
        <w:rPr>
          <w:rFonts w:cstheme="minorHAnsi"/>
        </w:rPr>
        <w:t>1</w:t>
      </w:r>
      <w:r w:rsidR="00DA7062">
        <w:rPr>
          <w:rFonts w:cstheme="minorHAnsi"/>
        </w:rPr>
        <w:t>7</w:t>
      </w:r>
      <w:r w:rsidR="00E367C6">
        <w:rPr>
          <w:rFonts w:cstheme="minorHAnsi"/>
        </w:rPr>
        <w:t xml:space="preserve"> stycznia 2024</w:t>
      </w:r>
    </w:p>
    <w:p w14:paraId="22EE22C2" w14:textId="77777777" w:rsidR="00BE7FB9" w:rsidRPr="00876552" w:rsidRDefault="00BE7FB9" w:rsidP="002135AC">
      <w:pPr>
        <w:jc w:val="both"/>
        <w:rPr>
          <w:rFonts w:cstheme="minorHAnsi"/>
        </w:rPr>
      </w:pPr>
    </w:p>
    <w:p w14:paraId="25E240A1" w14:textId="2BD7545A" w:rsidR="00CB48D1" w:rsidRPr="00360289" w:rsidRDefault="00B53CD5" w:rsidP="002135AC">
      <w:pPr>
        <w:spacing w:after="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Dane GUS: najwięcej ofiar </w:t>
      </w:r>
      <w:r w:rsidR="002D6BC7">
        <w:rPr>
          <w:rFonts w:cstheme="minorHAnsi"/>
          <w:b/>
          <w:bCs/>
          <w:sz w:val="24"/>
          <w:szCs w:val="24"/>
        </w:rPr>
        <w:t xml:space="preserve">śmiertelnych </w:t>
      </w:r>
      <w:r>
        <w:rPr>
          <w:rFonts w:cstheme="minorHAnsi"/>
          <w:b/>
          <w:bCs/>
          <w:sz w:val="24"/>
          <w:szCs w:val="24"/>
        </w:rPr>
        <w:t>w wypadkach przy pracy w budownictwie, transporcie i przetwórstwie przemysłowym</w:t>
      </w:r>
    </w:p>
    <w:p w14:paraId="183A6ABD" w14:textId="77777777" w:rsidR="009833BF" w:rsidRDefault="009833BF" w:rsidP="002135AC">
      <w:pPr>
        <w:spacing w:after="160"/>
        <w:jc w:val="both"/>
        <w:rPr>
          <w:rFonts w:cstheme="minorHAnsi"/>
          <w:b/>
          <w:bCs/>
        </w:rPr>
      </w:pPr>
    </w:p>
    <w:p w14:paraId="7D0F4533" w14:textId="10FD3044" w:rsidR="004A31E0" w:rsidRDefault="009833BF" w:rsidP="002135AC">
      <w:pPr>
        <w:spacing w:after="1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Jak wynika ze wstępnych danych Głównego Urzędu Statystycznego, tylko od stycznia do września 2023 r. aż 99 osób poniosło śmierć w konsekwencji wypadków</w:t>
      </w:r>
      <w:r w:rsidR="002D6BC7">
        <w:rPr>
          <w:rFonts w:cstheme="minorHAnsi"/>
          <w:b/>
          <w:bCs/>
        </w:rPr>
        <w:t xml:space="preserve"> przy pracy. W niechlubnej statystyce szczególnie wyróżniają się trzy branże: budownictwo, przetwórstwo przemysłowe oraz transport i gospodarka magazynowa.</w:t>
      </w:r>
    </w:p>
    <w:p w14:paraId="4E8BDAE6" w14:textId="26C1244E" w:rsidR="009833BF" w:rsidRDefault="004A31E0" w:rsidP="002135AC">
      <w:pPr>
        <w:spacing w:after="160"/>
        <w:jc w:val="both"/>
        <w:rPr>
          <w:rFonts w:cstheme="minorHAnsi"/>
        </w:rPr>
      </w:pPr>
      <w:r w:rsidRPr="004A31E0">
        <w:rPr>
          <w:rFonts w:cstheme="minorHAnsi"/>
        </w:rPr>
        <w:t xml:space="preserve">Chociaż liczba wypadków śmiertelnych spadła o 10 proc. </w:t>
      </w:r>
      <w:r>
        <w:rPr>
          <w:rFonts w:cstheme="minorHAnsi"/>
        </w:rPr>
        <w:t xml:space="preserve">w porównaniu do pierwszych dziewięciu miesięcy 2022 r., </w:t>
      </w:r>
      <w:r w:rsidR="004765A6">
        <w:rPr>
          <w:rFonts w:cstheme="minorHAnsi"/>
        </w:rPr>
        <w:t>ich skala w wymienionych branżach powin</w:t>
      </w:r>
      <w:r w:rsidR="00293579">
        <w:rPr>
          <w:rFonts w:cstheme="minorHAnsi"/>
        </w:rPr>
        <w:t>na zmobilizować pracodawców do zastanowienia, co prowadzi do tak wysokich wskaźników wypadkowych. Od stycznia do września 2023 r. w budownictwie życie straciły 24 osoby, w przetwórstwie przemysłowym – 23 oraz 20 pracowników w transporcie i gospodarce magazynowej. W tych trzech obszarach zatrudnienia również najczęściej dochodziło do wypadków ciężkich</w:t>
      </w:r>
      <w:r w:rsidR="002B3EB7">
        <w:rPr>
          <w:rFonts w:cstheme="minorHAnsi"/>
        </w:rPr>
        <w:t xml:space="preserve">, natomiast zdecydowanie najwięcej zdarzeń odnotowano z udziałem pracowników przetwórstwa przemysłowego – 83, w porównaniu do 31 </w:t>
      </w:r>
      <w:r w:rsidR="00B37C4A">
        <w:rPr>
          <w:rFonts w:cstheme="minorHAnsi"/>
        </w:rPr>
        <w:t xml:space="preserve">ciężko </w:t>
      </w:r>
      <w:r w:rsidR="002B3EB7">
        <w:rPr>
          <w:rFonts w:cstheme="minorHAnsi"/>
        </w:rPr>
        <w:t xml:space="preserve">poszkodowanych w transporcie i 24 w budownictwie. </w:t>
      </w:r>
    </w:p>
    <w:p w14:paraId="3166413D" w14:textId="52DADBEB" w:rsidR="00243D13" w:rsidRPr="00243D13" w:rsidRDefault="00243D13" w:rsidP="00243D13">
      <w:pPr>
        <w:pStyle w:val="NormalnyWeb"/>
        <w:spacing w:before="120" w:after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3D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243D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Zanim firma zdąży zbadać przyczynę wypadku i wdroży mechanizmy zapobiegające powstawaniu ryzyka, w świadomości społecznej, ale również potencjalnych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pracowników,</w:t>
      </w:r>
      <w:r w:rsidRPr="00243D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partnerów czy inwestorów, wyrok już zapadł. To właśnie przez pryzmat prawie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100 osób, któr</w:t>
      </w:r>
      <w:r w:rsidR="00DA7062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straci</w:t>
      </w:r>
      <w:r w:rsidR="00DA7062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ły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życie, oceniana będzie wiarygodność </w:t>
      </w:r>
      <w:r w:rsidR="00B37C4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ich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pracodawc</w:t>
      </w:r>
      <w:r w:rsidR="00B37C4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ów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, ale również sam</w:t>
      </w:r>
      <w:r w:rsidR="00B37C4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ych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ma</w:t>
      </w:r>
      <w:r w:rsidR="00B37C4A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rek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w kontekście bezpieczeństwa pracy. Już teraz obserwujemy pewną zmianę pokoleniową -</w:t>
      </w:r>
      <w:r w:rsidRPr="00243D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coraz częściej młodzi ludzie wybierając przyszłego pracodawcę kierują się nie tylko wysokością zarobków czy benefitami wynikającymi z zatrudnienia, ale także tzw. dobrostanem pracowniczym, a co za tym idzie wpływem organizacji na ich zdrowie i życie. Kto w takim razie z pokolenia Y, Z czy wchodzącego na rynek pracy pokolenia Alfa, spojrzy w kierunku pracodawcy, którego praktyki będą prowadziły do zagrożenia zdrowia i życia?</w:t>
      </w:r>
      <w:r w:rsidRPr="00243D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mówi Łukasz Wawrzyniak, Ekspert ds. bezpieczeństwa pracy W&amp;W Consulting. </w:t>
      </w:r>
    </w:p>
    <w:p w14:paraId="0D1CC83D" w14:textId="78D5B124" w:rsidR="002B3EB7" w:rsidRDefault="0062510B" w:rsidP="008E50F5">
      <w:pPr>
        <w:spacing w:after="160"/>
        <w:jc w:val="both"/>
        <w:rPr>
          <w:rFonts w:eastAsia="Times New Roman" w:cs="Times New Roman"/>
          <w:szCs w:val="19"/>
          <w:lang w:eastAsia="pl-PL"/>
        </w:rPr>
      </w:pPr>
      <w:r>
        <w:rPr>
          <w:rFonts w:cstheme="minorHAnsi"/>
        </w:rPr>
        <w:t>J</w:t>
      </w:r>
      <w:r w:rsidR="008E50F5">
        <w:rPr>
          <w:rFonts w:cstheme="minorHAnsi"/>
        </w:rPr>
        <w:t xml:space="preserve">eśli weźmiemy pod uwagę wskaźnik wypadkowości, określający liczbę poszkodowanych </w:t>
      </w:r>
      <w:r w:rsidR="0007604C">
        <w:rPr>
          <w:rFonts w:cstheme="minorHAnsi"/>
        </w:rPr>
        <w:t xml:space="preserve">we wszystkich zdarzeniach wypadkowych </w:t>
      </w:r>
      <w:r w:rsidR="008E50F5">
        <w:rPr>
          <w:rFonts w:cstheme="minorHAnsi"/>
        </w:rPr>
        <w:t xml:space="preserve">na 1 000 pracujących, najwyższy wskaźnik </w:t>
      </w:r>
      <w:r w:rsidR="002B3EB7" w:rsidRPr="005B32F3">
        <w:rPr>
          <w:rFonts w:eastAsia="Times New Roman" w:cs="Times New Roman"/>
          <w:szCs w:val="19"/>
          <w:lang w:eastAsia="pl-PL"/>
        </w:rPr>
        <w:t xml:space="preserve">odnotowano </w:t>
      </w:r>
      <w:r>
        <w:rPr>
          <w:rFonts w:eastAsia="Times New Roman" w:cs="Times New Roman"/>
          <w:szCs w:val="19"/>
          <w:lang w:eastAsia="pl-PL"/>
        </w:rPr>
        <w:t>natomi</w:t>
      </w:r>
      <w:r w:rsidR="00B37C4A">
        <w:rPr>
          <w:rFonts w:eastAsia="Times New Roman" w:cs="Times New Roman"/>
          <w:szCs w:val="19"/>
          <w:lang w:eastAsia="pl-PL"/>
        </w:rPr>
        <w:t xml:space="preserve">ast </w:t>
      </w:r>
      <w:r w:rsidR="002B3EB7" w:rsidRPr="005B32F3">
        <w:rPr>
          <w:rFonts w:eastAsia="Times New Roman" w:cs="Times New Roman"/>
          <w:szCs w:val="19"/>
          <w:lang w:eastAsia="pl-PL"/>
        </w:rPr>
        <w:t>w sekcjach: górnictwo i wydobywanie (</w:t>
      </w:r>
      <w:r w:rsidR="002B3EB7" w:rsidRPr="0087374F">
        <w:rPr>
          <w:rFonts w:eastAsia="Times New Roman" w:cs="Times New Roman"/>
          <w:szCs w:val="19"/>
          <w:lang w:eastAsia="pl-PL"/>
        </w:rPr>
        <w:t>10,83</w:t>
      </w:r>
      <w:r w:rsidR="002B3EB7" w:rsidRPr="005B32F3">
        <w:rPr>
          <w:rFonts w:eastAsia="Times New Roman" w:cs="Times New Roman"/>
          <w:szCs w:val="19"/>
          <w:lang w:eastAsia="pl-PL"/>
        </w:rPr>
        <w:t>), dostawa wody; gospodarowanie ściekami i odpadami; rekultywacja (</w:t>
      </w:r>
      <w:r w:rsidR="002B3EB7" w:rsidRPr="0087374F">
        <w:rPr>
          <w:rFonts w:eastAsia="Times New Roman" w:cs="Times New Roman"/>
          <w:szCs w:val="19"/>
          <w:lang w:eastAsia="pl-PL"/>
        </w:rPr>
        <w:t>8,69</w:t>
      </w:r>
      <w:r w:rsidR="002B3EB7" w:rsidRPr="005B32F3">
        <w:rPr>
          <w:rFonts w:eastAsia="Times New Roman" w:cs="Times New Roman"/>
          <w:szCs w:val="19"/>
          <w:lang w:eastAsia="pl-PL"/>
        </w:rPr>
        <w:t xml:space="preserve">) oraz </w:t>
      </w:r>
      <w:r w:rsidR="002B3EB7">
        <w:rPr>
          <w:rFonts w:eastAsia="Times New Roman" w:cs="Times New Roman"/>
          <w:szCs w:val="19"/>
          <w:lang w:eastAsia="pl-PL"/>
        </w:rPr>
        <w:t>o</w:t>
      </w:r>
      <w:r w:rsidR="002B3EB7" w:rsidRPr="002E2736">
        <w:rPr>
          <w:rFonts w:eastAsia="Times New Roman" w:cs="Times New Roman"/>
          <w:szCs w:val="19"/>
          <w:lang w:eastAsia="pl-PL"/>
        </w:rPr>
        <w:t xml:space="preserve">pieka zdrowotna i pomoc społeczna </w:t>
      </w:r>
      <w:r w:rsidR="002B3EB7" w:rsidRPr="005B32F3">
        <w:rPr>
          <w:rFonts w:eastAsia="Times New Roman" w:cs="Times New Roman"/>
          <w:szCs w:val="19"/>
          <w:lang w:eastAsia="pl-PL"/>
        </w:rPr>
        <w:t>(</w:t>
      </w:r>
      <w:r w:rsidR="002B3EB7" w:rsidRPr="0087374F">
        <w:rPr>
          <w:rFonts w:eastAsia="Times New Roman" w:cs="Times New Roman"/>
          <w:szCs w:val="19"/>
          <w:lang w:eastAsia="pl-PL"/>
        </w:rPr>
        <w:t>5,47</w:t>
      </w:r>
      <w:r w:rsidR="002B3EB7" w:rsidRPr="005B32F3">
        <w:rPr>
          <w:rFonts w:eastAsia="Times New Roman" w:cs="Times New Roman"/>
          <w:szCs w:val="19"/>
          <w:lang w:eastAsia="pl-PL"/>
        </w:rPr>
        <w:t>)</w:t>
      </w:r>
      <w:r w:rsidR="008E50F5">
        <w:rPr>
          <w:rFonts w:eastAsia="Times New Roman" w:cs="Times New Roman"/>
          <w:szCs w:val="19"/>
          <w:lang w:eastAsia="pl-PL"/>
        </w:rPr>
        <w:t>. Najniższy n</w:t>
      </w:r>
      <w:r w:rsidR="002B3EB7">
        <w:rPr>
          <w:rFonts w:eastAsia="Times New Roman" w:cs="Times New Roman"/>
          <w:szCs w:val="19"/>
          <w:lang w:eastAsia="pl-PL"/>
        </w:rPr>
        <w:t>atomiast w sekcjach</w:t>
      </w:r>
      <w:r w:rsidR="002B3EB7" w:rsidRPr="005B32F3">
        <w:rPr>
          <w:rFonts w:eastAsia="Times New Roman" w:cs="Times New Roman"/>
          <w:szCs w:val="19"/>
          <w:lang w:eastAsia="pl-PL"/>
        </w:rPr>
        <w:t>: informacja i komunikacja (</w:t>
      </w:r>
      <w:r w:rsidR="002B3EB7" w:rsidRPr="0087374F">
        <w:rPr>
          <w:rFonts w:eastAsia="Times New Roman" w:cs="Times New Roman"/>
          <w:szCs w:val="19"/>
          <w:lang w:eastAsia="pl-PL"/>
        </w:rPr>
        <w:t>0,60</w:t>
      </w:r>
      <w:r w:rsidR="002B3EB7" w:rsidRPr="005B32F3">
        <w:rPr>
          <w:rFonts w:eastAsia="Times New Roman" w:cs="Times New Roman"/>
          <w:szCs w:val="19"/>
          <w:lang w:eastAsia="pl-PL"/>
        </w:rPr>
        <w:t>)</w:t>
      </w:r>
      <w:r w:rsidR="002B3EB7">
        <w:rPr>
          <w:rFonts w:eastAsia="Times New Roman" w:cs="Times New Roman"/>
          <w:szCs w:val="19"/>
          <w:lang w:eastAsia="pl-PL"/>
        </w:rPr>
        <w:t xml:space="preserve">, rolnictwo, </w:t>
      </w:r>
      <w:r w:rsidR="002B3EB7" w:rsidRPr="003852F3">
        <w:rPr>
          <w:rFonts w:eastAsia="Times New Roman" w:cs="Times New Roman"/>
          <w:szCs w:val="19"/>
          <w:lang w:eastAsia="pl-PL"/>
        </w:rPr>
        <w:t>leśnictwo, łowiectwo i rybactwo</w:t>
      </w:r>
      <w:r w:rsidR="002B3EB7">
        <w:rPr>
          <w:rFonts w:eastAsia="Times New Roman" w:cs="Times New Roman"/>
          <w:szCs w:val="19"/>
          <w:lang w:eastAsia="pl-PL"/>
        </w:rPr>
        <w:t xml:space="preserve"> </w:t>
      </w:r>
      <w:r w:rsidR="002B3EB7" w:rsidRPr="005B32F3">
        <w:rPr>
          <w:rFonts w:eastAsia="Times New Roman" w:cs="Times New Roman"/>
          <w:szCs w:val="19"/>
          <w:lang w:eastAsia="pl-PL"/>
        </w:rPr>
        <w:t>(</w:t>
      </w:r>
      <w:r w:rsidR="002B3EB7">
        <w:rPr>
          <w:rFonts w:eastAsia="Times New Roman" w:cs="Times New Roman"/>
          <w:szCs w:val="19"/>
          <w:lang w:eastAsia="pl-PL"/>
        </w:rPr>
        <w:t>0,67) oraz</w:t>
      </w:r>
      <w:r w:rsidR="002B3EB7" w:rsidRPr="00DA0882">
        <w:rPr>
          <w:rFonts w:eastAsia="Times New Roman" w:cs="Times New Roman"/>
          <w:szCs w:val="19"/>
          <w:lang w:eastAsia="pl-PL"/>
        </w:rPr>
        <w:t xml:space="preserve"> </w:t>
      </w:r>
      <w:r w:rsidR="002B3EB7">
        <w:rPr>
          <w:rFonts w:eastAsia="Times New Roman" w:cs="Times New Roman"/>
          <w:szCs w:val="19"/>
          <w:lang w:eastAsia="pl-PL"/>
        </w:rPr>
        <w:t>d</w:t>
      </w:r>
      <w:r w:rsidR="002B3EB7" w:rsidRPr="00631EAC">
        <w:rPr>
          <w:rFonts w:eastAsia="Times New Roman" w:cs="Times New Roman"/>
          <w:szCs w:val="19"/>
          <w:lang w:eastAsia="pl-PL"/>
        </w:rPr>
        <w:t>ziałalność profesjonalna, naukowa i techniczna</w:t>
      </w:r>
      <w:r w:rsidR="002B3EB7">
        <w:rPr>
          <w:rFonts w:eastAsia="Times New Roman" w:cs="Times New Roman"/>
          <w:szCs w:val="19"/>
          <w:lang w:eastAsia="pl-PL"/>
        </w:rPr>
        <w:t xml:space="preserve"> (</w:t>
      </w:r>
      <w:r w:rsidR="002B3EB7" w:rsidRPr="0087374F">
        <w:rPr>
          <w:rFonts w:eastAsia="Times New Roman" w:cs="Times New Roman"/>
          <w:szCs w:val="19"/>
          <w:lang w:eastAsia="pl-PL"/>
        </w:rPr>
        <w:t>0,84</w:t>
      </w:r>
      <w:r w:rsidR="002B3EB7">
        <w:rPr>
          <w:rFonts w:eastAsia="Times New Roman" w:cs="Times New Roman"/>
          <w:szCs w:val="19"/>
          <w:lang w:eastAsia="pl-PL"/>
        </w:rPr>
        <w:t>).</w:t>
      </w:r>
    </w:p>
    <w:p w14:paraId="28BE9F95" w14:textId="664E7F99" w:rsidR="0062510B" w:rsidRPr="0062510B" w:rsidRDefault="0007604C" w:rsidP="002135AC">
      <w:pPr>
        <w:spacing w:after="160"/>
        <w:jc w:val="both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- </w:t>
      </w:r>
      <w:r>
        <w:rPr>
          <w:rFonts w:eastAsia="Times New Roman" w:cs="Times New Roman"/>
          <w:i/>
          <w:iCs/>
          <w:szCs w:val="19"/>
          <w:lang w:eastAsia="pl-PL"/>
        </w:rPr>
        <w:t>Tylko od stycznia do września ub.r. aż 45 809 osób zostało poszkodowanych w wypadkach przy pracy</w:t>
      </w:r>
      <w:r w:rsidR="00243D13">
        <w:rPr>
          <w:rFonts w:eastAsia="Times New Roman" w:cs="Times New Roman"/>
          <w:i/>
          <w:iCs/>
          <w:szCs w:val="19"/>
          <w:lang w:eastAsia="pl-PL"/>
        </w:rPr>
        <w:t xml:space="preserve">, co przełożyło się na </w:t>
      </w:r>
      <w:r w:rsidR="00243D13" w:rsidRPr="00243D13">
        <w:rPr>
          <w:rFonts w:eastAsia="Times New Roman" w:cs="Times New Roman"/>
          <w:i/>
          <w:iCs/>
          <w:szCs w:val="19"/>
          <w:lang w:eastAsia="pl-PL"/>
        </w:rPr>
        <w:t>1 468</w:t>
      </w:r>
      <w:r w:rsidR="00243D13">
        <w:rPr>
          <w:rFonts w:eastAsia="Times New Roman" w:cs="Times New Roman"/>
          <w:i/>
          <w:iCs/>
          <w:szCs w:val="19"/>
          <w:lang w:eastAsia="pl-PL"/>
        </w:rPr>
        <w:t> </w:t>
      </w:r>
      <w:r w:rsidR="00243D13" w:rsidRPr="00243D13">
        <w:rPr>
          <w:rFonts w:eastAsia="Times New Roman" w:cs="Times New Roman"/>
          <w:i/>
          <w:iCs/>
          <w:szCs w:val="19"/>
          <w:lang w:eastAsia="pl-PL"/>
        </w:rPr>
        <w:t>475</w:t>
      </w:r>
      <w:r w:rsidR="00243D13">
        <w:rPr>
          <w:rFonts w:eastAsia="Times New Roman" w:cs="Times New Roman"/>
          <w:i/>
          <w:iCs/>
          <w:szCs w:val="19"/>
          <w:lang w:eastAsia="pl-PL"/>
        </w:rPr>
        <w:t xml:space="preserve"> dni niezdolności do pracy</w:t>
      </w:r>
      <w:r w:rsidR="0062510B">
        <w:rPr>
          <w:rFonts w:eastAsia="Times New Roman" w:cs="Times New Roman"/>
          <w:i/>
          <w:iCs/>
          <w:szCs w:val="19"/>
          <w:lang w:eastAsia="pl-PL"/>
        </w:rPr>
        <w:t xml:space="preserve">, a tym samym z jednej strony ogromne koszty świadczeń lekarskich, z drugiej kosztów ponoszonych przez firmy. Ponieważ nawet jeden </w:t>
      </w:r>
      <w:r w:rsidR="0062510B" w:rsidRPr="00BD5822">
        <w:rPr>
          <w:rFonts w:cstheme="minorHAnsi"/>
          <w:i/>
          <w:iCs/>
          <w:color w:val="000000" w:themeColor="text1"/>
        </w:rPr>
        <w:t xml:space="preserve">wypadek przy pracy </w:t>
      </w:r>
      <w:r w:rsidR="0062510B">
        <w:rPr>
          <w:rFonts w:cstheme="minorHAnsi"/>
          <w:i/>
          <w:iCs/>
          <w:color w:val="000000" w:themeColor="text1"/>
        </w:rPr>
        <w:t xml:space="preserve">generuje straty w postaci kosztu towarów, a co gorsze niesie ryzyko wstrzymania działalności </w:t>
      </w:r>
      <w:r w:rsidR="0062510B" w:rsidRPr="00BD5822">
        <w:rPr>
          <w:rFonts w:cstheme="minorHAnsi"/>
          <w:i/>
          <w:iCs/>
          <w:color w:val="000000" w:themeColor="text1"/>
        </w:rPr>
        <w:t xml:space="preserve">na czas dochodzenia wypadkowego przez Prokuraturę czy Inspekcję Pracy. W konsekwencji wypadki mogą </w:t>
      </w:r>
      <w:r w:rsidR="0062510B" w:rsidRPr="00BD5822">
        <w:rPr>
          <w:rFonts w:cstheme="minorHAnsi"/>
          <w:i/>
          <w:iCs/>
          <w:color w:val="000000" w:themeColor="text1"/>
        </w:rPr>
        <w:lastRenderedPageBreak/>
        <w:t>generować koszty związane z karami umownymi do zapłacenia kontrahentom, ale również absencji osób poszkodowanych – zastępstw, nadgodzin czy czasu poświęconego na postępowanie powypadkowe</w:t>
      </w:r>
      <w:r w:rsidR="0062510B">
        <w:rPr>
          <w:rFonts w:cstheme="minorHAnsi"/>
          <w:i/>
          <w:iCs/>
          <w:color w:val="000000" w:themeColor="text1"/>
        </w:rPr>
        <w:t xml:space="preserve"> </w:t>
      </w:r>
      <w:r w:rsidR="0062510B">
        <w:rPr>
          <w:rFonts w:cstheme="minorHAnsi"/>
          <w:color w:val="000000" w:themeColor="text1"/>
        </w:rPr>
        <w:t xml:space="preserve">– dodaje Łukasz Wawrzyniak. </w:t>
      </w:r>
    </w:p>
    <w:p w14:paraId="1B53BF7B" w14:textId="77777777" w:rsidR="0062510B" w:rsidRPr="0062510B" w:rsidRDefault="0062510B" w:rsidP="0062510B">
      <w:pPr>
        <w:pStyle w:val="NormalnyWeb"/>
        <w:spacing w:before="120" w:after="0" w:line="276" w:lineRule="auto"/>
        <w:jc w:val="both"/>
        <w:rPr>
          <w:rFonts w:asciiTheme="minorHAnsi" w:hAnsiTheme="minorHAnsi"/>
          <w:sz w:val="22"/>
          <w:szCs w:val="19"/>
        </w:rPr>
      </w:pPr>
      <w:r w:rsidRPr="0062510B">
        <w:rPr>
          <w:rFonts w:asciiTheme="minorHAnsi" w:hAnsiTheme="minorHAnsi"/>
          <w:sz w:val="22"/>
          <w:szCs w:val="19"/>
        </w:rPr>
        <w:t>Zapewnienie pracownikom bezpiecznego i w zdrowych warunkach każdego dnia pracy, jest najwyższą wartością. Coraz częściej klienci chcą kupować produkty i usługi, które są wytwarzane w sposób etyczny, a to przekłada się na chęć nawiązywania współpracy z przedsiębiorcami, którzy chronią i dbają o swój zespół. Dbałość o zdrowie pracowników jest źródłem przewagi konkurencyjnej, buduje zaufanie do marki. Z kolei pracownicy coraz częściej szukają pracy w organizacjach, które podzielają ich wartości, a bezpieczeństwo w miejscu pracy jest dla nich priorytetem.</w:t>
      </w:r>
    </w:p>
    <w:p w14:paraId="409D78E3" w14:textId="77777777" w:rsidR="00AD1467" w:rsidRPr="00A51B45" w:rsidRDefault="00AD1467" w:rsidP="002135A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DD9234" w14:textId="043A95BC" w:rsidR="00AD1467" w:rsidRPr="00AD1467" w:rsidRDefault="00AD1467" w:rsidP="002135AC">
      <w:pPr>
        <w:spacing w:after="160"/>
        <w:jc w:val="both"/>
        <w:rPr>
          <w:rFonts w:cstheme="minorHAnsi"/>
        </w:rPr>
      </w:pPr>
      <w:r>
        <w:rPr>
          <w:rFonts w:cstheme="minorHAnsi"/>
        </w:rPr>
        <w:t>Źródło danych: GUS</w:t>
      </w:r>
    </w:p>
    <w:p w14:paraId="50552883" w14:textId="6DFFFDF5" w:rsidR="00A77A44" w:rsidRDefault="00A77A44" w:rsidP="002135AC">
      <w:pPr>
        <w:spacing w:after="160"/>
        <w:jc w:val="both"/>
        <w:rPr>
          <w:rFonts w:cstheme="minorHAnsi"/>
          <w:i/>
          <w:iCs/>
        </w:rPr>
      </w:pPr>
    </w:p>
    <w:p w14:paraId="3E281E6E" w14:textId="77777777" w:rsidR="00E367C6" w:rsidRDefault="00E367C6" w:rsidP="002135AC">
      <w:pPr>
        <w:spacing w:after="160"/>
        <w:jc w:val="both"/>
        <w:rPr>
          <w:rFonts w:cstheme="minorHAnsi"/>
          <w:b/>
          <w:bCs/>
        </w:rPr>
      </w:pPr>
    </w:p>
    <w:p w14:paraId="196EEF63" w14:textId="77777777" w:rsidR="00A53043" w:rsidRPr="00876552" w:rsidRDefault="00A53043" w:rsidP="002135AC">
      <w:pPr>
        <w:spacing w:after="0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2135AC">
      <w:pPr>
        <w:spacing w:after="0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2135AC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2135AC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DA7062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DA7062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DA7062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55117"/>
    <w:rsid w:val="00065558"/>
    <w:rsid w:val="000714A3"/>
    <w:rsid w:val="00071C7D"/>
    <w:rsid w:val="0007604C"/>
    <w:rsid w:val="00077516"/>
    <w:rsid w:val="0007786A"/>
    <w:rsid w:val="000813BE"/>
    <w:rsid w:val="000849D2"/>
    <w:rsid w:val="000A272B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3D13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64B8"/>
    <w:rsid w:val="002B7BDD"/>
    <w:rsid w:val="002C1FE3"/>
    <w:rsid w:val="002C74DA"/>
    <w:rsid w:val="002D3186"/>
    <w:rsid w:val="002D68EE"/>
    <w:rsid w:val="002D6BC7"/>
    <w:rsid w:val="002E21B3"/>
    <w:rsid w:val="002E2246"/>
    <w:rsid w:val="002E44A6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765A6"/>
    <w:rsid w:val="00480084"/>
    <w:rsid w:val="00480CEB"/>
    <w:rsid w:val="0048643A"/>
    <w:rsid w:val="00497C86"/>
    <w:rsid w:val="004A31E0"/>
    <w:rsid w:val="004B4567"/>
    <w:rsid w:val="004C4A65"/>
    <w:rsid w:val="004C51FA"/>
    <w:rsid w:val="004D473C"/>
    <w:rsid w:val="004E09BB"/>
    <w:rsid w:val="004E1B63"/>
    <w:rsid w:val="004E1DC8"/>
    <w:rsid w:val="00501E2A"/>
    <w:rsid w:val="0050265B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3197"/>
    <w:rsid w:val="0065484F"/>
    <w:rsid w:val="006609D6"/>
    <w:rsid w:val="00662D0A"/>
    <w:rsid w:val="00684F27"/>
    <w:rsid w:val="00685500"/>
    <w:rsid w:val="006B06C1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22FA9"/>
    <w:rsid w:val="00840936"/>
    <w:rsid w:val="008419CF"/>
    <w:rsid w:val="00843DA3"/>
    <w:rsid w:val="008515AD"/>
    <w:rsid w:val="00852B80"/>
    <w:rsid w:val="008551D8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50F5"/>
    <w:rsid w:val="008E7397"/>
    <w:rsid w:val="0090114A"/>
    <w:rsid w:val="00907405"/>
    <w:rsid w:val="00910C04"/>
    <w:rsid w:val="00914B1B"/>
    <w:rsid w:val="009218BB"/>
    <w:rsid w:val="00923722"/>
    <w:rsid w:val="00927430"/>
    <w:rsid w:val="0094731E"/>
    <w:rsid w:val="00953FCD"/>
    <w:rsid w:val="0097332D"/>
    <w:rsid w:val="009758CF"/>
    <w:rsid w:val="00980653"/>
    <w:rsid w:val="00980785"/>
    <w:rsid w:val="009833BF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26134"/>
    <w:rsid w:val="00A40E1C"/>
    <w:rsid w:val="00A51B45"/>
    <w:rsid w:val="00A53043"/>
    <w:rsid w:val="00A61265"/>
    <w:rsid w:val="00A646FF"/>
    <w:rsid w:val="00A67015"/>
    <w:rsid w:val="00A77A44"/>
    <w:rsid w:val="00A86D72"/>
    <w:rsid w:val="00A9519E"/>
    <w:rsid w:val="00AA07DE"/>
    <w:rsid w:val="00AA74AE"/>
    <w:rsid w:val="00AB07D2"/>
    <w:rsid w:val="00AB4D1F"/>
    <w:rsid w:val="00AB630B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37C4A"/>
    <w:rsid w:val="00B51866"/>
    <w:rsid w:val="00B53CD5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6528"/>
    <w:rsid w:val="00C60ABD"/>
    <w:rsid w:val="00C64A89"/>
    <w:rsid w:val="00C73F2D"/>
    <w:rsid w:val="00C80A27"/>
    <w:rsid w:val="00C93E3D"/>
    <w:rsid w:val="00C9497B"/>
    <w:rsid w:val="00CA41D9"/>
    <w:rsid w:val="00CA6092"/>
    <w:rsid w:val="00CB08C0"/>
    <w:rsid w:val="00CB48D1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1965"/>
    <w:rsid w:val="00D659A2"/>
    <w:rsid w:val="00D7241E"/>
    <w:rsid w:val="00D74AF9"/>
    <w:rsid w:val="00D7661C"/>
    <w:rsid w:val="00D77D0C"/>
    <w:rsid w:val="00D81B3E"/>
    <w:rsid w:val="00D85A95"/>
    <w:rsid w:val="00D862A7"/>
    <w:rsid w:val="00D87DAC"/>
    <w:rsid w:val="00D9044C"/>
    <w:rsid w:val="00DA7062"/>
    <w:rsid w:val="00DB30CC"/>
    <w:rsid w:val="00DC1DAF"/>
    <w:rsid w:val="00DC7698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367C6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12048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0648"/>
    <w:rsid w:val="00FC630C"/>
    <w:rsid w:val="00FD438F"/>
    <w:rsid w:val="00FD527C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4F58301-08BD-4295-9CF2-C014E86580DE}">
  <ds:schemaRefs>
    <ds:schemaRef ds:uri="http://www.w3.org/XML/1998/namespace"/>
    <ds:schemaRef ds:uri="http://purl.org/dc/elements/1.1/"/>
    <ds:schemaRef ds:uri="http://purl.org/dc/dcmitype/"/>
    <ds:schemaRef ds:uri="0902ce76-2b94-4f28-a436-1a49c979f0c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523ec5-cbbc-4d5f-9643-4ef855cb056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83D96-B41A-4034-ADB0-04FE11FF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9</cp:revision>
  <dcterms:created xsi:type="dcterms:W3CDTF">2024-01-04T15:36:00Z</dcterms:created>
  <dcterms:modified xsi:type="dcterms:W3CDTF">2024-01-17T08:15:00Z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