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9595" w14:textId="624EFE85" w:rsidR="00BE60C8" w:rsidRDefault="00BE60C8" w:rsidP="00CC2A1B">
      <w:pPr>
        <w:spacing w:line="360" w:lineRule="auto"/>
        <w:jc w:val="both"/>
        <w:rPr>
          <w:b/>
          <w:bCs/>
          <w:lang w:val="pl-PL"/>
        </w:rPr>
      </w:pP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  <w:t xml:space="preserve">Warszawa, 22.01.2024 r. </w:t>
      </w:r>
    </w:p>
    <w:p w14:paraId="677BDDFE" w14:textId="77777777" w:rsidR="00BE60C8" w:rsidRPr="00BE60C8" w:rsidRDefault="00BE60C8" w:rsidP="00CC2A1B">
      <w:pPr>
        <w:spacing w:line="360" w:lineRule="auto"/>
        <w:jc w:val="both"/>
        <w:rPr>
          <w:b/>
          <w:bCs/>
          <w:sz w:val="28"/>
          <w:szCs w:val="28"/>
          <w:lang w:val="pl-PL"/>
        </w:rPr>
      </w:pPr>
    </w:p>
    <w:p w14:paraId="72B0B862" w14:textId="1507CE23" w:rsidR="00CC2A1B" w:rsidRPr="00BE60C8" w:rsidRDefault="00CC2A1B" w:rsidP="00CC2A1B">
      <w:pPr>
        <w:spacing w:line="360" w:lineRule="auto"/>
        <w:jc w:val="both"/>
        <w:rPr>
          <w:b/>
          <w:bCs/>
          <w:sz w:val="28"/>
          <w:szCs w:val="28"/>
          <w:lang w:val="pl-PL"/>
        </w:rPr>
      </w:pPr>
      <w:r w:rsidRPr="00BE60C8">
        <w:rPr>
          <w:b/>
          <w:bCs/>
          <w:sz w:val="28"/>
          <w:szCs w:val="28"/>
          <w:lang w:val="pl-PL"/>
        </w:rPr>
        <w:t xml:space="preserve">URPL i POLPROWET w trosce o </w:t>
      </w:r>
      <w:r w:rsidR="21287302" w:rsidRPr="00BE60C8">
        <w:rPr>
          <w:b/>
          <w:bCs/>
          <w:sz w:val="28"/>
          <w:szCs w:val="28"/>
          <w:lang w:val="pl-PL"/>
        </w:rPr>
        <w:t>bezpieczeństwo zwierząt i ludzi</w:t>
      </w:r>
      <w:r w:rsidR="0A9B202E" w:rsidRPr="00BE60C8">
        <w:rPr>
          <w:b/>
          <w:bCs/>
          <w:sz w:val="28"/>
          <w:szCs w:val="28"/>
          <w:lang w:val="pl-PL"/>
        </w:rPr>
        <w:t xml:space="preserve"> </w:t>
      </w:r>
      <w:r w:rsidR="3CC48492" w:rsidRPr="00BE60C8">
        <w:rPr>
          <w:b/>
          <w:bCs/>
          <w:sz w:val="28"/>
          <w:szCs w:val="28"/>
          <w:lang w:val="pl-PL"/>
        </w:rPr>
        <w:t>oraz</w:t>
      </w:r>
      <w:r w:rsidR="0A9B202E" w:rsidRPr="00BE60C8">
        <w:rPr>
          <w:b/>
          <w:bCs/>
          <w:sz w:val="28"/>
          <w:szCs w:val="28"/>
          <w:lang w:val="pl-PL"/>
        </w:rPr>
        <w:t xml:space="preserve"> #JednoZdrowie</w:t>
      </w:r>
    </w:p>
    <w:p w14:paraId="0F18D8AD" w14:textId="1FD4FA0D" w:rsidR="002454CD" w:rsidRPr="00CC2A1B" w:rsidRDefault="2F899E0E" w:rsidP="00CC2A1B">
      <w:pPr>
        <w:spacing w:line="360" w:lineRule="auto"/>
        <w:jc w:val="both"/>
        <w:rPr>
          <w:b/>
          <w:bCs/>
          <w:lang w:val="pl-PL"/>
        </w:rPr>
      </w:pPr>
      <w:r w:rsidRPr="2DF0063A">
        <w:rPr>
          <w:b/>
          <w:bCs/>
          <w:lang w:val="pl-PL"/>
        </w:rPr>
        <w:t>“</w:t>
      </w:r>
      <w:r w:rsidR="43B0D2E8" w:rsidRPr="2DF0063A">
        <w:rPr>
          <w:b/>
          <w:bCs/>
          <w:lang w:val="pl-PL"/>
        </w:rPr>
        <w:t>Bezpieczne leki - bezpieczne zwierzęta</w:t>
      </w:r>
      <w:r w:rsidR="46C89F88" w:rsidRPr="2DF0063A">
        <w:rPr>
          <w:b/>
          <w:bCs/>
          <w:lang w:val="pl-PL"/>
        </w:rPr>
        <w:t xml:space="preserve"> </w:t>
      </w:r>
      <w:r w:rsidR="43B0D2E8" w:rsidRPr="2DF0063A">
        <w:rPr>
          <w:b/>
          <w:bCs/>
          <w:lang w:val="pl-PL"/>
        </w:rPr>
        <w:t>- bezpieczni ludzie</w:t>
      </w:r>
      <w:r w:rsidR="3994139F" w:rsidRPr="2DF0063A">
        <w:rPr>
          <w:b/>
          <w:bCs/>
          <w:lang w:val="pl-PL"/>
        </w:rPr>
        <w:t>” -</w:t>
      </w:r>
      <w:r w:rsidR="43B0D2E8" w:rsidRPr="2DF0063A">
        <w:rPr>
          <w:b/>
          <w:bCs/>
          <w:lang w:val="pl-PL"/>
        </w:rPr>
        <w:t xml:space="preserve"> pod takim hasłem już niedługo rozpoczniemy działania edukacyjne</w:t>
      </w:r>
      <w:r w:rsidR="4B9F0F06" w:rsidRPr="2DF0063A">
        <w:rPr>
          <w:b/>
          <w:bCs/>
          <w:lang w:val="pl-PL"/>
        </w:rPr>
        <w:t xml:space="preserve"> zainicjowane przez stowarzyszenie POLPROWET</w:t>
      </w:r>
      <w:r w:rsidR="0030100C">
        <w:rPr>
          <w:b/>
          <w:bCs/>
          <w:lang w:val="pl-PL"/>
        </w:rPr>
        <w:t xml:space="preserve">. Patronat </w:t>
      </w:r>
      <w:r w:rsidR="00425ED2">
        <w:rPr>
          <w:b/>
          <w:bCs/>
          <w:lang w:val="pl-PL"/>
        </w:rPr>
        <w:t xml:space="preserve">honorowy </w:t>
      </w:r>
      <w:r w:rsidR="0030100C">
        <w:rPr>
          <w:b/>
          <w:bCs/>
          <w:lang w:val="pl-PL"/>
        </w:rPr>
        <w:t>nad kampanią objął</w:t>
      </w:r>
      <w:r w:rsidR="43B0D2E8" w:rsidRPr="2DF0063A">
        <w:rPr>
          <w:b/>
          <w:bCs/>
          <w:lang w:val="pl-PL"/>
        </w:rPr>
        <w:t xml:space="preserve"> </w:t>
      </w:r>
      <w:r w:rsidR="00BD7FB5">
        <w:rPr>
          <w:b/>
          <w:bCs/>
          <w:lang w:val="pl-PL"/>
        </w:rPr>
        <w:t>Prezes</w:t>
      </w:r>
      <w:r w:rsidR="0030100C">
        <w:rPr>
          <w:b/>
          <w:bCs/>
          <w:lang w:val="pl-PL"/>
        </w:rPr>
        <w:t xml:space="preserve"> </w:t>
      </w:r>
      <w:r w:rsidR="43B0D2E8" w:rsidRPr="2DF0063A">
        <w:rPr>
          <w:b/>
          <w:bCs/>
          <w:lang w:val="pl-PL"/>
        </w:rPr>
        <w:t>Urzędu Rejestracji Produktów Leczniczych, Wyrobów Medycznych i Produktów Biobójczych</w:t>
      </w:r>
      <w:r w:rsidR="00BD7FB5">
        <w:rPr>
          <w:b/>
          <w:bCs/>
          <w:lang w:val="pl-PL"/>
        </w:rPr>
        <w:t xml:space="preserve"> dr Grzegorz</w:t>
      </w:r>
      <w:r w:rsidR="0030100C">
        <w:rPr>
          <w:b/>
          <w:bCs/>
          <w:lang w:val="pl-PL"/>
        </w:rPr>
        <w:t xml:space="preserve"> </w:t>
      </w:r>
      <w:proofErr w:type="spellStart"/>
      <w:r w:rsidR="0030100C">
        <w:rPr>
          <w:b/>
          <w:bCs/>
          <w:lang w:val="pl-PL"/>
        </w:rPr>
        <w:t>Cessak</w:t>
      </w:r>
      <w:proofErr w:type="spellEnd"/>
      <w:r w:rsidR="43B0D2E8" w:rsidRPr="2DF0063A">
        <w:rPr>
          <w:b/>
          <w:bCs/>
          <w:lang w:val="pl-PL"/>
        </w:rPr>
        <w:t xml:space="preserve">. W trosce o #jednozdrowie w naszych działaniach chcemy zwrócić uwagę na </w:t>
      </w:r>
      <w:r w:rsidR="00DE550B">
        <w:rPr>
          <w:b/>
          <w:bCs/>
          <w:lang w:val="pl-PL"/>
        </w:rPr>
        <w:t xml:space="preserve">możliwość występowania zdarzeń </w:t>
      </w:r>
      <w:r w:rsidR="007C131D">
        <w:rPr>
          <w:b/>
          <w:bCs/>
          <w:lang w:val="pl-PL"/>
        </w:rPr>
        <w:t>niepożądanyc</w:t>
      </w:r>
      <w:r w:rsidR="009852B9">
        <w:rPr>
          <w:b/>
          <w:bCs/>
          <w:lang w:val="pl-PL"/>
        </w:rPr>
        <w:t>h</w:t>
      </w:r>
      <w:r w:rsidR="007C4CFB">
        <w:rPr>
          <w:b/>
          <w:bCs/>
          <w:lang w:val="pl-PL"/>
        </w:rPr>
        <w:t xml:space="preserve"> po podaniu weterynaryjnego produktu leczniczego. </w:t>
      </w:r>
    </w:p>
    <w:p w14:paraId="241A9233" w14:textId="07CD69CD" w:rsidR="002454CD" w:rsidRPr="002454CD" w:rsidRDefault="43B0D2E8" w:rsidP="00CC2A1B">
      <w:pPr>
        <w:spacing w:line="360" w:lineRule="auto"/>
        <w:jc w:val="both"/>
        <w:rPr>
          <w:lang w:val="pl-PL"/>
        </w:rPr>
      </w:pPr>
      <w:r w:rsidRPr="2DF0063A">
        <w:rPr>
          <w:i/>
          <w:iCs/>
          <w:lang w:val="pl-PL"/>
        </w:rPr>
        <w:t>- Połączyliśmy siły, aby wspólnie mówić o tym, jak istotne dla bezpieczeństwa lekowego jest zgłaszanie zdarzeń niepożądanych, które mogą wystąpić po zastosowaniu leku u zwierzęcia</w:t>
      </w:r>
      <w:r w:rsidR="007C4CFB">
        <w:rPr>
          <w:i/>
          <w:iCs/>
          <w:lang w:val="pl-PL"/>
        </w:rPr>
        <w:t>. Każde zgłoszenie ma dla nas wartość</w:t>
      </w:r>
      <w:r w:rsidR="00AE3D18">
        <w:rPr>
          <w:i/>
          <w:iCs/>
          <w:lang w:val="pl-PL"/>
        </w:rPr>
        <w:t>, pozwala na uzupełnienie wiedzy na temat bezpieczeństwa i skuteczności dostępnych na rynku leków</w:t>
      </w:r>
      <w:r w:rsidR="009852B9">
        <w:rPr>
          <w:i/>
          <w:iCs/>
          <w:lang w:val="pl-PL"/>
        </w:rPr>
        <w:t xml:space="preserve"> dla zwierząt</w:t>
      </w:r>
      <w:r w:rsidR="00AE3D18">
        <w:rPr>
          <w:i/>
          <w:iCs/>
          <w:lang w:val="pl-PL"/>
        </w:rPr>
        <w:t xml:space="preserve">, zarówno tych od dawana stosowanych, jak </w:t>
      </w:r>
      <w:proofErr w:type="gramStart"/>
      <w:r w:rsidR="00AE3D18">
        <w:rPr>
          <w:i/>
          <w:iCs/>
          <w:lang w:val="pl-PL"/>
        </w:rPr>
        <w:t>nowych</w:t>
      </w:r>
      <w:r w:rsidR="007C4CFB">
        <w:rPr>
          <w:i/>
          <w:iCs/>
          <w:lang w:val="pl-PL"/>
        </w:rPr>
        <w:t xml:space="preserve"> </w:t>
      </w:r>
      <w:r w:rsidRPr="2DF0063A">
        <w:rPr>
          <w:lang w:val="pl-PL"/>
        </w:rPr>
        <w:t xml:space="preserve"> –</w:t>
      </w:r>
      <w:proofErr w:type="gramEnd"/>
      <w:r w:rsidRPr="2DF0063A">
        <w:rPr>
          <w:lang w:val="pl-PL"/>
        </w:rPr>
        <w:t xml:space="preserve"> podkreśla Agata Andrzejewska, Wiceprezes ds. produktów leczniczych weterynaryjnych – </w:t>
      </w:r>
      <w:proofErr w:type="spellStart"/>
      <w:r w:rsidRPr="2DF0063A">
        <w:rPr>
          <w:lang w:val="pl-PL"/>
        </w:rPr>
        <w:t>URPL,WMiPB</w:t>
      </w:r>
      <w:proofErr w:type="spellEnd"/>
    </w:p>
    <w:p w14:paraId="41631C14" w14:textId="06072F64" w:rsidR="00EB65BA" w:rsidRPr="00CC2A1B" w:rsidRDefault="43B0D2E8" w:rsidP="2DF0063A">
      <w:pPr>
        <w:spacing w:line="360" w:lineRule="auto"/>
        <w:jc w:val="both"/>
        <w:rPr>
          <w:lang w:val="pl-PL"/>
        </w:rPr>
      </w:pPr>
      <w:r w:rsidRPr="2DF0063A">
        <w:rPr>
          <w:lang w:val="pl-PL"/>
        </w:rPr>
        <w:t>Sekretarz Generalny POLPROWET Radosław Knap, zwraca uwagę na konkretne działania</w:t>
      </w:r>
      <w:r w:rsidR="11EA1CAF" w:rsidRPr="2DF0063A">
        <w:rPr>
          <w:lang w:val="pl-PL"/>
        </w:rPr>
        <w:t xml:space="preserve"> badawcze jak i edukacyjne</w:t>
      </w:r>
      <w:r w:rsidRPr="2DF0063A">
        <w:rPr>
          <w:lang w:val="pl-PL"/>
        </w:rPr>
        <w:t>, które zostaną podjęte w ramach kampanii edukacyjnej "Bezpieczne leki - bezpieczne zwierzęta - bezpieczni ludzie".</w:t>
      </w:r>
      <w:r w:rsidRPr="2DF0063A">
        <w:rPr>
          <w:i/>
          <w:iCs/>
          <w:lang w:val="pl-PL"/>
        </w:rPr>
        <w:t xml:space="preserve"> – POLPROWET</w:t>
      </w:r>
      <w:r w:rsidR="5509D352" w:rsidRPr="2DF0063A">
        <w:rPr>
          <w:i/>
          <w:iCs/>
          <w:lang w:val="pl-PL"/>
        </w:rPr>
        <w:t xml:space="preserve"> </w:t>
      </w:r>
      <w:r w:rsidRPr="2DF0063A">
        <w:rPr>
          <w:i/>
          <w:iCs/>
          <w:lang w:val="pl-PL"/>
        </w:rPr>
        <w:t xml:space="preserve">od lat angażuje się w akcje edukacyjne mające na celu podnoszenie świadomości w zakresie zdrowia zwierząt i ludzi. Dziś skupiamy się właśnie na aspekcie świadomości społecznej w zakresie korzystania z leków weterynaryjnych oraz konsekwencji, jakie mogą wynikać z ich stosowania </w:t>
      </w:r>
      <w:r w:rsidRPr="2DF0063A">
        <w:rPr>
          <w:lang w:val="pl-PL"/>
        </w:rPr>
        <w:t xml:space="preserve">– tłumaczy Knap. </w:t>
      </w:r>
      <w:r w:rsidR="104E4C4E" w:rsidRPr="2DF0063A">
        <w:rPr>
          <w:lang w:val="pl-PL"/>
        </w:rPr>
        <w:t xml:space="preserve">- cieszymy się, że </w:t>
      </w:r>
      <w:r w:rsidR="53FFCE89" w:rsidRPr="2DF0063A">
        <w:rPr>
          <w:lang w:val="pl-PL"/>
        </w:rPr>
        <w:t xml:space="preserve">wspiera je </w:t>
      </w:r>
      <w:r w:rsidR="104E4C4E" w:rsidRPr="2DF0063A">
        <w:rPr>
          <w:lang w:val="pl-PL"/>
        </w:rPr>
        <w:t xml:space="preserve">taka instytucja jak </w:t>
      </w:r>
      <w:r w:rsidR="104E4C4E" w:rsidRPr="2DF0063A">
        <w:rPr>
          <w:i/>
          <w:iCs/>
          <w:lang w:val="pl-PL"/>
        </w:rPr>
        <w:t>Urząd Rejestracji Produktów Leczniczych</w:t>
      </w:r>
      <w:r w:rsidR="00000C9C">
        <w:rPr>
          <w:i/>
          <w:iCs/>
          <w:lang w:val="pl-PL"/>
        </w:rPr>
        <w:t>, Wyrobów Medycznych i Produktów Biobójczych</w:t>
      </w:r>
      <w:r w:rsidR="104E4C4E" w:rsidRPr="2DF0063A">
        <w:rPr>
          <w:i/>
          <w:iCs/>
          <w:lang w:val="pl-PL"/>
        </w:rPr>
        <w:t>.</w:t>
      </w:r>
    </w:p>
    <w:p w14:paraId="309F8D51" w14:textId="0EA35540" w:rsidR="00EB65BA" w:rsidRPr="00EB65BA" w:rsidRDefault="00EB65BA" w:rsidP="00CC2A1B">
      <w:pPr>
        <w:spacing w:line="360" w:lineRule="auto"/>
        <w:jc w:val="both"/>
        <w:rPr>
          <w:lang w:val="pl-PL"/>
        </w:rPr>
      </w:pPr>
      <w:r w:rsidRPr="2DF0063A">
        <w:rPr>
          <w:lang w:val="pl-PL"/>
        </w:rPr>
        <w:t>Planowane działania obejmują kampanię informacyjną, mającą na celu edukację właścicieli zwierząt</w:t>
      </w:r>
      <w:r w:rsidR="003E7275">
        <w:rPr>
          <w:lang w:val="pl-PL"/>
        </w:rPr>
        <w:t xml:space="preserve"> o możliwości zgłaszania zdarzeń niepożądanych</w:t>
      </w:r>
      <w:r w:rsidRPr="2DF0063A">
        <w:rPr>
          <w:lang w:val="pl-PL"/>
        </w:rPr>
        <w:t xml:space="preserve"> oraz </w:t>
      </w:r>
      <w:r w:rsidR="3D8BA412" w:rsidRPr="2DF0063A">
        <w:rPr>
          <w:lang w:val="pl-PL"/>
        </w:rPr>
        <w:t xml:space="preserve">przedstawienie roli </w:t>
      </w:r>
      <w:r w:rsidR="00000C9C">
        <w:rPr>
          <w:lang w:val="pl-PL"/>
        </w:rPr>
        <w:t xml:space="preserve">lekarzy </w:t>
      </w:r>
      <w:r w:rsidR="531F7ABF" w:rsidRPr="2DF0063A">
        <w:rPr>
          <w:lang w:val="pl-PL"/>
        </w:rPr>
        <w:t xml:space="preserve">weterynarii oraz podmiotów odpowiedzialnych </w:t>
      </w:r>
      <w:r w:rsidR="136CF151" w:rsidRPr="2DF0063A">
        <w:rPr>
          <w:lang w:val="pl-PL"/>
        </w:rPr>
        <w:t>w procesie tworzenia bezpieczeństwa lekowego</w:t>
      </w:r>
      <w:r w:rsidRPr="2DF0063A">
        <w:rPr>
          <w:lang w:val="pl-PL"/>
        </w:rPr>
        <w:t xml:space="preserve">. Kampania będzie skupiała się na rozpowszechnianiu wiedzy o </w:t>
      </w:r>
      <w:r w:rsidR="003E7275">
        <w:rPr>
          <w:lang w:val="pl-PL"/>
        </w:rPr>
        <w:t xml:space="preserve">zasadach bezpiecznego stosowania </w:t>
      </w:r>
      <w:r w:rsidRPr="2DF0063A">
        <w:rPr>
          <w:lang w:val="pl-PL"/>
        </w:rPr>
        <w:t>weterynaryjnych</w:t>
      </w:r>
      <w:r w:rsidR="003E7275">
        <w:rPr>
          <w:lang w:val="pl-PL"/>
        </w:rPr>
        <w:t xml:space="preserve"> produktów leczniczych</w:t>
      </w:r>
      <w:r w:rsidRPr="2DF0063A">
        <w:rPr>
          <w:lang w:val="pl-PL"/>
        </w:rPr>
        <w:t xml:space="preserve">, </w:t>
      </w:r>
      <w:r w:rsidR="0049146A">
        <w:rPr>
          <w:lang w:val="pl-PL"/>
        </w:rPr>
        <w:t xml:space="preserve">konieczności </w:t>
      </w:r>
      <w:r w:rsidRPr="2DF0063A">
        <w:rPr>
          <w:lang w:val="pl-PL"/>
        </w:rPr>
        <w:t>zgłaszania wszelkich niepożądanych reakcj</w:t>
      </w:r>
      <w:r w:rsidR="0049146A">
        <w:rPr>
          <w:lang w:val="pl-PL"/>
        </w:rPr>
        <w:t xml:space="preserve">i, które mogą wystąpić po podaniu leku </w:t>
      </w:r>
      <w:r w:rsidRPr="2DF0063A">
        <w:rPr>
          <w:lang w:val="pl-PL"/>
        </w:rPr>
        <w:t xml:space="preserve">oraz o </w:t>
      </w:r>
      <w:r w:rsidR="25A4C090" w:rsidRPr="2DF0063A">
        <w:rPr>
          <w:lang w:val="pl-PL"/>
        </w:rPr>
        <w:t xml:space="preserve">zapobieganiu </w:t>
      </w:r>
      <w:r w:rsidRPr="2DF0063A">
        <w:rPr>
          <w:lang w:val="pl-PL"/>
        </w:rPr>
        <w:t>potencjalnych zagroże</w:t>
      </w:r>
      <w:r w:rsidR="2CECCD6B" w:rsidRPr="2DF0063A">
        <w:rPr>
          <w:lang w:val="pl-PL"/>
        </w:rPr>
        <w:t>ń</w:t>
      </w:r>
      <w:r w:rsidRPr="2DF0063A">
        <w:rPr>
          <w:lang w:val="pl-PL"/>
        </w:rPr>
        <w:t xml:space="preserve"> dla zdrowia zwierząt i ludzi, wynikających z nieodpowiedniego leczenia.</w:t>
      </w:r>
    </w:p>
    <w:p w14:paraId="6D3D66F8" w14:textId="06356098" w:rsidR="002454CD" w:rsidRPr="002454CD" w:rsidRDefault="002B11E2" w:rsidP="00CC2A1B">
      <w:pPr>
        <w:spacing w:line="360" w:lineRule="auto"/>
        <w:jc w:val="both"/>
        <w:rPr>
          <w:lang w:val="pl-PL"/>
        </w:rPr>
      </w:pPr>
      <w:r>
        <w:rPr>
          <w:lang w:val="pl-PL"/>
        </w:rPr>
        <w:lastRenderedPageBreak/>
        <w:t xml:space="preserve">Kampania </w:t>
      </w:r>
      <w:r w:rsidRPr="002B11E2">
        <w:rPr>
          <w:lang w:val="pl-PL"/>
        </w:rPr>
        <w:t>"Bezpieczne leki - bezpieczne zwierzęta - bezpieczni ludzie"</w:t>
      </w:r>
      <w:r w:rsidR="00EB65BA" w:rsidRPr="2DF0063A">
        <w:rPr>
          <w:lang w:val="pl-PL"/>
        </w:rPr>
        <w:t>, poprzez współpracę różnych instytucji i organizacji, ma przyczynić się do poprawy bezpieczeństwa zarówno zwierząt, jak i ludzi, a także promować zdrowe i odpowiedzialne podejście do leczenia zwierząt.</w:t>
      </w:r>
    </w:p>
    <w:p w14:paraId="0119B9CF" w14:textId="02EF6323" w:rsidR="283548BC" w:rsidRDefault="283548BC" w:rsidP="2DF0063A">
      <w:pPr>
        <w:spacing w:line="360" w:lineRule="auto"/>
        <w:jc w:val="both"/>
        <w:rPr>
          <w:lang w:val="pl-PL"/>
        </w:rPr>
      </w:pPr>
      <w:r w:rsidRPr="2DF0063A">
        <w:rPr>
          <w:lang w:val="pl-PL"/>
        </w:rPr>
        <w:t>Warto pamiętać, że wszelkie zdarzenia niepożądane można zgłaszać zarówno do podmiotów odpowiedzialnych (firm)</w:t>
      </w:r>
      <w:r w:rsidR="008F44BB">
        <w:rPr>
          <w:lang w:val="pl-PL"/>
        </w:rPr>
        <w:t xml:space="preserve"> </w:t>
      </w:r>
      <w:r w:rsidR="008F44BB" w:rsidRPr="008C3CEE">
        <w:rPr>
          <w:lang w:val="pl-PL"/>
        </w:rPr>
        <w:t xml:space="preserve">przy użyciu danych kontaktowych zamieszczonych w końcowej części ulotki weterynaryjnego produktu leczniczego </w:t>
      </w:r>
      <w:r w:rsidR="6DBDC615" w:rsidRPr="2DF0063A">
        <w:rPr>
          <w:lang w:val="pl-PL"/>
        </w:rPr>
        <w:t xml:space="preserve">lub bezpośrednio do </w:t>
      </w:r>
      <w:proofErr w:type="spellStart"/>
      <w:r w:rsidR="1E4F9B89" w:rsidRPr="2DF0063A">
        <w:rPr>
          <w:lang w:val="pl-PL"/>
        </w:rPr>
        <w:t>U</w:t>
      </w:r>
      <w:r w:rsidR="001A4182">
        <w:rPr>
          <w:lang w:val="pl-PL"/>
        </w:rPr>
        <w:t>RPLWMiPB</w:t>
      </w:r>
      <w:proofErr w:type="spellEnd"/>
      <w:r w:rsidR="1E4F9B89" w:rsidRPr="2DF0063A">
        <w:rPr>
          <w:lang w:val="pl-PL"/>
        </w:rPr>
        <w:t xml:space="preserve"> </w:t>
      </w:r>
      <w:r w:rsidR="001A4182">
        <w:rPr>
          <w:lang w:val="pl-PL"/>
        </w:rPr>
        <w:t xml:space="preserve">zgodnie z informacjami zawartymi na stronie internetowej Urzędu: </w:t>
      </w:r>
      <w:hyperlink r:id="rId7" w:history="1">
        <w:r w:rsidR="001A4182" w:rsidRPr="007E38B9">
          <w:rPr>
            <w:rStyle w:val="Hipercze"/>
            <w:lang w:val="pl-PL"/>
          </w:rPr>
          <w:t>https://www.urpl.gov.pl/pl/produkty-lecznicze-weterynaryjne/przepisy-rozporz%C4%85dzenia-20196/nadz%C3%B3r-nad-bezpiecze%C5%84stwem</w:t>
        </w:r>
      </w:hyperlink>
      <w:r w:rsidR="001A4182">
        <w:rPr>
          <w:lang w:val="pl-PL"/>
        </w:rPr>
        <w:t xml:space="preserve"> </w:t>
      </w:r>
    </w:p>
    <w:p w14:paraId="395AA001" w14:textId="6D4747CD" w:rsidR="2DF0063A" w:rsidRDefault="2DF0063A" w:rsidP="2DF0063A">
      <w:pPr>
        <w:spacing w:line="360" w:lineRule="auto"/>
        <w:jc w:val="both"/>
        <w:rPr>
          <w:lang w:val="pl-PL"/>
        </w:rPr>
      </w:pPr>
    </w:p>
    <w:sectPr w:rsidR="2DF00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4CD"/>
    <w:rsid w:val="00000C9C"/>
    <w:rsid w:val="001A4182"/>
    <w:rsid w:val="002454CD"/>
    <w:rsid w:val="002B11E2"/>
    <w:rsid w:val="0030100C"/>
    <w:rsid w:val="003E7275"/>
    <w:rsid w:val="00425ED2"/>
    <w:rsid w:val="0049146A"/>
    <w:rsid w:val="006C1ADD"/>
    <w:rsid w:val="007C131D"/>
    <w:rsid w:val="007C4CFB"/>
    <w:rsid w:val="008C3CEE"/>
    <w:rsid w:val="008F44BB"/>
    <w:rsid w:val="009852B9"/>
    <w:rsid w:val="00AE3D18"/>
    <w:rsid w:val="00BD7FB5"/>
    <w:rsid w:val="00BE60C8"/>
    <w:rsid w:val="00CC2A1B"/>
    <w:rsid w:val="00CD76FA"/>
    <w:rsid w:val="00DE550B"/>
    <w:rsid w:val="00EB65BA"/>
    <w:rsid w:val="00EF60C7"/>
    <w:rsid w:val="016FE362"/>
    <w:rsid w:val="0494E1A9"/>
    <w:rsid w:val="07D7E7B8"/>
    <w:rsid w:val="0A9B202E"/>
    <w:rsid w:val="0C68B469"/>
    <w:rsid w:val="0D1A8D56"/>
    <w:rsid w:val="104E4C4E"/>
    <w:rsid w:val="11EA1CAF"/>
    <w:rsid w:val="136CF151"/>
    <w:rsid w:val="174472B3"/>
    <w:rsid w:val="1E4F9B89"/>
    <w:rsid w:val="1EC2F12B"/>
    <w:rsid w:val="204D4B8C"/>
    <w:rsid w:val="21287302"/>
    <w:rsid w:val="233CF56F"/>
    <w:rsid w:val="25A4C090"/>
    <w:rsid w:val="283548BC"/>
    <w:rsid w:val="2CECCD6B"/>
    <w:rsid w:val="2DF0063A"/>
    <w:rsid w:val="2F899E0E"/>
    <w:rsid w:val="3139BAFB"/>
    <w:rsid w:val="346A80CC"/>
    <w:rsid w:val="353CCA2E"/>
    <w:rsid w:val="390FE17D"/>
    <w:rsid w:val="3994139F"/>
    <w:rsid w:val="3CC48492"/>
    <w:rsid w:val="3D8BA412"/>
    <w:rsid w:val="3F2157ED"/>
    <w:rsid w:val="3F707E92"/>
    <w:rsid w:val="43B0D2E8"/>
    <w:rsid w:val="43F85A89"/>
    <w:rsid w:val="46C89F88"/>
    <w:rsid w:val="4B9F0F06"/>
    <w:rsid w:val="4E08DA6A"/>
    <w:rsid w:val="4E7E6643"/>
    <w:rsid w:val="501A36A4"/>
    <w:rsid w:val="531F7ABF"/>
    <w:rsid w:val="53FFCE89"/>
    <w:rsid w:val="5509D352"/>
    <w:rsid w:val="559B9EEA"/>
    <w:rsid w:val="5A716432"/>
    <w:rsid w:val="6600703B"/>
    <w:rsid w:val="68C3CF85"/>
    <w:rsid w:val="6DBDC615"/>
    <w:rsid w:val="7285D5FE"/>
    <w:rsid w:val="7565D6B6"/>
    <w:rsid w:val="75C9B77E"/>
    <w:rsid w:val="7D7BCA7E"/>
    <w:rsid w:val="7E94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38029"/>
  <w15:chartTrackingRefBased/>
  <w15:docId w15:val="{C7D36461-20CC-4023-81B8-F19CD449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54C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54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454C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454C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454C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454C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54C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54C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54C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54CD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54CD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454CD"/>
    <w:rPr>
      <w:rFonts w:eastAsiaTheme="majorEastAsia" w:cstheme="majorBidi"/>
      <w:color w:val="0F4761" w:themeColor="accent1" w:themeShade="BF"/>
      <w:sz w:val="28"/>
      <w:szCs w:val="28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454CD"/>
    <w:rPr>
      <w:rFonts w:eastAsiaTheme="majorEastAsia" w:cstheme="majorBidi"/>
      <w:i/>
      <w:iCs/>
      <w:color w:val="0F4761" w:themeColor="accent1" w:themeShade="BF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454CD"/>
    <w:rPr>
      <w:rFonts w:eastAsiaTheme="majorEastAsia" w:cstheme="majorBidi"/>
      <w:color w:val="0F4761" w:themeColor="accent1" w:themeShade="BF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454CD"/>
    <w:rPr>
      <w:rFonts w:eastAsiaTheme="majorEastAsia" w:cstheme="majorBidi"/>
      <w:i/>
      <w:iCs/>
      <w:color w:val="595959" w:themeColor="text1" w:themeTint="A6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54CD"/>
    <w:rPr>
      <w:rFonts w:eastAsiaTheme="majorEastAsia" w:cstheme="majorBidi"/>
      <w:color w:val="595959" w:themeColor="text1" w:themeTint="A6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54CD"/>
    <w:rPr>
      <w:rFonts w:eastAsiaTheme="majorEastAsia" w:cstheme="majorBidi"/>
      <w:i/>
      <w:iCs/>
      <w:color w:val="272727" w:themeColor="text1" w:themeTint="D8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54CD"/>
    <w:rPr>
      <w:rFonts w:eastAsiaTheme="majorEastAsia" w:cstheme="majorBidi"/>
      <w:color w:val="272727" w:themeColor="text1" w:themeTint="D8"/>
      <w:lang w:val="en-US"/>
    </w:rPr>
  </w:style>
  <w:style w:type="paragraph" w:styleId="Tytu">
    <w:name w:val="Title"/>
    <w:basedOn w:val="Normalny"/>
    <w:next w:val="Normalny"/>
    <w:link w:val="TytuZnak"/>
    <w:uiPriority w:val="10"/>
    <w:qFormat/>
    <w:rsid w:val="002454C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454CD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454C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454CD"/>
    <w:rPr>
      <w:rFonts w:eastAsiaTheme="majorEastAsia" w:cstheme="majorBidi"/>
      <w:color w:val="595959" w:themeColor="text1" w:themeTint="A6"/>
      <w:spacing w:val="15"/>
      <w:sz w:val="28"/>
      <w:szCs w:val="28"/>
      <w:lang w:val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2454C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454CD"/>
    <w:rPr>
      <w:i/>
      <w:iCs/>
      <w:color w:val="404040" w:themeColor="text1" w:themeTint="BF"/>
      <w:lang w:val="en-US"/>
    </w:rPr>
  </w:style>
  <w:style w:type="paragraph" w:styleId="Akapitzlist">
    <w:name w:val="List Paragraph"/>
    <w:basedOn w:val="Normalny"/>
    <w:uiPriority w:val="34"/>
    <w:qFormat/>
    <w:rsid w:val="002454C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454C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454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454CD"/>
    <w:rPr>
      <w:i/>
      <w:iCs/>
      <w:color w:val="0F4761" w:themeColor="accent1" w:themeShade="BF"/>
      <w:lang w:val="en-US"/>
    </w:rPr>
  </w:style>
  <w:style w:type="character" w:styleId="Odwoanieintensywne">
    <w:name w:val="Intense Reference"/>
    <w:basedOn w:val="Domylnaczcionkaakapitu"/>
    <w:uiPriority w:val="32"/>
    <w:qFormat/>
    <w:rsid w:val="002454CD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Pr>
      <w:color w:val="467886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11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11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11E2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1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1E2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1E2"/>
    <w:rPr>
      <w:rFonts w:ascii="Segoe UI" w:hAnsi="Segoe UI" w:cs="Segoe UI"/>
      <w:sz w:val="18"/>
      <w:szCs w:val="18"/>
      <w:lang w:val="en-US"/>
    </w:rPr>
  </w:style>
  <w:style w:type="paragraph" w:styleId="Poprawka">
    <w:name w:val="Revision"/>
    <w:hidden/>
    <w:uiPriority w:val="99"/>
    <w:semiHidden/>
    <w:rsid w:val="008C3CEE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urpl.gov.pl/pl/produkty-lecznicze-weterynaryjne/przepisy-rozporz%C4%85dzenia-20196/nadz%C3%B3r-nad-bezpiecze%C5%84stwe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df9066d-f242-4405-9c06-61ab5a2c41c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9A44A33F075D40928E9DF76D2B0761" ma:contentTypeVersion="7" ma:contentTypeDescription="Utwórz nowy dokument." ma:contentTypeScope="" ma:versionID="34a4891fbd8e9ac37efe787a3db41c94">
  <xsd:schema xmlns:xsd="http://www.w3.org/2001/XMLSchema" xmlns:xs="http://www.w3.org/2001/XMLSchema" xmlns:p="http://schemas.microsoft.com/office/2006/metadata/properties" xmlns:ns3="4df9066d-f242-4405-9c06-61ab5a2c41cb" xmlns:ns4="d4703ec5-2aa3-4f29-a680-a0561a7f42e2" targetNamespace="http://schemas.microsoft.com/office/2006/metadata/properties" ma:root="true" ma:fieldsID="f88e2b9d48e154a957addd94f17da165" ns3:_="" ns4:_="">
    <xsd:import namespace="4df9066d-f242-4405-9c06-61ab5a2c41cb"/>
    <xsd:import namespace="d4703ec5-2aa3-4f29-a680-a0561a7f42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9066d-f242-4405-9c06-61ab5a2c4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03ec5-2aa3-4f29-a680-a0561a7f42e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13D32B-C16D-4BB8-8B11-CE42CADA87DE}">
  <ds:schemaRefs>
    <ds:schemaRef ds:uri="http://schemas.microsoft.com/office/2006/metadata/properties"/>
    <ds:schemaRef ds:uri="http://schemas.microsoft.com/office/infopath/2007/PartnerControls"/>
    <ds:schemaRef ds:uri="4df9066d-f242-4405-9c06-61ab5a2c41cb"/>
  </ds:schemaRefs>
</ds:datastoreItem>
</file>

<file path=customXml/itemProps2.xml><?xml version="1.0" encoding="utf-8"?>
<ds:datastoreItem xmlns:ds="http://schemas.openxmlformats.org/officeDocument/2006/customXml" ds:itemID="{F70C0D31-14A1-43F6-AC4C-F723BEA632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12A41A-0D4C-4C27-B3C1-7B5A5A809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9066d-f242-4405-9c06-61ab5a2c41cb"/>
    <ds:schemaRef ds:uri="d4703ec5-2aa3-4f29-a680-a0561a7f4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Matusik</dc:creator>
  <cp:keywords/>
  <dc:description/>
  <cp:lastModifiedBy>Łukasz Matusik</cp:lastModifiedBy>
  <cp:revision>2</cp:revision>
  <dcterms:created xsi:type="dcterms:W3CDTF">2024-01-21T17:01:00Z</dcterms:created>
  <dcterms:modified xsi:type="dcterms:W3CDTF">2024-01-21T17:01:00Z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0x010100F39A44A33F075D40928E9DF76D2B0761</vt:lpwstr>
  </property>
</Properties>
</file>