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6E06F" w14:textId="59D1BC96" w:rsidR="00935AAE" w:rsidRPr="0005147E" w:rsidRDefault="00935AAE" w:rsidP="00935AAE">
      <w:pPr>
        <w:rPr>
          <w:rFonts w:ascii="Verdana" w:hAnsi="Verdana" w:cstheme="minorHAnsi"/>
          <w:b/>
          <w:bCs/>
          <w:sz w:val="28"/>
          <w:szCs w:val="28"/>
        </w:rPr>
      </w:pPr>
      <w:r w:rsidRPr="0005147E">
        <w:rPr>
          <w:rFonts w:ascii="Verdana" w:hAnsi="Verdana" w:cstheme="minorHAnsi"/>
          <w:b/>
          <w:bCs/>
          <w:sz w:val="28"/>
          <w:szCs w:val="28"/>
        </w:rPr>
        <w:t xml:space="preserve">Gdzie w Polsce </w:t>
      </w:r>
      <w:proofErr w:type="spellStart"/>
      <w:r w:rsidRPr="0005147E">
        <w:rPr>
          <w:rFonts w:ascii="Verdana" w:hAnsi="Verdana" w:cstheme="minorHAnsi"/>
          <w:b/>
          <w:bCs/>
          <w:sz w:val="28"/>
          <w:szCs w:val="28"/>
        </w:rPr>
        <w:t>fotowoltaika</w:t>
      </w:r>
      <w:proofErr w:type="spellEnd"/>
      <w:r w:rsidRPr="0005147E">
        <w:rPr>
          <w:rFonts w:ascii="Verdana" w:hAnsi="Verdana" w:cstheme="minorHAnsi"/>
          <w:b/>
          <w:bCs/>
          <w:sz w:val="28"/>
          <w:szCs w:val="28"/>
        </w:rPr>
        <w:t xml:space="preserve"> ma największy potencjał?</w:t>
      </w:r>
    </w:p>
    <w:p w14:paraId="314DE495" w14:textId="77777777" w:rsidR="00935AAE" w:rsidRPr="0005147E" w:rsidRDefault="00935AAE" w:rsidP="00935AAE">
      <w:pPr>
        <w:rPr>
          <w:rFonts w:ascii="Verdana" w:hAnsi="Verdana" w:cstheme="minorHAnsi"/>
          <w:b/>
          <w:bCs/>
          <w:sz w:val="20"/>
          <w:szCs w:val="20"/>
        </w:rPr>
      </w:pPr>
    </w:p>
    <w:p w14:paraId="02826003" w14:textId="294E076A" w:rsidR="00935AAE" w:rsidRPr="0005147E" w:rsidRDefault="002B451C" w:rsidP="002B451C">
      <w:pPr>
        <w:pStyle w:val="Akapitzlist"/>
        <w:numPr>
          <w:ilvl w:val="0"/>
          <w:numId w:val="2"/>
        </w:numPr>
        <w:rPr>
          <w:rFonts w:ascii="Verdana" w:hAnsi="Verdana" w:cstheme="minorHAnsi"/>
          <w:b/>
          <w:bCs/>
          <w:sz w:val="20"/>
          <w:szCs w:val="20"/>
        </w:rPr>
      </w:pPr>
      <w:r w:rsidRPr="0005147E">
        <w:rPr>
          <w:rFonts w:ascii="Verdana" w:hAnsi="Verdana" w:cstheme="minorHAnsi"/>
          <w:b/>
          <w:bCs/>
          <w:sz w:val="20"/>
          <w:szCs w:val="20"/>
        </w:rPr>
        <w:t xml:space="preserve">Polska jest w czołówce krajów UE inwestujących w </w:t>
      </w:r>
      <w:proofErr w:type="spellStart"/>
      <w:r w:rsidRPr="0005147E">
        <w:rPr>
          <w:rFonts w:ascii="Verdana" w:hAnsi="Verdana" w:cstheme="minorHAnsi"/>
          <w:b/>
          <w:bCs/>
          <w:sz w:val="20"/>
          <w:szCs w:val="20"/>
        </w:rPr>
        <w:t>fotowoltaikę</w:t>
      </w:r>
      <w:proofErr w:type="spellEnd"/>
      <w:r w:rsidRPr="0005147E">
        <w:rPr>
          <w:rFonts w:ascii="Verdana" w:hAnsi="Verdana" w:cstheme="minorHAnsi"/>
          <w:b/>
          <w:bCs/>
          <w:sz w:val="20"/>
          <w:szCs w:val="20"/>
        </w:rPr>
        <w:t xml:space="preserve">. W ubiegłym roku pod względem przyrostu mocy zainstalowanej wyprzedziła nawet </w:t>
      </w:r>
      <w:r w:rsidR="00083177" w:rsidRPr="0005147E">
        <w:rPr>
          <w:rFonts w:ascii="Verdana" w:hAnsi="Verdana" w:cstheme="minorHAnsi"/>
          <w:b/>
          <w:bCs/>
          <w:sz w:val="20"/>
          <w:szCs w:val="20"/>
        </w:rPr>
        <w:t xml:space="preserve">słoneczną </w:t>
      </w:r>
      <w:r w:rsidRPr="0005147E">
        <w:rPr>
          <w:rFonts w:ascii="Verdana" w:hAnsi="Verdana" w:cstheme="minorHAnsi"/>
          <w:b/>
          <w:bCs/>
          <w:sz w:val="20"/>
          <w:szCs w:val="20"/>
        </w:rPr>
        <w:t>Hiszpanię</w:t>
      </w:r>
      <w:r w:rsidRPr="0005147E">
        <w:rPr>
          <w:rStyle w:val="Odwoanieprzypisudolnego"/>
          <w:rFonts w:ascii="Verdana" w:hAnsi="Verdana" w:cstheme="minorHAnsi"/>
          <w:b/>
          <w:bCs/>
          <w:sz w:val="20"/>
          <w:szCs w:val="20"/>
        </w:rPr>
        <w:footnoteReference w:id="1"/>
      </w:r>
      <w:r w:rsidRPr="0005147E">
        <w:rPr>
          <w:rFonts w:ascii="Verdana" w:hAnsi="Verdana" w:cstheme="minorHAnsi"/>
          <w:b/>
          <w:bCs/>
          <w:sz w:val="20"/>
          <w:szCs w:val="20"/>
        </w:rPr>
        <w:t>.</w:t>
      </w:r>
    </w:p>
    <w:p w14:paraId="4C1ACD00" w14:textId="15656F43" w:rsidR="002B451C" w:rsidRPr="0005147E" w:rsidRDefault="001A5202" w:rsidP="002B451C">
      <w:pPr>
        <w:pStyle w:val="Akapitzlist"/>
        <w:numPr>
          <w:ilvl w:val="0"/>
          <w:numId w:val="2"/>
        </w:numPr>
        <w:rPr>
          <w:rFonts w:ascii="Verdana" w:hAnsi="Verdana" w:cstheme="minorHAnsi"/>
          <w:b/>
          <w:bCs/>
          <w:sz w:val="20"/>
          <w:szCs w:val="20"/>
        </w:rPr>
      </w:pPr>
      <w:r w:rsidRPr="0005147E">
        <w:rPr>
          <w:rFonts w:ascii="Verdana" w:hAnsi="Verdana" w:cstheme="minorHAnsi"/>
          <w:b/>
          <w:bCs/>
          <w:sz w:val="20"/>
          <w:szCs w:val="20"/>
        </w:rPr>
        <w:t xml:space="preserve">Potencjał </w:t>
      </w:r>
      <w:r w:rsidR="00A72C67" w:rsidRPr="0005147E">
        <w:rPr>
          <w:rFonts w:ascii="Verdana" w:hAnsi="Verdana" w:cstheme="minorHAnsi"/>
          <w:b/>
          <w:bCs/>
          <w:sz w:val="20"/>
          <w:szCs w:val="20"/>
        </w:rPr>
        <w:t xml:space="preserve">pozyskiwania energii słonecznej </w:t>
      </w:r>
      <w:r w:rsidR="00083177" w:rsidRPr="0005147E">
        <w:rPr>
          <w:rFonts w:ascii="Verdana" w:hAnsi="Verdana" w:cstheme="minorHAnsi"/>
          <w:b/>
          <w:bCs/>
          <w:sz w:val="20"/>
          <w:szCs w:val="20"/>
        </w:rPr>
        <w:t xml:space="preserve">w </w:t>
      </w:r>
      <w:r w:rsidR="00A513A0" w:rsidRPr="0005147E">
        <w:rPr>
          <w:rFonts w:ascii="Verdana" w:hAnsi="Verdana" w:cstheme="minorHAnsi"/>
          <w:b/>
          <w:bCs/>
          <w:sz w:val="20"/>
          <w:szCs w:val="20"/>
        </w:rPr>
        <w:t>dużej mierze</w:t>
      </w:r>
      <w:r w:rsidR="00083177" w:rsidRPr="0005147E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A72C67" w:rsidRPr="0005147E">
        <w:rPr>
          <w:rFonts w:ascii="Verdana" w:hAnsi="Verdana" w:cstheme="minorHAnsi"/>
          <w:b/>
          <w:bCs/>
          <w:sz w:val="20"/>
          <w:szCs w:val="20"/>
        </w:rPr>
        <w:t>zależy</w:t>
      </w:r>
      <w:r w:rsidR="00083177" w:rsidRPr="0005147E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7A4F08" w:rsidRPr="0005147E">
        <w:rPr>
          <w:rFonts w:ascii="Verdana" w:hAnsi="Verdana" w:cstheme="minorHAnsi"/>
          <w:b/>
          <w:bCs/>
          <w:sz w:val="20"/>
          <w:szCs w:val="20"/>
        </w:rPr>
        <w:t xml:space="preserve">od </w:t>
      </w:r>
      <w:r w:rsidR="00A72C67" w:rsidRPr="0005147E">
        <w:rPr>
          <w:rFonts w:ascii="Verdana" w:hAnsi="Verdana" w:cstheme="minorHAnsi"/>
          <w:b/>
          <w:bCs/>
          <w:sz w:val="20"/>
          <w:szCs w:val="20"/>
        </w:rPr>
        <w:t>stopnia nasłonecznienia danego terenu</w:t>
      </w:r>
      <w:r w:rsidR="007A4F08" w:rsidRPr="0005147E">
        <w:rPr>
          <w:rFonts w:ascii="Verdana" w:hAnsi="Verdana" w:cstheme="minorHAnsi"/>
          <w:b/>
          <w:bCs/>
          <w:sz w:val="20"/>
          <w:szCs w:val="20"/>
        </w:rPr>
        <w:t>. W kraju wyróżnia</w:t>
      </w:r>
      <w:r w:rsidR="003652BE">
        <w:rPr>
          <w:rFonts w:ascii="Verdana" w:hAnsi="Verdana" w:cstheme="minorHAnsi"/>
          <w:b/>
          <w:bCs/>
          <w:sz w:val="20"/>
          <w:szCs w:val="20"/>
        </w:rPr>
        <w:t>ją</w:t>
      </w:r>
      <w:r w:rsidR="007A4F08" w:rsidRPr="0005147E">
        <w:rPr>
          <w:rFonts w:ascii="Verdana" w:hAnsi="Verdana" w:cstheme="minorHAnsi"/>
          <w:b/>
          <w:bCs/>
          <w:sz w:val="20"/>
          <w:szCs w:val="20"/>
        </w:rPr>
        <w:t xml:space="preserve"> się na tym polu woj</w:t>
      </w:r>
      <w:r w:rsidR="006A7914">
        <w:rPr>
          <w:rFonts w:ascii="Verdana" w:hAnsi="Verdana" w:cstheme="minorHAnsi"/>
          <w:b/>
          <w:bCs/>
          <w:sz w:val="20"/>
          <w:szCs w:val="20"/>
        </w:rPr>
        <w:t>ewództwa:</w:t>
      </w:r>
      <w:r w:rsidR="007A4F08" w:rsidRPr="0005147E">
        <w:rPr>
          <w:rFonts w:ascii="Verdana" w:hAnsi="Verdana" w:cstheme="minorHAnsi"/>
          <w:b/>
          <w:bCs/>
          <w:sz w:val="20"/>
          <w:szCs w:val="20"/>
        </w:rPr>
        <w:t xml:space="preserve"> lubelskie, podkarpackie, </w:t>
      </w:r>
      <w:r w:rsidR="00825ECB" w:rsidRPr="0005147E">
        <w:rPr>
          <w:rFonts w:ascii="Verdana" w:hAnsi="Verdana" w:cstheme="minorHAnsi"/>
          <w:b/>
          <w:bCs/>
          <w:sz w:val="20"/>
          <w:szCs w:val="20"/>
        </w:rPr>
        <w:t xml:space="preserve">małopolskie, opolskie, dolnośląskie i </w:t>
      </w:r>
      <w:r w:rsidR="00481B04">
        <w:rPr>
          <w:rFonts w:ascii="Verdana" w:hAnsi="Verdana" w:cstheme="minorHAnsi"/>
          <w:b/>
          <w:bCs/>
          <w:sz w:val="20"/>
          <w:szCs w:val="20"/>
        </w:rPr>
        <w:t>świętokrzyskie</w:t>
      </w:r>
      <w:r w:rsidR="00825ECB" w:rsidRPr="0005147E">
        <w:rPr>
          <w:rFonts w:ascii="Verdana" w:hAnsi="Verdana" w:cstheme="minorHAnsi"/>
          <w:b/>
          <w:bCs/>
          <w:sz w:val="20"/>
          <w:szCs w:val="20"/>
        </w:rPr>
        <w:t>.</w:t>
      </w:r>
    </w:p>
    <w:p w14:paraId="57C288C7" w14:textId="317048F2" w:rsidR="00083177" w:rsidRPr="0005147E" w:rsidRDefault="00FF56B9" w:rsidP="00083177">
      <w:pPr>
        <w:pStyle w:val="Akapitzlist"/>
        <w:numPr>
          <w:ilvl w:val="0"/>
          <w:numId w:val="2"/>
        </w:numPr>
        <w:rPr>
          <w:rFonts w:ascii="Verdana" w:hAnsi="Verdana" w:cstheme="minorHAnsi"/>
          <w:b/>
          <w:bCs/>
          <w:sz w:val="20"/>
          <w:szCs w:val="20"/>
        </w:rPr>
      </w:pPr>
      <w:r w:rsidRPr="0005147E">
        <w:rPr>
          <w:rFonts w:ascii="Verdana" w:hAnsi="Verdana" w:cstheme="minorHAnsi"/>
          <w:b/>
          <w:bCs/>
          <w:sz w:val="20"/>
          <w:szCs w:val="20"/>
        </w:rPr>
        <w:t xml:space="preserve">Moc zainstalowana z PV </w:t>
      </w:r>
      <w:r w:rsidR="0024645B">
        <w:rPr>
          <w:rFonts w:ascii="Verdana" w:hAnsi="Verdana" w:cstheme="minorHAnsi"/>
          <w:b/>
          <w:bCs/>
          <w:sz w:val="20"/>
          <w:szCs w:val="20"/>
        </w:rPr>
        <w:t xml:space="preserve">w </w:t>
      </w:r>
      <w:r w:rsidRPr="0005147E">
        <w:rPr>
          <w:rFonts w:ascii="Verdana" w:hAnsi="Verdana" w:cstheme="minorHAnsi"/>
          <w:b/>
          <w:bCs/>
          <w:sz w:val="20"/>
          <w:szCs w:val="20"/>
        </w:rPr>
        <w:t xml:space="preserve">Małopolsce </w:t>
      </w:r>
      <w:r w:rsidR="0024645B">
        <w:rPr>
          <w:rFonts w:ascii="Verdana" w:hAnsi="Verdana" w:cstheme="minorHAnsi"/>
          <w:b/>
          <w:bCs/>
          <w:sz w:val="20"/>
          <w:szCs w:val="20"/>
        </w:rPr>
        <w:t xml:space="preserve">czy na Opolszczyźnie </w:t>
      </w:r>
      <w:r w:rsidRPr="0005147E">
        <w:rPr>
          <w:rFonts w:ascii="Verdana" w:hAnsi="Verdana" w:cstheme="minorHAnsi"/>
          <w:b/>
          <w:bCs/>
          <w:sz w:val="20"/>
          <w:szCs w:val="20"/>
        </w:rPr>
        <w:t xml:space="preserve">jest jednak stosunkowo niska. </w:t>
      </w:r>
      <w:r w:rsidR="00825ECB" w:rsidRPr="0005147E">
        <w:rPr>
          <w:rFonts w:ascii="Verdana" w:hAnsi="Verdana" w:cstheme="minorHAnsi"/>
          <w:b/>
          <w:bCs/>
          <w:sz w:val="20"/>
          <w:szCs w:val="20"/>
        </w:rPr>
        <w:t xml:space="preserve">Na decyzję o wybudowaniu farmy fotowoltaicznej wpływają </w:t>
      </w:r>
      <w:r w:rsidRPr="0005147E">
        <w:rPr>
          <w:rFonts w:ascii="Verdana" w:hAnsi="Verdana" w:cstheme="minorHAnsi"/>
          <w:b/>
          <w:bCs/>
          <w:sz w:val="20"/>
          <w:szCs w:val="20"/>
        </w:rPr>
        <w:t xml:space="preserve">bowiem </w:t>
      </w:r>
      <w:r w:rsidR="00825ECB" w:rsidRPr="0005147E">
        <w:rPr>
          <w:rFonts w:ascii="Verdana" w:hAnsi="Verdana" w:cstheme="minorHAnsi"/>
          <w:b/>
          <w:bCs/>
          <w:sz w:val="20"/>
          <w:szCs w:val="20"/>
        </w:rPr>
        <w:t xml:space="preserve">także inne czynniki, jak klasa bonitacyjna </w:t>
      </w:r>
      <w:r w:rsidR="004970DB">
        <w:rPr>
          <w:rFonts w:ascii="Verdana" w:hAnsi="Verdana" w:cstheme="minorHAnsi"/>
          <w:b/>
          <w:bCs/>
          <w:sz w:val="20"/>
          <w:szCs w:val="20"/>
        </w:rPr>
        <w:t>gleby</w:t>
      </w:r>
      <w:r w:rsidR="00083177" w:rsidRPr="0005147E">
        <w:rPr>
          <w:rFonts w:ascii="Verdana" w:hAnsi="Verdana" w:cstheme="minorHAnsi"/>
          <w:b/>
          <w:bCs/>
          <w:sz w:val="20"/>
          <w:szCs w:val="20"/>
        </w:rPr>
        <w:t xml:space="preserve">, </w:t>
      </w:r>
      <w:r w:rsidR="00825ECB" w:rsidRPr="0005147E">
        <w:rPr>
          <w:rFonts w:ascii="Verdana" w:hAnsi="Verdana" w:cstheme="minorHAnsi"/>
          <w:b/>
          <w:bCs/>
          <w:sz w:val="20"/>
          <w:szCs w:val="20"/>
        </w:rPr>
        <w:t>obecność obszarów chronionych</w:t>
      </w:r>
      <w:r w:rsidR="00083177" w:rsidRPr="0005147E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Pr="0005147E">
        <w:rPr>
          <w:rFonts w:ascii="Verdana" w:hAnsi="Verdana" w:cstheme="minorHAnsi"/>
          <w:b/>
          <w:bCs/>
          <w:sz w:val="20"/>
          <w:szCs w:val="20"/>
        </w:rPr>
        <w:t xml:space="preserve">oraz </w:t>
      </w:r>
      <w:r w:rsidR="00083177" w:rsidRPr="0005147E">
        <w:rPr>
          <w:rFonts w:ascii="Verdana" w:hAnsi="Verdana" w:cstheme="minorHAnsi"/>
          <w:b/>
          <w:bCs/>
          <w:sz w:val="20"/>
          <w:szCs w:val="20"/>
        </w:rPr>
        <w:t xml:space="preserve">odległość od </w:t>
      </w:r>
      <w:r w:rsidR="004D7073">
        <w:rPr>
          <w:rFonts w:ascii="Verdana" w:hAnsi="Verdana" w:cstheme="minorHAnsi"/>
          <w:b/>
          <w:bCs/>
          <w:sz w:val="20"/>
          <w:szCs w:val="20"/>
        </w:rPr>
        <w:t>głównego punktu zasila</w:t>
      </w:r>
      <w:r w:rsidR="006A7914">
        <w:rPr>
          <w:rFonts w:ascii="Verdana" w:hAnsi="Verdana" w:cstheme="minorHAnsi"/>
          <w:b/>
          <w:bCs/>
          <w:sz w:val="20"/>
          <w:szCs w:val="20"/>
        </w:rPr>
        <w:t>nia</w:t>
      </w:r>
      <w:r w:rsidR="004D7073">
        <w:rPr>
          <w:rFonts w:ascii="Verdana" w:hAnsi="Verdana" w:cstheme="minorHAnsi"/>
          <w:b/>
          <w:bCs/>
          <w:sz w:val="20"/>
          <w:szCs w:val="20"/>
        </w:rPr>
        <w:t xml:space="preserve"> (</w:t>
      </w:r>
      <w:r w:rsidR="00083177" w:rsidRPr="0005147E">
        <w:rPr>
          <w:rFonts w:ascii="Verdana" w:hAnsi="Verdana" w:cstheme="minorHAnsi"/>
          <w:b/>
          <w:bCs/>
          <w:sz w:val="20"/>
          <w:szCs w:val="20"/>
        </w:rPr>
        <w:t>GPZ</w:t>
      </w:r>
      <w:r w:rsidR="004D7073">
        <w:rPr>
          <w:rFonts w:ascii="Verdana" w:hAnsi="Verdana" w:cstheme="minorHAnsi"/>
          <w:b/>
          <w:bCs/>
          <w:sz w:val="20"/>
          <w:szCs w:val="20"/>
        </w:rPr>
        <w:t>)</w:t>
      </w:r>
      <w:r w:rsidR="00083177" w:rsidRPr="0005147E">
        <w:rPr>
          <w:rFonts w:ascii="Verdana" w:hAnsi="Verdana" w:cstheme="minorHAnsi"/>
          <w:b/>
          <w:bCs/>
          <w:sz w:val="20"/>
          <w:szCs w:val="20"/>
        </w:rPr>
        <w:t>.</w:t>
      </w:r>
    </w:p>
    <w:p w14:paraId="7D3FC7C6" w14:textId="77777777" w:rsidR="00FF56B9" w:rsidRPr="0005147E" w:rsidRDefault="00FF56B9" w:rsidP="00FF56B9">
      <w:pPr>
        <w:rPr>
          <w:rFonts w:ascii="Verdana" w:hAnsi="Verdana" w:cstheme="minorHAnsi"/>
          <w:b/>
          <w:bCs/>
          <w:sz w:val="20"/>
          <w:szCs w:val="20"/>
        </w:rPr>
      </w:pPr>
    </w:p>
    <w:p w14:paraId="3AA83D50" w14:textId="0047A44D" w:rsidR="002A5ACC" w:rsidRPr="00324AA9" w:rsidRDefault="00975BF8" w:rsidP="00FF56B9">
      <w:pPr>
        <w:rPr>
          <w:rFonts w:ascii="Verdana" w:hAnsi="Verdana" w:cstheme="minorHAnsi"/>
          <w:sz w:val="20"/>
          <w:szCs w:val="20"/>
        </w:rPr>
      </w:pPr>
      <w:r w:rsidRPr="0005147E">
        <w:rPr>
          <w:rFonts w:ascii="Verdana" w:hAnsi="Verdana" w:cstheme="minorHAnsi"/>
          <w:sz w:val="20"/>
          <w:szCs w:val="20"/>
        </w:rPr>
        <w:t>Już 1/5 całkowitej produkcji energii elektrycznej w Polsce pochodzi ze źródeł</w:t>
      </w:r>
      <w:r w:rsidR="0087709F" w:rsidRPr="00722C81">
        <w:rPr>
          <w:rFonts w:ascii="Verdana" w:hAnsi="Verdana" w:cstheme="minorHAnsi"/>
          <w:sz w:val="20"/>
          <w:szCs w:val="20"/>
        </w:rPr>
        <w:t xml:space="preserve"> </w:t>
      </w:r>
      <w:r w:rsidRPr="00324AA9">
        <w:rPr>
          <w:rFonts w:ascii="Verdana" w:hAnsi="Verdana" w:cstheme="minorHAnsi"/>
          <w:sz w:val="20"/>
          <w:szCs w:val="20"/>
        </w:rPr>
        <w:t xml:space="preserve">odnawialnych. </w:t>
      </w:r>
      <w:r w:rsidR="00B65CF0" w:rsidRPr="00324AA9">
        <w:rPr>
          <w:rFonts w:ascii="Verdana" w:hAnsi="Verdana" w:cstheme="minorHAnsi"/>
          <w:sz w:val="20"/>
          <w:szCs w:val="20"/>
        </w:rPr>
        <w:t xml:space="preserve">Ponad 37 proc. mocy zainstalowanej w krajowym </w:t>
      </w:r>
      <w:proofErr w:type="spellStart"/>
      <w:r w:rsidR="00B65CF0" w:rsidRPr="00324AA9">
        <w:rPr>
          <w:rFonts w:ascii="Verdana" w:hAnsi="Verdana" w:cstheme="minorHAnsi"/>
          <w:sz w:val="20"/>
          <w:szCs w:val="20"/>
        </w:rPr>
        <w:t>miksie</w:t>
      </w:r>
      <w:proofErr w:type="spellEnd"/>
      <w:r w:rsidR="00B65CF0" w:rsidRPr="00324AA9">
        <w:rPr>
          <w:rFonts w:ascii="Verdana" w:hAnsi="Verdana" w:cstheme="minorHAnsi"/>
          <w:sz w:val="20"/>
          <w:szCs w:val="20"/>
        </w:rPr>
        <w:t xml:space="preserve"> energetycznym stanowią OZE, z czego większość zapewnia</w:t>
      </w:r>
      <w:r w:rsidRPr="00324AA9">
        <w:rPr>
          <w:rFonts w:ascii="Verdana" w:hAnsi="Verdana" w:cstheme="minorHAnsi"/>
          <w:sz w:val="20"/>
          <w:szCs w:val="20"/>
        </w:rPr>
        <w:t xml:space="preserve"> </w:t>
      </w:r>
      <w:proofErr w:type="spellStart"/>
      <w:r w:rsidRPr="00324AA9">
        <w:rPr>
          <w:rFonts w:ascii="Verdana" w:hAnsi="Verdana" w:cstheme="minorHAnsi"/>
          <w:sz w:val="20"/>
          <w:szCs w:val="20"/>
        </w:rPr>
        <w:t>fotowoltaika</w:t>
      </w:r>
      <w:proofErr w:type="spellEnd"/>
      <w:r w:rsidRPr="00324AA9">
        <w:rPr>
          <w:rFonts w:ascii="Verdana" w:hAnsi="Verdana" w:cstheme="minorHAnsi"/>
          <w:sz w:val="20"/>
          <w:szCs w:val="20"/>
        </w:rPr>
        <w:t>. Na koniec sierpnia 2023 r. 15 GW</w:t>
      </w:r>
      <w:r w:rsidR="00B65CF0" w:rsidRPr="00324AA9">
        <w:rPr>
          <w:rFonts w:ascii="Verdana" w:hAnsi="Verdana" w:cstheme="minorHAnsi"/>
          <w:sz w:val="20"/>
          <w:szCs w:val="20"/>
        </w:rPr>
        <w:t xml:space="preserve"> </w:t>
      </w:r>
      <w:r w:rsidR="009D5B32" w:rsidRPr="00324AA9">
        <w:rPr>
          <w:rFonts w:ascii="Verdana" w:hAnsi="Verdana" w:cstheme="minorHAnsi"/>
          <w:sz w:val="20"/>
          <w:szCs w:val="20"/>
        </w:rPr>
        <w:t>dostarczyła</w:t>
      </w:r>
      <w:r w:rsidR="00B65CF0" w:rsidRPr="00324AA9">
        <w:rPr>
          <w:rFonts w:ascii="Verdana" w:hAnsi="Verdana" w:cstheme="minorHAnsi"/>
          <w:sz w:val="20"/>
          <w:szCs w:val="20"/>
        </w:rPr>
        <w:t xml:space="preserve"> właśnie energia ze słońca. </w:t>
      </w:r>
      <w:r w:rsidR="005D5056" w:rsidRPr="00324AA9">
        <w:rPr>
          <w:rFonts w:ascii="Verdana" w:hAnsi="Verdana" w:cstheme="minorHAnsi"/>
          <w:sz w:val="20"/>
          <w:szCs w:val="20"/>
        </w:rPr>
        <w:t>Polska</w:t>
      </w:r>
      <w:r w:rsidR="00D45243" w:rsidRPr="0005147E">
        <w:rPr>
          <w:rFonts w:ascii="Verdana" w:hAnsi="Verdana" w:cstheme="minorHAnsi"/>
          <w:sz w:val="20"/>
          <w:szCs w:val="20"/>
        </w:rPr>
        <w:t xml:space="preserve"> </w:t>
      </w:r>
      <w:r w:rsidR="00B65CF0" w:rsidRPr="009A099E">
        <w:rPr>
          <w:rFonts w:ascii="Verdana" w:hAnsi="Verdana" w:cstheme="minorHAnsi"/>
          <w:sz w:val="20"/>
          <w:szCs w:val="20"/>
        </w:rPr>
        <w:t xml:space="preserve">wyprzedza </w:t>
      </w:r>
      <w:r w:rsidR="005D5056" w:rsidRPr="009A099E">
        <w:rPr>
          <w:rFonts w:ascii="Verdana" w:hAnsi="Verdana" w:cstheme="minorHAnsi"/>
          <w:sz w:val="20"/>
          <w:szCs w:val="20"/>
        </w:rPr>
        <w:t xml:space="preserve">pod tym względem </w:t>
      </w:r>
      <w:r w:rsidR="009D5B32" w:rsidRPr="009A099E">
        <w:rPr>
          <w:rFonts w:ascii="Verdana" w:hAnsi="Verdana" w:cstheme="minorHAnsi"/>
          <w:sz w:val="20"/>
          <w:szCs w:val="20"/>
        </w:rPr>
        <w:t xml:space="preserve">także </w:t>
      </w:r>
      <w:r w:rsidR="00B65CF0" w:rsidRPr="009A099E">
        <w:rPr>
          <w:rFonts w:ascii="Verdana" w:hAnsi="Verdana" w:cstheme="minorHAnsi"/>
          <w:sz w:val="20"/>
          <w:szCs w:val="20"/>
        </w:rPr>
        <w:t xml:space="preserve">wiele państw </w:t>
      </w:r>
      <w:r w:rsidR="009D5B32" w:rsidRPr="009A099E">
        <w:rPr>
          <w:rFonts w:ascii="Verdana" w:hAnsi="Verdana" w:cstheme="minorHAnsi"/>
          <w:sz w:val="20"/>
          <w:szCs w:val="20"/>
        </w:rPr>
        <w:t>Unii Europejskiej. Jak wynika z raportu IEO</w:t>
      </w:r>
      <w:r w:rsidR="008804E0">
        <w:rPr>
          <w:rStyle w:val="Odwoanieprzypisudolnego"/>
          <w:rFonts w:ascii="Verdana" w:hAnsi="Verdana" w:cstheme="minorHAnsi"/>
          <w:sz w:val="20"/>
          <w:szCs w:val="20"/>
        </w:rPr>
        <w:footnoteReference w:id="2"/>
      </w:r>
      <w:r w:rsidR="009D5B32" w:rsidRPr="009A099E">
        <w:rPr>
          <w:rFonts w:ascii="Verdana" w:hAnsi="Verdana" w:cstheme="minorHAnsi"/>
          <w:sz w:val="20"/>
          <w:szCs w:val="20"/>
        </w:rPr>
        <w:t>, w ubiegłym roku mogliśmy pochwalić się jednym z największych przyrostów mocy zainstalowanej, ustępując jedynie Niemcom, a wyprzedzając m.in. charakteryzujące się przecież</w:t>
      </w:r>
      <w:r w:rsidR="009D5B32" w:rsidRPr="0005147E">
        <w:rPr>
          <w:rFonts w:ascii="Verdana" w:hAnsi="Verdana" w:cstheme="minorHAnsi"/>
          <w:sz w:val="20"/>
          <w:szCs w:val="20"/>
        </w:rPr>
        <w:t xml:space="preserve"> dużym nasłonecznieniem </w:t>
      </w:r>
      <w:r w:rsidR="0087709F" w:rsidRPr="00722C81">
        <w:rPr>
          <w:rFonts w:ascii="Verdana" w:hAnsi="Verdana" w:cstheme="minorHAnsi"/>
          <w:sz w:val="20"/>
          <w:szCs w:val="20"/>
        </w:rPr>
        <w:t>–</w:t>
      </w:r>
      <w:r w:rsidR="009D5B32" w:rsidRPr="00324AA9">
        <w:rPr>
          <w:rFonts w:ascii="Verdana" w:hAnsi="Verdana" w:cstheme="minorHAnsi"/>
          <w:sz w:val="20"/>
          <w:szCs w:val="20"/>
        </w:rPr>
        <w:t xml:space="preserve"> Włochy czy Hiszpanię. </w:t>
      </w:r>
      <w:r w:rsidR="002A5ACC" w:rsidRPr="00324AA9">
        <w:rPr>
          <w:rFonts w:ascii="Verdana" w:hAnsi="Verdana" w:cstheme="minorHAnsi"/>
          <w:sz w:val="20"/>
          <w:szCs w:val="20"/>
        </w:rPr>
        <w:t>Jak się okazuje, p</w:t>
      </w:r>
      <w:r w:rsidR="001C65B5" w:rsidRPr="00324AA9">
        <w:rPr>
          <w:rFonts w:ascii="Verdana" w:hAnsi="Verdana" w:cstheme="minorHAnsi"/>
          <w:sz w:val="20"/>
          <w:szCs w:val="20"/>
        </w:rPr>
        <w:t xml:space="preserve">oszczególne regiony Polski w różnym stopniu przyczyniły się do tego wyniku. </w:t>
      </w:r>
    </w:p>
    <w:p w14:paraId="751839B9" w14:textId="77777777" w:rsidR="002A5ACC" w:rsidRPr="00324AA9" w:rsidRDefault="002A5ACC" w:rsidP="00FF56B9">
      <w:pPr>
        <w:rPr>
          <w:rFonts w:ascii="Verdana" w:hAnsi="Verdana" w:cstheme="minorHAnsi"/>
          <w:sz w:val="20"/>
          <w:szCs w:val="20"/>
        </w:rPr>
      </w:pPr>
    </w:p>
    <w:p w14:paraId="1A771B5F" w14:textId="23A071C8" w:rsidR="00EE0364" w:rsidRDefault="002A5ACC" w:rsidP="00FF56B9">
      <w:pPr>
        <w:rPr>
          <w:rFonts w:ascii="Verdana" w:hAnsi="Verdana" w:cstheme="minorHAnsi"/>
          <w:b/>
          <w:bCs/>
          <w:sz w:val="20"/>
          <w:szCs w:val="20"/>
        </w:rPr>
      </w:pPr>
      <w:r w:rsidRPr="00324AA9">
        <w:rPr>
          <w:rFonts w:ascii="Verdana" w:hAnsi="Verdana" w:cstheme="minorHAnsi"/>
          <w:b/>
          <w:bCs/>
          <w:sz w:val="20"/>
          <w:szCs w:val="20"/>
        </w:rPr>
        <w:t xml:space="preserve">Południe Polski </w:t>
      </w:r>
      <w:r w:rsidR="00D34C94" w:rsidRPr="00324AA9">
        <w:rPr>
          <w:rFonts w:ascii="Verdana" w:hAnsi="Verdana" w:cstheme="minorHAnsi"/>
          <w:b/>
          <w:bCs/>
          <w:sz w:val="20"/>
          <w:szCs w:val="20"/>
        </w:rPr>
        <w:t>z największym nasłonecznieniem</w:t>
      </w:r>
    </w:p>
    <w:p w14:paraId="24BBDCBB" w14:textId="0978321F" w:rsidR="00372281" w:rsidRPr="00324AA9" w:rsidRDefault="00372281" w:rsidP="00FF56B9">
      <w:pPr>
        <w:rPr>
          <w:rFonts w:ascii="Verdana" w:hAnsi="Verdana" w:cstheme="minorHAnsi"/>
          <w:b/>
          <w:bCs/>
          <w:sz w:val="20"/>
          <w:szCs w:val="20"/>
        </w:rPr>
      </w:pPr>
    </w:p>
    <w:p w14:paraId="26C95F5F" w14:textId="63277972" w:rsidR="00D9216E" w:rsidRPr="00324AA9" w:rsidRDefault="00C159CE" w:rsidP="00FF56B9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b/>
          <w:bCs/>
          <w:noProof/>
          <w:sz w:val="20"/>
          <w:szCs w:val="20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32AA911C" wp14:editId="2EDECC6A">
            <wp:simplePos x="0" y="0"/>
            <wp:positionH relativeFrom="column">
              <wp:posOffset>3115310</wp:posOffset>
            </wp:positionH>
            <wp:positionV relativeFrom="paragraph">
              <wp:posOffset>13123</wp:posOffset>
            </wp:positionV>
            <wp:extent cx="2743200" cy="3276600"/>
            <wp:effectExtent l="0" t="0" r="0" b="0"/>
            <wp:wrapSquare wrapText="bothSides"/>
            <wp:docPr id="351775433" name="Obraz 1" descr="Obraz zawierający tekst, mapa, atlas,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1775433" name="Obraz 1" descr="Obraz zawierający tekst, mapa, atlas, zrzut ekranu&#10;&#10;Opis wygenerowany automatyczn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E66" w:rsidRPr="00324AA9">
        <w:rPr>
          <w:rFonts w:ascii="Verdana" w:hAnsi="Verdana" w:cstheme="minorHAnsi"/>
          <w:sz w:val="20"/>
          <w:szCs w:val="20"/>
        </w:rPr>
        <w:t xml:space="preserve">Lubelszczyzna, Podkarpacie, Małopolska, a także woj. opolskie, dolnośląskie i </w:t>
      </w:r>
      <w:r w:rsidR="009A099E">
        <w:rPr>
          <w:rFonts w:ascii="Verdana" w:hAnsi="Verdana" w:cstheme="minorHAnsi"/>
          <w:sz w:val="20"/>
          <w:szCs w:val="20"/>
        </w:rPr>
        <w:t>świętokrzyskie</w:t>
      </w:r>
      <w:r w:rsidR="009A099E" w:rsidRPr="00324AA9">
        <w:rPr>
          <w:rFonts w:ascii="Verdana" w:hAnsi="Verdana" w:cstheme="minorHAnsi"/>
          <w:sz w:val="20"/>
          <w:szCs w:val="20"/>
        </w:rPr>
        <w:t xml:space="preserve"> </w:t>
      </w:r>
      <w:r w:rsidR="00DA7E66" w:rsidRPr="00324AA9">
        <w:rPr>
          <w:rFonts w:ascii="Verdana" w:hAnsi="Verdana" w:cstheme="minorHAnsi"/>
          <w:sz w:val="20"/>
          <w:szCs w:val="20"/>
        </w:rPr>
        <w:t>– te rejony najbardziej wyróżniają się na mapie</w:t>
      </w:r>
      <w:r w:rsidR="00D9216E" w:rsidRPr="00324AA9">
        <w:rPr>
          <w:rFonts w:ascii="Verdana" w:hAnsi="Verdana" w:cstheme="minorHAnsi"/>
          <w:sz w:val="20"/>
          <w:szCs w:val="20"/>
        </w:rPr>
        <w:t xml:space="preserve"> potencjału fotowoltaicznego Polski</w:t>
      </w:r>
      <w:r w:rsidR="00DA7E66" w:rsidRPr="00324AA9">
        <w:rPr>
          <w:rFonts w:ascii="Verdana" w:hAnsi="Verdana" w:cstheme="minorHAnsi"/>
          <w:sz w:val="20"/>
          <w:szCs w:val="20"/>
        </w:rPr>
        <w:t xml:space="preserve">, </w:t>
      </w:r>
      <w:r w:rsidR="00D9216E" w:rsidRPr="00324AA9">
        <w:rPr>
          <w:rFonts w:ascii="Verdana" w:hAnsi="Verdana" w:cstheme="minorHAnsi"/>
          <w:sz w:val="20"/>
          <w:szCs w:val="20"/>
        </w:rPr>
        <w:t>udostępnion</w:t>
      </w:r>
      <w:r w:rsidR="00DA7E66" w:rsidRPr="00324AA9">
        <w:rPr>
          <w:rFonts w:ascii="Verdana" w:hAnsi="Verdana" w:cstheme="minorHAnsi"/>
          <w:sz w:val="20"/>
          <w:szCs w:val="20"/>
        </w:rPr>
        <w:t>ej</w:t>
      </w:r>
      <w:r w:rsidR="00D9216E" w:rsidRPr="00324AA9">
        <w:rPr>
          <w:rFonts w:ascii="Verdana" w:hAnsi="Verdana" w:cstheme="minorHAnsi"/>
          <w:sz w:val="20"/>
          <w:szCs w:val="20"/>
        </w:rPr>
        <w:t xml:space="preserve"> przez Bank Światowy</w:t>
      </w:r>
      <w:r w:rsidR="00DA7E66" w:rsidRPr="00324AA9">
        <w:rPr>
          <w:rFonts w:ascii="Verdana" w:hAnsi="Verdana" w:cstheme="minorHAnsi"/>
          <w:sz w:val="20"/>
          <w:szCs w:val="20"/>
        </w:rPr>
        <w:t xml:space="preserve">. Na drugim biegunie znalazły się woj. zachodniopomorskie, lubuskie, </w:t>
      </w:r>
      <w:r w:rsidR="009F12BD">
        <w:rPr>
          <w:rFonts w:ascii="Verdana" w:hAnsi="Verdana" w:cstheme="minorHAnsi"/>
          <w:sz w:val="20"/>
          <w:szCs w:val="20"/>
        </w:rPr>
        <w:t xml:space="preserve">warmińsko-mazurskie, </w:t>
      </w:r>
      <w:r w:rsidR="00DA7E66" w:rsidRPr="00324AA9">
        <w:rPr>
          <w:rFonts w:ascii="Verdana" w:hAnsi="Verdana" w:cstheme="minorHAnsi"/>
          <w:sz w:val="20"/>
          <w:szCs w:val="20"/>
        </w:rPr>
        <w:t xml:space="preserve">Pomorze i Podlasie. </w:t>
      </w:r>
      <w:r w:rsidR="00D622E0">
        <w:rPr>
          <w:rFonts w:ascii="Verdana" w:hAnsi="Verdana" w:cstheme="minorHAnsi"/>
          <w:sz w:val="20"/>
          <w:szCs w:val="20"/>
        </w:rPr>
        <w:t>Przygotowując mapę, wzięto</w:t>
      </w:r>
      <w:r w:rsidR="00DA7E66" w:rsidRPr="00324AA9">
        <w:rPr>
          <w:rFonts w:ascii="Verdana" w:hAnsi="Verdana" w:cstheme="minorHAnsi"/>
          <w:sz w:val="20"/>
          <w:szCs w:val="20"/>
        </w:rPr>
        <w:t xml:space="preserve"> pod uwagę </w:t>
      </w:r>
      <w:r w:rsidR="00D42E7C">
        <w:rPr>
          <w:rFonts w:ascii="Verdana" w:hAnsi="Verdana" w:cstheme="minorHAnsi"/>
          <w:sz w:val="20"/>
          <w:szCs w:val="20"/>
        </w:rPr>
        <w:t xml:space="preserve">tylko </w:t>
      </w:r>
      <w:r w:rsidR="00DA7E66" w:rsidRPr="00324AA9">
        <w:rPr>
          <w:rFonts w:ascii="Verdana" w:hAnsi="Verdana" w:cstheme="minorHAnsi"/>
          <w:sz w:val="20"/>
          <w:szCs w:val="20"/>
        </w:rPr>
        <w:t>jeden czynnik, który, jak mogłoby się wydawać, ma kluczowe znaczenie przy ustalaniu perspektyw dla inwestycji w PV – nasłonecznienie.</w:t>
      </w:r>
    </w:p>
    <w:p w14:paraId="66990F6D" w14:textId="77777777" w:rsidR="002A5ACC" w:rsidRPr="00324AA9" w:rsidRDefault="002A5ACC" w:rsidP="00FF56B9">
      <w:pPr>
        <w:rPr>
          <w:rFonts w:ascii="Verdana" w:hAnsi="Verdana" w:cstheme="minorHAnsi"/>
          <w:i/>
          <w:iCs/>
          <w:sz w:val="20"/>
          <w:szCs w:val="20"/>
        </w:rPr>
      </w:pPr>
    </w:p>
    <w:p w14:paraId="2D872F9F" w14:textId="2B2DBF82" w:rsidR="009D5B32" w:rsidRPr="00925E7B" w:rsidRDefault="0087709F" w:rsidP="00FF56B9">
      <w:pPr>
        <w:rPr>
          <w:rFonts w:ascii="Verdana" w:hAnsi="Verdana" w:cstheme="minorHAnsi"/>
          <w:i/>
          <w:iCs/>
          <w:sz w:val="20"/>
          <w:szCs w:val="20"/>
        </w:rPr>
      </w:pPr>
      <w:r w:rsidRPr="00722C81">
        <w:rPr>
          <w:rFonts w:ascii="Verdana" w:hAnsi="Verdana" w:cstheme="minorHAnsi"/>
          <w:sz w:val="20"/>
          <w:szCs w:val="20"/>
        </w:rPr>
        <w:t>–</w:t>
      </w:r>
      <w:r w:rsidR="002A5ACC" w:rsidRPr="00324AA9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607BDB">
        <w:rPr>
          <w:rFonts w:ascii="Verdana" w:hAnsi="Verdana" w:cstheme="minorHAnsi"/>
          <w:i/>
          <w:iCs/>
          <w:sz w:val="20"/>
          <w:szCs w:val="20"/>
        </w:rPr>
        <w:t>Faktycznie m</w:t>
      </w:r>
      <w:r w:rsidR="001C65B5" w:rsidRPr="00324AA9">
        <w:rPr>
          <w:rFonts w:ascii="Verdana" w:hAnsi="Verdana" w:cstheme="minorHAnsi"/>
          <w:i/>
          <w:iCs/>
          <w:sz w:val="20"/>
          <w:szCs w:val="20"/>
        </w:rPr>
        <w:t xml:space="preserve">ożna wyróżnić województwa o większym </w:t>
      </w:r>
      <w:r w:rsidRPr="00722C81">
        <w:rPr>
          <w:rFonts w:ascii="Verdana" w:hAnsi="Verdana" w:cstheme="minorHAnsi"/>
          <w:sz w:val="20"/>
          <w:szCs w:val="20"/>
        </w:rPr>
        <w:t>–</w:t>
      </w:r>
      <w:r w:rsidR="00D34C94" w:rsidRPr="00324AA9">
        <w:rPr>
          <w:rFonts w:ascii="Verdana" w:hAnsi="Verdana" w:cstheme="minorHAnsi"/>
          <w:i/>
          <w:iCs/>
          <w:sz w:val="20"/>
          <w:szCs w:val="20"/>
        </w:rPr>
        <w:t xml:space="preserve"> teoretycznie </w:t>
      </w:r>
      <w:r w:rsidRPr="00722C81">
        <w:rPr>
          <w:rFonts w:ascii="Verdana" w:hAnsi="Verdana" w:cstheme="minorHAnsi"/>
          <w:sz w:val="20"/>
          <w:szCs w:val="20"/>
        </w:rPr>
        <w:t>–</w:t>
      </w:r>
      <w:r w:rsidR="00D34C94" w:rsidRPr="00324AA9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1C65B5" w:rsidRPr="00324AA9">
        <w:rPr>
          <w:rFonts w:ascii="Verdana" w:hAnsi="Verdana" w:cstheme="minorHAnsi"/>
          <w:i/>
          <w:iCs/>
          <w:sz w:val="20"/>
          <w:szCs w:val="20"/>
        </w:rPr>
        <w:t xml:space="preserve">potencjale do pozyskiwania energii z </w:t>
      </w:r>
      <w:proofErr w:type="spellStart"/>
      <w:r w:rsidR="001C65B5" w:rsidRPr="00324AA9">
        <w:rPr>
          <w:rFonts w:ascii="Verdana" w:hAnsi="Verdana" w:cstheme="minorHAnsi"/>
          <w:i/>
          <w:iCs/>
          <w:sz w:val="20"/>
          <w:szCs w:val="20"/>
        </w:rPr>
        <w:t>fotowoltaiki</w:t>
      </w:r>
      <w:proofErr w:type="spellEnd"/>
      <w:r w:rsidR="001C65B5" w:rsidRPr="00324AA9">
        <w:rPr>
          <w:rFonts w:ascii="Verdana" w:hAnsi="Verdana" w:cstheme="minorHAnsi"/>
          <w:i/>
          <w:iCs/>
          <w:sz w:val="20"/>
          <w:szCs w:val="20"/>
        </w:rPr>
        <w:t xml:space="preserve">, </w:t>
      </w:r>
      <w:r w:rsidR="00571273" w:rsidRPr="00324AA9">
        <w:rPr>
          <w:rFonts w:ascii="Verdana" w:hAnsi="Verdana" w:cstheme="minorHAnsi"/>
          <w:i/>
          <w:iCs/>
          <w:sz w:val="20"/>
          <w:szCs w:val="20"/>
        </w:rPr>
        <w:t>jednak</w:t>
      </w:r>
      <w:r w:rsidR="001C65B5" w:rsidRPr="00324AA9">
        <w:rPr>
          <w:rFonts w:ascii="Verdana" w:hAnsi="Verdana" w:cstheme="minorHAnsi"/>
          <w:i/>
          <w:iCs/>
          <w:sz w:val="20"/>
          <w:szCs w:val="20"/>
        </w:rPr>
        <w:t xml:space="preserve"> nie zawsze ma to odzwierciedlenie w ich mocy zainstalowanej. </w:t>
      </w:r>
      <w:r w:rsidR="006308A4" w:rsidRPr="00324AA9">
        <w:rPr>
          <w:rFonts w:ascii="Verdana" w:hAnsi="Verdana" w:cstheme="minorHAnsi"/>
          <w:i/>
          <w:iCs/>
          <w:sz w:val="20"/>
          <w:szCs w:val="20"/>
        </w:rPr>
        <w:t>Sprawdzając teren pod ewentualną inwestycję bierzemy bowiem pod uwagę wiele czynników</w:t>
      </w:r>
      <w:r w:rsidR="0046634B">
        <w:rPr>
          <w:rFonts w:ascii="Verdana" w:hAnsi="Verdana" w:cstheme="minorHAnsi"/>
          <w:i/>
          <w:iCs/>
          <w:sz w:val="20"/>
          <w:szCs w:val="20"/>
        </w:rPr>
        <w:t xml:space="preserve">. Nie tylko </w:t>
      </w:r>
      <w:r w:rsidR="00D34C94" w:rsidRPr="00324AA9">
        <w:rPr>
          <w:rFonts w:ascii="Verdana" w:hAnsi="Verdana" w:cstheme="minorHAnsi"/>
          <w:i/>
          <w:iCs/>
          <w:sz w:val="20"/>
          <w:szCs w:val="20"/>
        </w:rPr>
        <w:t xml:space="preserve">wspomniane </w:t>
      </w:r>
      <w:r w:rsidR="002A5ACC" w:rsidRPr="00324AA9">
        <w:rPr>
          <w:rFonts w:ascii="Verdana" w:hAnsi="Verdana" w:cstheme="minorHAnsi"/>
          <w:i/>
          <w:iCs/>
          <w:sz w:val="20"/>
          <w:szCs w:val="20"/>
        </w:rPr>
        <w:t>nasłonecznieni</w:t>
      </w:r>
      <w:r w:rsidR="00D34C94" w:rsidRPr="00324AA9">
        <w:rPr>
          <w:rFonts w:ascii="Verdana" w:hAnsi="Verdana" w:cstheme="minorHAnsi"/>
          <w:i/>
          <w:iCs/>
          <w:sz w:val="20"/>
          <w:szCs w:val="20"/>
        </w:rPr>
        <w:t>e</w:t>
      </w:r>
      <w:r w:rsidR="002A5ACC" w:rsidRPr="00324AA9">
        <w:rPr>
          <w:rFonts w:ascii="Verdana" w:hAnsi="Verdana" w:cstheme="minorHAnsi"/>
          <w:i/>
          <w:iCs/>
          <w:sz w:val="20"/>
          <w:szCs w:val="20"/>
        </w:rPr>
        <w:t xml:space="preserve">, </w:t>
      </w:r>
      <w:r w:rsidR="00D34C94" w:rsidRPr="00324AA9">
        <w:rPr>
          <w:rFonts w:ascii="Verdana" w:hAnsi="Verdana" w:cstheme="minorHAnsi"/>
          <w:i/>
          <w:iCs/>
          <w:sz w:val="20"/>
          <w:szCs w:val="20"/>
        </w:rPr>
        <w:t xml:space="preserve">ale </w:t>
      </w:r>
      <w:r w:rsidR="0046634B">
        <w:rPr>
          <w:rFonts w:ascii="Verdana" w:hAnsi="Verdana" w:cstheme="minorHAnsi"/>
          <w:i/>
          <w:iCs/>
          <w:sz w:val="20"/>
          <w:szCs w:val="20"/>
        </w:rPr>
        <w:t>także:</w:t>
      </w:r>
      <w:r w:rsidR="00D34C94" w:rsidRPr="00324AA9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2A5ACC" w:rsidRPr="00324AA9">
        <w:rPr>
          <w:rFonts w:ascii="Verdana" w:hAnsi="Verdana" w:cstheme="minorHAnsi"/>
          <w:i/>
          <w:iCs/>
          <w:sz w:val="20"/>
          <w:szCs w:val="20"/>
        </w:rPr>
        <w:t xml:space="preserve">obecność obszarów chronionych, klasę </w:t>
      </w:r>
      <w:r w:rsidR="004970DB">
        <w:rPr>
          <w:rFonts w:ascii="Verdana" w:hAnsi="Verdana" w:cstheme="minorHAnsi"/>
          <w:i/>
          <w:iCs/>
          <w:sz w:val="20"/>
          <w:szCs w:val="20"/>
        </w:rPr>
        <w:t>gruntu</w:t>
      </w:r>
      <w:r w:rsidR="002A5ACC" w:rsidRPr="00324AA9">
        <w:rPr>
          <w:rFonts w:ascii="Verdana" w:hAnsi="Verdana" w:cstheme="minorHAnsi"/>
          <w:i/>
          <w:iCs/>
          <w:sz w:val="20"/>
          <w:szCs w:val="20"/>
        </w:rPr>
        <w:t xml:space="preserve">, jej stan prawny, odległość od </w:t>
      </w:r>
      <w:r w:rsidR="00234F77">
        <w:rPr>
          <w:rFonts w:ascii="Verdana" w:hAnsi="Verdana" w:cstheme="minorHAnsi"/>
          <w:i/>
          <w:iCs/>
          <w:sz w:val="20"/>
          <w:szCs w:val="20"/>
        </w:rPr>
        <w:t>g</w:t>
      </w:r>
      <w:r w:rsidR="002A5ACC" w:rsidRPr="0005147E">
        <w:rPr>
          <w:rFonts w:ascii="Verdana" w:hAnsi="Verdana" w:cstheme="minorHAnsi"/>
          <w:i/>
          <w:iCs/>
          <w:sz w:val="20"/>
          <w:szCs w:val="20"/>
        </w:rPr>
        <w:t xml:space="preserve">łównych </w:t>
      </w:r>
      <w:r w:rsidR="00234F77">
        <w:rPr>
          <w:rFonts w:ascii="Verdana" w:hAnsi="Verdana" w:cstheme="minorHAnsi"/>
          <w:i/>
          <w:iCs/>
          <w:sz w:val="20"/>
          <w:szCs w:val="20"/>
        </w:rPr>
        <w:t>p</w:t>
      </w:r>
      <w:r w:rsidR="002A5ACC" w:rsidRPr="0005147E">
        <w:rPr>
          <w:rFonts w:ascii="Verdana" w:hAnsi="Verdana" w:cstheme="minorHAnsi"/>
          <w:i/>
          <w:iCs/>
          <w:sz w:val="20"/>
          <w:szCs w:val="20"/>
        </w:rPr>
        <w:t xml:space="preserve">unktów </w:t>
      </w:r>
      <w:r w:rsidR="00234F77">
        <w:rPr>
          <w:rFonts w:ascii="Verdana" w:hAnsi="Verdana" w:cstheme="minorHAnsi"/>
          <w:i/>
          <w:iCs/>
          <w:sz w:val="20"/>
          <w:szCs w:val="20"/>
        </w:rPr>
        <w:t>z</w:t>
      </w:r>
      <w:r w:rsidR="002A5ACC" w:rsidRPr="0005147E">
        <w:rPr>
          <w:rFonts w:ascii="Verdana" w:hAnsi="Verdana" w:cstheme="minorHAnsi"/>
          <w:i/>
          <w:iCs/>
          <w:sz w:val="20"/>
          <w:szCs w:val="20"/>
        </w:rPr>
        <w:t>asila</w:t>
      </w:r>
      <w:r w:rsidR="005D5056" w:rsidRPr="0005147E">
        <w:rPr>
          <w:rFonts w:ascii="Verdana" w:hAnsi="Verdana" w:cstheme="minorHAnsi"/>
          <w:i/>
          <w:iCs/>
          <w:sz w:val="20"/>
          <w:szCs w:val="20"/>
        </w:rPr>
        <w:t>nia</w:t>
      </w:r>
      <w:r w:rsidR="00722C81" w:rsidRPr="0005147E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2A5ACC" w:rsidRPr="00324AA9">
        <w:rPr>
          <w:rFonts w:ascii="Verdana" w:hAnsi="Verdana" w:cstheme="minorHAnsi"/>
          <w:i/>
          <w:iCs/>
          <w:sz w:val="20"/>
          <w:szCs w:val="20"/>
        </w:rPr>
        <w:t xml:space="preserve">i wiele innych. </w:t>
      </w:r>
      <w:r w:rsidR="00234F77">
        <w:rPr>
          <w:rFonts w:ascii="Verdana" w:hAnsi="Verdana" w:cstheme="minorHAnsi"/>
          <w:i/>
          <w:iCs/>
          <w:sz w:val="20"/>
          <w:szCs w:val="20"/>
        </w:rPr>
        <w:t>Ustalenie, czy dany obszar ma potencjał pod budowę elektrowni słonecznej j</w:t>
      </w:r>
      <w:r w:rsidR="002A5ACC" w:rsidRPr="00324AA9">
        <w:rPr>
          <w:rFonts w:ascii="Verdana" w:hAnsi="Verdana" w:cstheme="minorHAnsi"/>
          <w:i/>
          <w:iCs/>
          <w:sz w:val="20"/>
          <w:szCs w:val="20"/>
        </w:rPr>
        <w:t xml:space="preserve">est więc </w:t>
      </w:r>
      <w:r w:rsidR="00D34C94" w:rsidRPr="00324AA9">
        <w:rPr>
          <w:rFonts w:ascii="Verdana" w:hAnsi="Verdana" w:cstheme="minorHAnsi"/>
          <w:i/>
          <w:iCs/>
          <w:sz w:val="20"/>
          <w:szCs w:val="20"/>
        </w:rPr>
        <w:t>bardziej</w:t>
      </w:r>
      <w:r w:rsidR="002A5ACC" w:rsidRPr="00324AA9">
        <w:rPr>
          <w:rFonts w:ascii="Verdana" w:hAnsi="Verdana" w:cstheme="minorHAnsi"/>
          <w:i/>
          <w:iCs/>
          <w:sz w:val="20"/>
          <w:szCs w:val="20"/>
        </w:rPr>
        <w:t xml:space="preserve"> skomplikowany</w:t>
      </w:r>
      <w:r w:rsidR="00234F77">
        <w:rPr>
          <w:rFonts w:ascii="Verdana" w:hAnsi="Verdana" w:cstheme="minorHAnsi"/>
          <w:i/>
          <w:iCs/>
          <w:sz w:val="20"/>
          <w:szCs w:val="20"/>
        </w:rPr>
        <w:t>m</w:t>
      </w:r>
      <w:r w:rsidR="002A5ACC" w:rsidRPr="00324AA9">
        <w:rPr>
          <w:rFonts w:ascii="Verdana" w:hAnsi="Verdana" w:cstheme="minorHAnsi"/>
          <w:i/>
          <w:iCs/>
          <w:sz w:val="20"/>
          <w:szCs w:val="20"/>
        </w:rPr>
        <w:t xml:space="preserve"> proces</w:t>
      </w:r>
      <w:r w:rsidR="00234F77">
        <w:rPr>
          <w:rFonts w:ascii="Verdana" w:hAnsi="Verdana" w:cstheme="minorHAnsi"/>
          <w:i/>
          <w:iCs/>
          <w:sz w:val="20"/>
          <w:szCs w:val="20"/>
        </w:rPr>
        <w:t>em</w:t>
      </w:r>
      <w:r w:rsidR="00925E7B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F46015" w:rsidRPr="00324AA9">
        <w:rPr>
          <w:rFonts w:ascii="Verdana" w:hAnsi="Verdana" w:cstheme="minorHAnsi"/>
          <w:sz w:val="20"/>
          <w:szCs w:val="20"/>
        </w:rPr>
        <w:t xml:space="preserve">– </w:t>
      </w:r>
      <w:r w:rsidR="00F46015">
        <w:rPr>
          <w:rFonts w:ascii="Verdana" w:hAnsi="Verdana" w:cstheme="minorHAnsi"/>
          <w:sz w:val="20"/>
          <w:szCs w:val="20"/>
        </w:rPr>
        <w:t xml:space="preserve">mówi Wojciech Pawelczyk, specjalista GIS w zespole ds. </w:t>
      </w:r>
      <w:r w:rsidR="00F46015" w:rsidRPr="003B2A9C">
        <w:rPr>
          <w:rFonts w:ascii="Verdana" w:hAnsi="Verdana" w:cstheme="minorHAnsi"/>
          <w:sz w:val="20"/>
          <w:szCs w:val="20"/>
        </w:rPr>
        <w:t xml:space="preserve">rozwoju projektów fotowoltaicznych </w:t>
      </w:r>
      <w:proofErr w:type="spellStart"/>
      <w:r w:rsidR="00F46015" w:rsidRPr="003B2A9C">
        <w:rPr>
          <w:rFonts w:ascii="Verdana" w:hAnsi="Verdana" w:cstheme="minorHAnsi"/>
          <w:sz w:val="20"/>
          <w:szCs w:val="20"/>
        </w:rPr>
        <w:t>Axpo</w:t>
      </w:r>
      <w:proofErr w:type="spellEnd"/>
      <w:r w:rsidR="00F46015" w:rsidRPr="003B2A9C">
        <w:rPr>
          <w:rFonts w:ascii="Verdana" w:hAnsi="Verdana" w:cstheme="minorHAnsi"/>
          <w:sz w:val="20"/>
          <w:szCs w:val="20"/>
        </w:rPr>
        <w:t xml:space="preserve"> w Polsce.</w:t>
      </w:r>
    </w:p>
    <w:p w14:paraId="6670DD3B" w14:textId="77777777" w:rsidR="005E7BA3" w:rsidRPr="00324AA9" w:rsidRDefault="005E7BA3" w:rsidP="00FF56B9">
      <w:pPr>
        <w:rPr>
          <w:rFonts w:ascii="Verdana" w:hAnsi="Verdana" w:cstheme="minorHAnsi"/>
          <w:sz w:val="20"/>
          <w:szCs w:val="20"/>
        </w:rPr>
      </w:pPr>
    </w:p>
    <w:p w14:paraId="1580BA93" w14:textId="57FE1435" w:rsidR="00D34C94" w:rsidRPr="00324AA9" w:rsidRDefault="00D34C94">
      <w:pPr>
        <w:rPr>
          <w:rFonts w:ascii="Verdana" w:hAnsi="Verdana" w:cstheme="minorHAnsi"/>
          <w:b/>
          <w:bCs/>
          <w:sz w:val="20"/>
          <w:szCs w:val="20"/>
        </w:rPr>
      </w:pPr>
      <w:r w:rsidRPr="00324AA9">
        <w:rPr>
          <w:rFonts w:ascii="Verdana" w:hAnsi="Verdana" w:cstheme="minorHAnsi"/>
          <w:b/>
          <w:bCs/>
          <w:sz w:val="20"/>
          <w:szCs w:val="20"/>
        </w:rPr>
        <w:lastRenderedPageBreak/>
        <w:t xml:space="preserve">Największa moc zainstalowana </w:t>
      </w:r>
      <w:r w:rsidR="004C444A" w:rsidRPr="00324AA9">
        <w:rPr>
          <w:rFonts w:ascii="Verdana" w:hAnsi="Verdana" w:cstheme="minorHAnsi"/>
          <w:b/>
          <w:bCs/>
          <w:sz w:val="20"/>
          <w:szCs w:val="20"/>
        </w:rPr>
        <w:t xml:space="preserve">ze słońca </w:t>
      </w:r>
      <w:r w:rsidRPr="00324AA9">
        <w:rPr>
          <w:rFonts w:ascii="Verdana" w:hAnsi="Verdana" w:cstheme="minorHAnsi"/>
          <w:b/>
          <w:bCs/>
          <w:sz w:val="20"/>
          <w:szCs w:val="20"/>
        </w:rPr>
        <w:t>w Wielkopolsce</w:t>
      </w:r>
      <w:r w:rsidR="009F12BD">
        <w:rPr>
          <w:rFonts w:ascii="Verdana" w:hAnsi="Verdana" w:cstheme="minorHAnsi"/>
          <w:b/>
          <w:bCs/>
          <w:sz w:val="20"/>
          <w:szCs w:val="20"/>
        </w:rPr>
        <w:t>,</w:t>
      </w:r>
      <w:r w:rsidRPr="00324AA9">
        <w:rPr>
          <w:rFonts w:ascii="Verdana" w:hAnsi="Verdana" w:cstheme="minorHAnsi"/>
          <w:b/>
          <w:bCs/>
          <w:sz w:val="20"/>
          <w:szCs w:val="20"/>
        </w:rPr>
        <w:t xml:space="preserve"> na Pomorzu</w:t>
      </w:r>
      <w:r w:rsidR="009F12BD">
        <w:rPr>
          <w:rFonts w:ascii="Verdana" w:hAnsi="Verdana" w:cstheme="minorHAnsi"/>
          <w:b/>
          <w:bCs/>
          <w:sz w:val="20"/>
          <w:szCs w:val="20"/>
        </w:rPr>
        <w:t xml:space="preserve"> i w lubuskim</w:t>
      </w:r>
    </w:p>
    <w:p w14:paraId="38FF2940" w14:textId="1881E4C5" w:rsidR="009159F4" w:rsidRDefault="009159F4">
      <w:pPr>
        <w:rPr>
          <w:rFonts w:ascii="Verdana" w:hAnsi="Verdana" w:cstheme="minorHAnsi"/>
          <w:sz w:val="20"/>
          <w:szCs w:val="20"/>
        </w:rPr>
      </w:pPr>
    </w:p>
    <w:p w14:paraId="4F6789F0" w14:textId="19456C7C" w:rsidR="00D34C94" w:rsidRPr="0005147E" w:rsidRDefault="00DF1FEE">
      <w:pPr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noProof/>
          <w:sz w:val="20"/>
          <w:szCs w:val="20"/>
          <w14:ligatures w14:val="standardContextual"/>
        </w:rPr>
        <w:drawing>
          <wp:anchor distT="0" distB="0" distL="114300" distR="114300" simplePos="0" relativeHeight="251659264" behindDoc="0" locked="0" layoutInCell="1" allowOverlap="1" wp14:anchorId="4F40EDE1" wp14:editId="388058E3">
            <wp:simplePos x="0" y="0"/>
            <wp:positionH relativeFrom="column">
              <wp:posOffset>2469303</wp:posOffset>
            </wp:positionH>
            <wp:positionV relativeFrom="paragraph">
              <wp:posOffset>40640</wp:posOffset>
            </wp:positionV>
            <wp:extent cx="3261360" cy="2023110"/>
            <wp:effectExtent l="0" t="0" r="2540" b="0"/>
            <wp:wrapSquare wrapText="bothSides"/>
            <wp:docPr id="1633516405" name="Obraz 1" descr="Obraz zawierający tekst, mapa, zrzut ekranu, atlas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3516405" name="Obraz 1" descr="Obraz zawierający tekst, mapa, zrzut ekranu, atlas&#10;&#10;Opis wygenerowany automatycznie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08" t="2059" r="1262" b="2429"/>
                    <a:stretch/>
                  </pic:blipFill>
                  <pic:spPr bwMode="auto">
                    <a:xfrm>
                      <a:off x="0" y="0"/>
                      <a:ext cx="3261360" cy="2023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C94" w:rsidRPr="00324AA9">
        <w:rPr>
          <w:rFonts w:ascii="Verdana" w:hAnsi="Verdana" w:cstheme="minorHAnsi"/>
          <w:sz w:val="20"/>
          <w:szCs w:val="20"/>
        </w:rPr>
        <w:t>Z kolei na mapie</w:t>
      </w:r>
      <w:r w:rsidR="00C741AF">
        <w:rPr>
          <w:rStyle w:val="Odwoanieprzypisudolnego"/>
          <w:rFonts w:ascii="Verdana" w:hAnsi="Verdana" w:cstheme="minorHAnsi"/>
          <w:sz w:val="20"/>
          <w:szCs w:val="20"/>
        </w:rPr>
        <w:footnoteReference w:id="3"/>
      </w:r>
      <w:r w:rsidR="00D34C94" w:rsidRPr="00324AA9">
        <w:rPr>
          <w:rFonts w:ascii="Verdana" w:hAnsi="Verdana" w:cstheme="minorHAnsi"/>
          <w:sz w:val="20"/>
          <w:szCs w:val="20"/>
        </w:rPr>
        <w:t xml:space="preserve"> przedstawiającej moc zainstalowaną </w:t>
      </w:r>
      <w:r w:rsidR="004C444A" w:rsidRPr="00324AA9">
        <w:rPr>
          <w:rFonts w:ascii="Verdana" w:hAnsi="Verdana" w:cstheme="minorHAnsi"/>
          <w:sz w:val="20"/>
          <w:szCs w:val="20"/>
        </w:rPr>
        <w:t xml:space="preserve">ze słońca </w:t>
      </w:r>
      <w:r w:rsidR="00D34C94" w:rsidRPr="00324AA9">
        <w:rPr>
          <w:rFonts w:ascii="Verdana" w:hAnsi="Verdana" w:cstheme="minorHAnsi"/>
          <w:sz w:val="20"/>
          <w:szCs w:val="20"/>
        </w:rPr>
        <w:t xml:space="preserve">w poszczególnych województwach, przygotowanej </w:t>
      </w:r>
      <w:r w:rsidR="00D34C94" w:rsidRPr="0005147E">
        <w:rPr>
          <w:rFonts w:ascii="Verdana" w:hAnsi="Verdana" w:cstheme="minorHAnsi"/>
          <w:sz w:val="20"/>
          <w:szCs w:val="20"/>
        </w:rPr>
        <w:t xml:space="preserve">przez </w:t>
      </w:r>
      <w:r w:rsidR="005D5056" w:rsidRPr="0005147E">
        <w:rPr>
          <w:rFonts w:ascii="Verdana" w:hAnsi="Verdana" w:cstheme="minorHAnsi"/>
          <w:sz w:val="20"/>
          <w:szCs w:val="20"/>
        </w:rPr>
        <w:t>Instytut Energetyki Odnawialnej</w:t>
      </w:r>
      <w:r w:rsidR="004C444A" w:rsidRPr="0005147E">
        <w:rPr>
          <w:rFonts w:ascii="Verdana" w:hAnsi="Verdana" w:cstheme="minorHAnsi"/>
          <w:sz w:val="20"/>
          <w:szCs w:val="20"/>
        </w:rPr>
        <w:t>, to rejon Wielkopolski zdecydowanie wyprzedza pozostałe, z mocą na poziomie 5</w:t>
      </w:r>
      <w:r w:rsidR="009F12BD">
        <w:rPr>
          <w:rFonts w:ascii="Verdana" w:hAnsi="Verdana" w:cstheme="minorHAnsi"/>
          <w:sz w:val="20"/>
          <w:szCs w:val="20"/>
        </w:rPr>
        <w:t>4</w:t>
      </w:r>
      <w:r w:rsidR="004C444A" w:rsidRPr="0005147E">
        <w:rPr>
          <w:rFonts w:ascii="Verdana" w:hAnsi="Verdana" w:cstheme="minorHAnsi"/>
          <w:sz w:val="20"/>
          <w:szCs w:val="20"/>
        </w:rPr>
        <w:t>0 MW. Na drugim miejscu jest Pomorze z wynikiem 32</w:t>
      </w:r>
      <w:r w:rsidR="009F12BD">
        <w:rPr>
          <w:rFonts w:ascii="Verdana" w:hAnsi="Verdana" w:cstheme="minorHAnsi"/>
          <w:sz w:val="20"/>
          <w:szCs w:val="20"/>
        </w:rPr>
        <w:t>6</w:t>
      </w:r>
      <w:r w:rsidR="004C444A" w:rsidRPr="0005147E">
        <w:rPr>
          <w:rFonts w:ascii="Verdana" w:hAnsi="Verdana" w:cstheme="minorHAnsi"/>
          <w:sz w:val="20"/>
          <w:szCs w:val="20"/>
        </w:rPr>
        <w:t xml:space="preserve"> MW. Najsłabszy wynik prezentuj</w:t>
      </w:r>
      <w:r w:rsidR="00092539">
        <w:rPr>
          <w:rFonts w:ascii="Verdana" w:hAnsi="Verdana" w:cstheme="minorHAnsi"/>
          <w:sz w:val="20"/>
          <w:szCs w:val="20"/>
        </w:rPr>
        <w:t>ą</w:t>
      </w:r>
      <w:r w:rsidR="004C444A" w:rsidRPr="0005147E">
        <w:rPr>
          <w:rFonts w:ascii="Verdana" w:hAnsi="Verdana" w:cstheme="minorHAnsi"/>
          <w:sz w:val="20"/>
          <w:szCs w:val="20"/>
        </w:rPr>
        <w:t xml:space="preserve"> Śląsk – 4</w:t>
      </w:r>
      <w:r w:rsidR="009F12BD">
        <w:rPr>
          <w:rFonts w:ascii="Verdana" w:hAnsi="Verdana" w:cstheme="minorHAnsi"/>
          <w:sz w:val="20"/>
          <w:szCs w:val="20"/>
        </w:rPr>
        <w:t>7</w:t>
      </w:r>
      <w:r w:rsidR="004C444A" w:rsidRPr="0005147E">
        <w:rPr>
          <w:rFonts w:ascii="Verdana" w:hAnsi="Verdana" w:cstheme="minorHAnsi"/>
          <w:sz w:val="20"/>
          <w:szCs w:val="20"/>
        </w:rPr>
        <w:t xml:space="preserve">,8 MW i Małopolska – zaledwie </w:t>
      </w:r>
      <w:r w:rsidR="009F12BD">
        <w:rPr>
          <w:rFonts w:ascii="Verdana" w:hAnsi="Verdana" w:cstheme="minorHAnsi"/>
          <w:sz w:val="20"/>
          <w:szCs w:val="20"/>
        </w:rPr>
        <w:t>30,18</w:t>
      </w:r>
      <w:r w:rsidR="004C444A" w:rsidRPr="0005147E">
        <w:rPr>
          <w:rFonts w:ascii="Verdana" w:hAnsi="Verdana" w:cstheme="minorHAnsi"/>
          <w:sz w:val="20"/>
          <w:szCs w:val="20"/>
        </w:rPr>
        <w:t xml:space="preserve"> MW. </w:t>
      </w:r>
      <w:r w:rsidR="00BD75C2">
        <w:rPr>
          <w:rFonts w:ascii="Verdana" w:hAnsi="Verdana" w:cstheme="minorHAnsi"/>
          <w:sz w:val="20"/>
          <w:szCs w:val="20"/>
        </w:rPr>
        <w:t>Jak łatwo zauważyć, s</w:t>
      </w:r>
      <w:r w:rsidR="004C444A" w:rsidRPr="0005147E">
        <w:rPr>
          <w:rFonts w:ascii="Verdana" w:hAnsi="Verdana" w:cstheme="minorHAnsi"/>
          <w:sz w:val="20"/>
          <w:szCs w:val="20"/>
        </w:rPr>
        <w:t xml:space="preserve">toi to w sprzeczności z danymi o nasłonecznieniu Polski. </w:t>
      </w:r>
    </w:p>
    <w:p w14:paraId="74F2A037" w14:textId="7D8210E6" w:rsidR="004C444A" w:rsidRPr="0005147E" w:rsidRDefault="004C444A">
      <w:pPr>
        <w:rPr>
          <w:rFonts w:ascii="Verdana" w:hAnsi="Verdana" w:cstheme="minorHAnsi"/>
          <w:sz w:val="20"/>
          <w:szCs w:val="20"/>
        </w:rPr>
      </w:pPr>
    </w:p>
    <w:p w14:paraId="69DE96FE" w14:textId="406B5C34" w:rsidR="004C444A" w:rsidRPr="00324AA9" w:rsidRDefault="00E33F64">
      <w:pPr>
        <w:rPr>
          <w:rFonts w:ascii="Verdana" w:hAnsi="Verdana" w:cstheme="minorHAnsi"/>
          <w:sz w:val="20"/>
          <w:szCs w:val="20"/>
        </w:rPr>
      </w:pPr>
      <w:r w:rsidRPr="00722C81">
        <w:rPr>
          <w:rFonts w:ascii="Verdana" w:hAnsi="Verdana" w:cstheme="minorHAnsi"/>
          <w:sz w:val="20"/>
          <w:szCs w:val="20"/>
        </w:rPr>
        <w:t>–</w:t>
      </w:r>
      <w:r w:rsidR="004C444A" w:rsidRPr="00324AA9">
        <w:rPr>
          <w:rFonts w:ascii="Verdana" w:hAnsi="Verdana" w:cstheme="minorHAnsi"/>
          <w:sz w:val="20"/>
          <w:szCs w:val="20"/>
        </w:rPr>
        <w:t xml:space="preserve"> </w:t>
      </w:r>
      <w:r w:rsidR="00BD75C2">
        <w:rPr>
          <w:rFonts w:ascii="Verdana" w:hAnsi="Verdana" w:cstheme="minorHAnsi"/>
          <w:i/>
          <w:iCs/>
          <w:sz w:val="20"/>
          <w:szCs w:val="20"/>
        </w:rPr>
        <w:t>Odpowiedź na to spostrzeżenie</w:t>
      </w:r>
      <w:r w:rsidR="004C444A" w:rsidRPr="00324AA9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6B77ED" w:rsidRPr="00324AA9">
        <w:rPr>
          <w:rFonts w:ascii="Verdana" w:hAnsi="Verdana" w:cstheme="minorHAnsi"/>
          <w:i/>
          <w:iCs/>
          <w:sz w:val="20"/>
          <w:szCs w:val="20"/>
        </w:rPr>
        <w:t xml:space="preserve">znajdziemy w innych ogólnodostępnych danych, </w:t>
      </w:r>
      <w:r w:rsidR="00C515C4">
        <w:rPr>
          <w:rFonts w:ascii="Verdana" w:hAnsi="Verdana" w:cstheme="minorHAnsi"/>
          <w:i/>
          <w:iCs/>
          <w:sz w:val="20"/>
          <w:szCs w:val="20"/>
        </w:rPr>
        <w:t>pokazujących na przykład</w:t>
      </w:r>
      <w:r w:rsidR="006B77ED" w:rsidRPr="00324AA9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6806FC">
        <w:rPr>
          <w:rFonts w:ascii="Verdana" w:hAnsi="Verdana" w:cstheme="minorHAnsi"/>
          <w:i/>
          <w:iCs/>
          <w:sz w:val="20"/>
          <w:szCs w:val="20"/>
        </w:rPr>
        <w:t>rozlokowani</w:t>
      </w:r>
      <w:r w:rsidR="00C515C4">
        <w:rPr>
          <w:rFonts w:ascii="Verdana" w:hAnsi="Verdana" w:cstheme="minorHAnsi"/>
          <w:i/>
          <w:iCs/>
          <w:sz w:val="20"/>
          <w:szCs w:val="20"/>
        </w:rPr>
        <w:t>e</w:t>
      </w:r>
      <w:r w:rsidR="006806FC">
        <w:rPr>
          <w:rFonts w:ascii="Verdana" w:hAnsi="Verdana" w:cstheme="minorHAnsi"/>
          <w:i/>
          <w:iCs/>
          <w:sz w:val="20"/>
          <w:szCs w:val="20"/>
        </w:rPr>
        <w:t xml:space="preserve"> obszarów</w:t>
      </w:r>
      <w:r w:rsidR="006B77ED" w:rsidRPr="00324AA9">
        <w:rPr>
          <w:rFonts w:ascii="Verdana" w:hAnsi="Verdana" w:cstheme="minorHAnsi"/>
          <w:i/>
          <w:iCs/>
          <w:sz w:val="20"/>
          <w:szCs w:val="20"/>
        </w:rPr>
        <w:t xml:space="preserve"> chronionyc</w:t>
      </w:r>
      <w:r w:rsidR="00F31B1E" w:rsidRPr="00324AA9">
        <w:rPr>
          <w:rFonts w:ascii="Verdana" w:hAnsi="Verdana" w:cstheme="minorHAnsi"/>
          <w:i/>
          <w:iCs/>
          <w:sz w:val="20"/>
          <w:szCs w:val="20"/>
        </w:rPr>
        <w:t xml:space="preserve">h. </w:t>
      </w:r>
      <w:r w:rsidR="000F4A70">
        <w:rPr>
          <w:rFonts w:ascii="Verdana" w:hAnsi="Verdana" w:cstheme="minorHAnsi"/>
          <w:i/>
          <w:iCs/>
          <w:sz w:val="20"/>
          <w:szCs w:val="20"/>
        </w:rPr>
        <w:t>Ich o</w:t>
      </w:r>
      <w:r w:rsidR="00F31B1E" w:rsidRPr="00324AA9">
        <w:rPr>
          <w:rFonts w:ascii="Verdana" w:hAnsi="Verdana" w:cstheme="minorHAnsi"/>
          <w:i/>
          <w:iCs/>
          <w:sz w:val="20"/>
          <w:szCs w:val="20"/>
        </w:rPr>
        <w:t>becność</w:t>
      </w:r>
      <w:r w:rsidR="00255710">
        <w:rPr>
          <w:rFonts w:ascii="Verdana" w:hAnsi="Verdana" w:cstheme="minorHAnsi"/>
          <w:i/>
          <w:iCs/>
          <w:sz w:val="20"/>
          <w:szCs w:val="20"/>
        </w:rPr>
        <w:t xml:space="preserve"> znacznie utrudnia </w:t>
      </w:r>
      <w:r w:rsidR="008A40A9">
        <w:rPr>
          <w:rFonts w:ascii="Verdana" w:hAnsi="Verdana" w:cstheme="minorHAnsi"/>
          <w:i/>
          <w:iCs/>
          <w:sz w:val="20"/>
          <w:szCs w:val="20"/>
        </w:rPr>
        <w:t xml:space="preserve">możliwości </w:t>
      </w:r>
      <w:r w:rsidR="00222855">
        <w:rPr>
          <w:rFonts w:ascii="Verdana" w:hAnsi="Verdana" w:cstheme="minorHAnsi"/>
          <w:i/>
          <w:iCs/>
          <w:sz w:val="20"/>
          <w:szCs w:val="20"/>
        </w:rPr>
        <w:t>postawienia na nim</w:t>
      </w:r>
      <w:r w:rsidR="008A40A9">
        <w:rPr>
          <w:rFonts w:ascii="Verdana" w:hAnsi="Verdana" w:cstheme="minorHAnsi"/>
          <w:i/>
          <w:iCs/>
          <w:sz w:val="20"/>
          <w:szCs w:val="20"/>
        </w:rPr>
        <w:t xml:space="preserve"> farmy</w:t>
      </w:r>
      <w:r w:rsidR="00F31B1E" w:rsidRPr="00324AA9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8A40A9">
        <w:rPr>
          <w:rFonts w:ascii="Verdana" w:hAnsi="Verdana" w:cstheme="minorHAnsi"/>
          <w:i/>
          <w:iCs/>
          <w:sz w:val="20"/>
          <w:szCs w:val="20"/>
        </w:rPr>
        <w:t>słonecznej. N</w:t>
      </w:r>
      <w:r w:rsidR="00F31B1E" w:rsidRPr="00324AA9">
        <w:rPr>
          <w:rFonts w:ascii="Verdana" w:hAnsi="Verdana" w:cstheme="minorHAnsi"/>
          <w:i/>
          <w:iCs/>
          <w:sz w:val="20"/>
          <w:szCs w:val="20"/>
        </w:rPr>
        <w:t xml:space="preserve">ajwięcej </w:t>
      </w:r>
      <w:r w:rsidR="00222855">
        <w:rPr>
          <w:rFonts w:ascii="Verdana" w:hAnsi="Verdana" w:cstheme="minorHAnsi"/>
          <w:i/>
          <w:iCs/>
          <w:sz w:val="20"/>
          <w:szCs w:val="20"/>
        </w:rPr>
        <w:t>obszarów chronionych</w:t>
      </w:r>
      <w:r w:rsidR="00F31B1E" w:rsidRPr="00324AA9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222855">
        <w:rPr>
          <w:rFonts w:ascii="Verdana" w:hAnsi="Verdana" w:cstheme="minorHAnsi"/>
          <w:i/>
          <w:iCs/>
          <w:sz w:val="20"/>
          <w:szCs w:val="20"/>
        </w:rPr>
        <w:t>znajduje się</w:t>
      </w:r>
      <w:r w:rsidR="00222855" w:rsidRPr="00324AA9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F31B1E" w:rsidRPr="00324AA9">
        <w:rPr>
          <w:rFonts w:ascii="Verdana" w:hAnsi="Verdana" w:cstheme="minorHAnsi"/>
          <w:i/>
          <w:iCs/>
          <w:sz w:val="20"/>
          <w:szCs w:val="20"/>
        </w:rPr>
        <w:t xml:space="preserve">właśnie </w:t>
      </w:r>
      <w:r w:rsidR="00596704">
        <w:rPr>
          <w:rFonts w:ascii="Verdana" w:hAnsi="Verdana" w:cstheme="minorHAnsi"/>
          <w:i/>
          <w:iCs/>
          <w:sz w:val="20"/>
          <w:szCs w:val="20"/>
        </w:rPr>
        <w:t>między innymi</w:t>
      </w:r>
      <w:r w:rsidR="00F31B1E" w:rsidRPr="00324AA9">
        <w:rPr>
          <w:rFonts w:ascii="Verdana" w:hAnsi="Verdana" w:cstheme="minorHAnsi"/>
          <w:i/>
          <w:iCs/>
          <w:sz w:val="20"/>
          <w:szCs w:val="20"/>
        </w:rPr>
        <w:t xml:space="preserve"> w woj</w:t>
      </w:r>
      <w:r w:rsidR="00596704">
        <w:rPr>
          <w:rFonts w:ascii="Verdana" w:hAnsi="Verdana" w:cstheme="minorHAnsi"/>
          <w:i/>
          <w:iCs/>
          <w:sz w:val="20"/>
          <w:szCs w:val="20"/>
        </w:rPr>
        <w:t>ewództwie</w:t>
      </w:r>
      <w:r w:rsidR="00F31B1E" w:rsidRPr="00324AA9">
        <w:rPr>
          <w:rFonts w:ascii="Verdana" w:hAnsi="Verdana" w:cstheme="minorHAnsi"/>
          <w:i/>
          <w:iCs/>
          <w:sz w:val="20"/>
          <w:szCs w:val="20"/>
        </w:rPr>
        <w:t xml:space="preserve"> małopolskim</w:t>
      </w:r>
      <w:r w:rsidR="00153D12">
        <w:rPr>
          <w:rFonts w:ascii="Verdana" w:hAnsi="Verdana" w:cstheme="minorHAnsi"/>
          <w:i/>
          <w:iCs/>
          <w:sz w:val="20"/>
          <w:szCs w:val="20"/>
        </w:rPr>
        <w:t xml:space="preserve"> i między innymi stąd tak mało tam </w:t>
      </w:r>
      <w:r w:rsidR="00DE1141">
        <w:rPr>
          <w:rFonts w:ascii="Verdana" w:hAnsi="Verdana" w:cstheme="minorHAnsi"/>
          <w:i/>
          <w:iCs/>
          <w:sz w:val="20"/>
          <w:szCs w:val="20"/>
        </w:rPr>
        <w:t>energetyki słonecznej</w:t>
      </w:r>
      <w:r w:rsidR="00F31B1E" w:rsidRPr="00324AA9">
        <w:rPr>
          <w:rFonts w:ascii="Verdana" w:hAnsi="Verdana" w:cstheme="minorHAnsi"/>
          <w:i/>
          <w:iCs/>
          <w:sz w:val="20"/>
          <w:szCs w:val="20"/>
        </w:rPr>
        <w:t xml:space="preserve">. </w:t>
      </w:r>
      <w:r w:rsidR="00274A63" w:rsidRPr="00324AA9">
        <w:rPr>
          <w:rFonts w:ascii="Verdana" w:hAnsi="Verdana" w:cstheme="minorHAnsi"/>
          <w:i/>
          <w:iCs/>
          <w:sz w:val="20"/>
          <w:szCs w:val="20"/>
        </w:rPr>
        <w:t xml:space="preserve">Należy jednak pamiętać, że dane </w:t>
      </w:r>
      <w:r w:rsidR="00DE1141">
        <w:rPr>
          <w:rFonts w:ascii="Verdana" w:hAnsi="Verdana" w:cstheme="minorHAnsi"/>
          <w:i/>
          <w:iCs/>
          <w:sz w:val="20"/>
          <w:szCs w:val="20"/>
        </w:rPr>
        <w:t xml:space="preserve">podane na mapkach </w:t>
      </w:r>
      <w:r w:rsidR="00274A63" w:rsidRPr="00324AA9">
        <w:rPr>
          <w:rFonts w:ascii="Verdana" w:hAnsi="Verdana" w:cstheme="minorHAnsi"/>
          <w:i/>
          <w:iCs/>
          <w:sz w:val="20"/>
          <w:szCs w:val="20"/>
        </w:rPr>
        <w:t xml:space="preserve">odnoszą się do całych województw. Sprawdzając poszczególne powiaty, gminy, a nawet grunty, możemy uzyskać inne </w:t>
      </w:r>
      <w:r w:rsidR="00611E02">
        <w:rPr>
          <w:rFonts w:ascii="Verdana" w:hAnsi="Verdana" w:cstheme="minorHAnsi"/>
          <w:i/>
          <w:iCs/>
          <w:sz w:val="20"/>
          <w:szCs w:val="20"/>
        </w:rPr>
        <w:t>informacje</w:t>
      </w:r>
      <w:r w:rsidR="007762BD">
        <w:rPr>
          <w:rFonts w:ascii="Verdana" w:hAnsi="Verdana" w:cstheme="minorHAnsi"/>
          <w:i/>
          <w:iCs/>
          <w:sz w:val="20"/>
          <w:szCs w:val="20"/>
        </w:rPr>
        <w:t xml:space="preserve"> i jednak znaleźć działki pod inwestycje</w:t>
      </w:r>
      <w:r w:rsidR="00274A63" w:rsidRPr="00324AA9">
        <w:rPr>
          <w:rFonts w:ascii="Verdana" w:hAnsi="Verdana" w:cstheme="minorHAnsi"/>
          <w:i/>
          <w:iCs/>
          <w:sz w:val="20"/>
          <w:szCs w:val="20"/>
        </w:rPr>
        <w:t>. Dlatego też tego typu zestawienia należy traktować jedynie w kategorii ciekawostki, wskazówki do dalszych badań. Właściciel ziemi w woj</w:t>
      </w:r>
      <w:r w:rsidR="007762BD">
        <w:rPr>
          <w:rFonts w:ascii="Verdana" w:hAnsi="Verdana" w:cstheme="minorHAnsi"/>
          <w:i/>
          <w:iCs/>
          <w:sz w:val="20"/>
          <w:szCs w:val="20"/>
        </w:rPr>
        <w:t xml:space="preserve">ewództwie </w:t>
      </w:r>
      <w:r w:rsidR="000D49C4">
        <w:rPr>
          <w:rFonts w:ascii="Verdana" w:hAnsi="Verdana" w:cstheme="minorHAnsi"/>
          <w:i/>
          <w:iCs/>
          <w:sz w:val="20"/>
          <w:szCs w:val="20"/>
        </w:rPr>
        <w:t>lubuskim</w:t>
      </w:r>
      <w:r w:rsidR="00274A63" w:rsidRPr="00324AA9">
        <w:rPr>
          <w:rFonts w:ascii="Verdana" w:hAnsi="Verdana" w:cstheme="minorHAnsi"/>
          <w:i/>
          <w:iCs/>
          <w:sz w:val="20"/>
          <w:szCs w:val="20"/>
        </w:rPr>
        <w:t xml:space="preserve">, który chciałby ją dzierżawić pod farmę PV, </w:t>
      </w:r>
      <w:r w:rsidR="00EF6EF7" w:rsidRPr="00324AA9">
        <w:rPr>
          <w:rFonts w:ascii="Verdana" w:hAnsi="Verdana" w:cstheme="minorHAnsi"/>
          <w:i/>
          <w:iCs/>
          <w:sz w:val="20"/>
          <w:szCs w:val="20"/>
        </w:rPr>
        <w:t xml:space="preserve">zdecydowanie </w:t>
      </w:r>
      <w:r w:rsidR="00274A63" w:rsidRPr="00324AA9">
        <w:rPr>
          <w:rFonts w:ascii="Verdana" w:hAnsi="Verdana" w:cstheme="minorHAnsi"/>
          <w:i/>
          <w:iCs/>
          <w:sz w:val="20"/>
          <w:szCs w:val="20"/>
        </w:rPr>
        <w:t xml:space="preserve">nie powinien zrażać się </w:t>
      </w:r>
      <w:r w:rsidR="00EF6EF7" w:rsidRPr="00324AA9">
        <w:rPr>
          <w:rFonts w:ascii="Verdana" w:hAnsi="Verdana" w:cstheme="minorHAnsi"/>
          <w:i/>
          <w:iCs/>
          <w:sz w:val="20"/>
          <w:szCs w:val="20"/>
        </w:rPr>
        <w:t>teoretycznie słabszym potencjałem fotowoltaicznym</w:t>
      </w:r>
      <w:r w:rsidR="00EF6EF7" w:rsidRPr="00324AA9">
        <w:rPr>
          <w:rFonts w:ascii="Verdana" w:hAnsi="Verdana" w:cstheme="minorHAnsi"/>
          <w:sz w:val="20"/>
          <w:szCs w:val="20"/>
        </w:rPr>
        <w:t xml:space="preserve"> – tłumaczy</w:t>
      </w:r>
      <w:r w:rsidR="009571DC">
        <w:rPr>
          <w:rFonts w:ascii="Verdana" w:hAnsi="Verdana" w:cstheme="minorHAnsi"/>
          <w:sz w:val="20"/>
          <w:szCs w:val="20"/>
        </w:rPr>
        <w:t xml:space="preserve"> Wojciech Pawelczyk, specjalista GIS</w:t>
      </w:r>
      <w:r w:rsidR="003B2A9C" w:rsidRPr="003B2A9C">
        <w:rPr>
          <w:rFonts w:ascii="Verdana" w:hAnsi="Verdana" w:cstheme="minorHAnsi"/>
          <w:sz w:val="20"/>
          <w:szCs w:val="20"/>
        </w:rPr>
        <w:t>.</w:t>
      </w:r>
    </w:p>
    <w:p w14:paraId="7A2BAD11" w14:textId="77777777" w:rsidR="005457EF" w:rsidRPr="00324AA9" w:rsidRDefault="005457EF">
      <w:pPr>
        <w:rPr>
          <w:rFonts w:ascii="Verdana" w:hAnsi="Verdana" w:cstheme="minorHAnsi"/>
          <w:sz w:val="20"/>
          <w:szCs w:val="20"/>
        </w:rPr>
      </w:pPr>
    </w:p>
    <w:p w14:paraId="2A289F0F" w14:textId="4EAEE525" w:rsidR="0023683D" w:rsidRPr="00324AA9" w:rsidRDefault="0023683D">
      <w:pPr>
        <w:rPr>
          <w:rFonts w:ascii="Verdana" w:hAnsi="Verdana" w:cstheme="minorHAnsi"/>
          <w:b/>
          <w:bCs/>
          <w:sz w:val="20"/>
          <w:szCs w:val="20"/>
        </w:rPr>
      </w:pPr>
      <w:r w:rsidRPr="00324AA9">
        <w:rPr>
          <w:rFonts w:ascii="Verdana" w:hAnsi="Verdana" w:cstheme="minorHAnsi"/>
          <w:b/>
          <w:bCs/>
          <w:sz w:val="20"/>
          <w:szCs w:val="20"/>
        </w:rPr>
        <w:t xml:space="preserve">Są dowody na to, że </w:t>
      </w:r>
      <w:r w:rsidR="0045677A" w:rsidRPr="00324AA9">
        <w:rPr>
          <w:rFonts w:ascii="Verdana" w:hAnsi="Verdana" w:cstheme="minorHAnsi"/>
          <w:b/>
          <w:bCs/>
          <w:sz w:val="20"/>
          <w:szCs w:val="20"/>
        </w:rPr>
        <w:t xml:space="preserve">panele PV da się zamontować niemal wszędzie </w:t>
      </w:r>
    </w:p>
    <w:p w14:paraId="613F2658" w14:textId="77777777" w:rsidR="0023683D" w:rsidRPr="00324AA9" w:rsidRDefault="0023683D">
      <w:pPr>
        <w:rPr>
          <w:rFonts w:ascii="Verdana" w:hAnsi="Verdana" w:cstheme="minorHAnsi"/>
          <w:sz w:val="20"/>
          <w:szCs w:val="20"/>
        </w:rPr>
      </w:pPr>
    </w:p>
    <w:p w14:paraId="79990DEB" w14:textId="428AF46B" w:rsidR="005457EF" w:rsidRPr="00324AA9" w:rsidRDefault="0023683D">
      <w:pPr>
        <w:rPr>
          <w:rFonts w:ascii="Verdana" w:hAnsi="Verdana" w:cstheme="minorHAnsi"/>
          <w:sz w:val="20"/>
          <w:szCs w:val="20"/>
        </w:rPr>
      </w:pPr>
      <w:r w:rsidRPr="00324AA9">
        <w:rPr>
          <w:rFonts w:ascii="Verdana" w:hAnsi="Verdana" w:cstheme="minorHAnsi"/>
          <w:sz w:val="20"/>
          <w:szCs w:val="20"/>
        </w:rPr>
        <w:t xml:space="preserve">Nie tylko mniejsze nasłonecznie </w:t>
      </w:r>
      <w:r w:rsidR="00B65273">
        <w:rPr>
          <w:rFonts w:ascii="Verdana" w:hAnsi="Verdana" w:cstheme="minorHAnsi"/>
          <w:sz w:val="20"/>
          <w:szCs w:val="20"/>
        </w:rPr>
        <w:t xml:space="preserve">terenu </w:t>
      </w:r>
      <w:r w:rsidRPr="00324AA9">
        <w:rPr>
          <w:rFonts w:ascii="Verdana" w:hAnsi="Verdana" w:cstheme="minorHAnsi"/>
          <w:sz w:val="20"/>
          <w:szCs w:val="20"/>
        </w:rPr>
        <w:t xml:space="preserve">jest akceptowalne przy </w:t>
      </w:r>
      <w:r w:rsidR="00B65273">
        <w:rPr>
          <w:rFonts w:ascii="Verdana" w:hAnsi="Verdana" w:cstheme="minorHAnsi"/>
          <w:sz w:val="20"/>
          <w:szCs w:val="20"/>
        </w:rPr>
        <w:t>budowie</w:t>
      </w:r>
      <w:r w:rsidRPr="00324AA9">
        <w:rPr>
          <w:rFonts w:ascii="Verdana" w:hAnsi="Verdana" w:cstheme="minorHAnsi"/>
          <w:sz w:val="20"/>
          <w:szCs w:val="20"/>
        </w:rPr>
        <w:t xml:space="preserve"> instalacji </w:t>
      </w:r>
      <w:r w:rsidR="009B0961">
        <w:rPr>
          <w:rFonts w:ascii="Verdana" w:hAnsi="Verdana" w:cstheme="minorHAnsi"/>
          <w:sz w:val="20"/>
          <w:szCs w:val="20"/>
        </w:rPr>
        <w:t>fotowoltaicznej</w:t>
      </w:r>
      <w:r w:rsidRPr="00324AA9">
        <w:rPr>
          <w:rFonts w:ascii="Verdana" w:hAnsi="Verdana" w:cstheme="minorHAnsi"/>
          <w:sz w:val="20"/>
          <w:szCs w:val="20"/>
        </w:rPr>
        <w:t xml:space="preserve">. </w:t>
      </w:r>
      <w:r w:rsidR="0045677A" w:rsidRPr="00324AA9">
        <w:rPr>
          <w:rFonts w:ascii="Verdana" w:hAnsi="Verdana" w:cstheme="minorHAnsi"/>
          <w:sz w:val="20"/>
          <w:szCs w:val="20"/>
        </w:rPr>
        <w:t xml:space="preserve">Nietypowe ukształtowanie terenu także nie stanowi przeszkody, pod warunkiem, że nachylenie </w:t>
      </w:r>
      <w:r w:rsidR="009B0961">
        <w:rPr>
          <w:rFonts w:ascii="Verdana" w:hAnsi="Verdana" w:cstheme="minorHAnsi"/>
          <w:sz w:val="20"/>
          <w:szCs w:val="20"/>
        </w:rPr>
        <w:t xml:space="preserve">podłoża </w:t>
      </w:r>
      <w:r w:rsidR="0045677A" w:rsidRPr="00324AA9">
        <w:rPr>
          <w:rFonts w:ascii="Verdana" w:hAnsi="Verdana" w:cstheme="minorHAnsi"/>
          <w:sz w:val="20"/>
          <w:szCs w:val="20"/>
        </w:rPr>
        <w:t>nie przekracza 15%. Farmy nie trzeba bowiem budować wyłącznie na rozległej, otwartej przestrzeni. W ostatnich latach coraz więcej instalacji pojawia się również na nieużytkowanych, poprzemysłowych obszarach, które w przeszłości pełniły bardzo różne funkcje.</w:t>
      </w:r>
      <w:r w:rsidR="0045677A" w:rsidRPr="00324AA9">
        <w:rPr>
          <w:rFonts w:ascii="Verdana" w:hAnsi="Verdana"/>
          <w:sz w:val="20"/>
          <w:szCs w:val="20"/>
        </w:rPr>
        <w:t xml:space="preserve"> </w:t>
      </w:r>
      <w:r w:rsidR="0045677A" w:rsidRPr="00324AA9">
        <w:rPr>
          <w:rFonts w:ascii="Verdana" w:hAnsi="Verdana" w:cstheme="minorHAnsi"/>
          <w:sz w:val="20"/>
          <w:szCs w:val="20"/>
        </w:rPr>
        <w:t>Pod elektrownie PV można zagospodarować również tereny rekultywowane, które nie mogłyby być użytkowane w innych celach przez najbliższe lata. Taki przykład stanowią między innymi działki po wysypiskach śmieci. Są to miejsca, w których nadal trwa proces przywracania równowagi biologicznej</w:t>
      </w:r>
      <w:r w:rsidR="006445B2">
        <w:rPr>
          <w:rFonts w:ascii="Verdana" w:hAnsi="Verdana" w:cstheme="minorHAnsi"/>
          <w:sz w:val="20"/>
          <w:szCs w:val="20"/>
        </w:rPr>
        <w:t>. J</w:t>
      </w:r>
      <w:r w:rsidR="0045677A" w:rsidRPr="00324AA9">
        <w:rPr>
          <w:rFonts w:ascii="Verdana" w:hAnsi="Verdana" w:cstheme="minorHAnsi"/>
          <w:sz w:val="20"/>
          <w:szCs w:val="20"/>
        </w:rPr>
        <w:t xml:space="preserve">ednocześnie są zbyt grząskie, by postawić na nich jakieś większe elementy infrastruktury. </w:t>
      </w:r>
      <w:proofErr w:type="spellStart"/>
      <w:r w:rsidR="00CE1D4A">
        <w:rPr>
          <w:rFonts w:ascii="Verdana" w:hAnsi="Verdana" w:cstheme="minorHAnsi"/>
          <w:sz w:val="20"/>
          <w:szCs w:val="20"/>
        </w:rPr>
        <w:t>Fotowoltaika</w:t>
      </w:r>
      <w:proofErr w:type="spellEnd"/>
      <w:r w:rsidR="00CE1D4A">
        <w:rPr>
          <w:rFonts w:ascii="Verdana" w:hAnsi="Verdana" w:cstheme="minorHAnsi"/>
          <w:sz w:val="20"/>
          <w:szCs w:val="20"/>
        </w:rPr>
        <w:t xml:space="preserve"> jest tutaj świetnym </w:t>
      </w:r>
      <w:r w:rsidR="00C621D0">
        <w:rPr>
          <w:rFonts w:ascii="Verdana" w:hAnsi="Verdana" w:cstheme="minorHAnsi"/>
          <w:sz w:val="20"/>
          <w:szCs w:val="20"/>
        </w:rPr>
        <w:t>sposobem</w:t>
      </w:r>
      <w:r w:rsidR="00CE1D4A">
        <w:rPr>
          <w:rFonts w:ascii="Verdana" w:hAnsi="Verdana" w:cstheme="minorHAnsi"/>
          <w:sz w:val="20"/>
          <w:szCs w:val="20"/>
        </w:rPr>
        <w:t xml:space="preserve"> </w:t>
      </w:r>
      <w:r w:rsidR="00C621D0">
        <w:rPr>
          <w:rFonts w:ascii="Verdana" w:hAnsi="Verdana" w:cstheme="minorHAnsi"/>
          <w:sz w:val="20"/>
          <w:szCs w:val="20"/>
        </w:rPr>
        <w:t>zagospodarowania</w:t>
      </w:r>
      <w:r w:rsidR="00CE1D4A">
        <w:rPr>
          <w:rFonts w:ascii="Verdana" w:hAnsi="Verdana" w:cstheme="minorHAnsi"/>
          <w:sz w:val="20"/>
          <w:szCs w:val="20"/>
        </w:rPr>
        <w:t xml:space="preserve"> takiego terenu.</w:t>
      </w:r>
    </w:p>
    <w:p w14:paraId="03951054" w14:textId="77777777" w:rsidR="0023683D" w:rsidRPr="00324AA9" w:rsidRDefault="0023683D">
      <w:pPr>
        <w:rPr>
          <w:rFonts w:ascii="Verdana" w:hAnsi="Verdana" w:cstheme="minorHAnsi"/>
          <w:sz w:val="20"/>
          <w:szCs w:val="20"/>
        </w:rPr>
      </w:pPr>
    </w:p>
    <w:p w14:paraId="38A7B9C3" w14:textId="4E45B52C" w:rsidR="004D23F0" w:rsidRDefault="00E33F64" w:rsidP="0023683D">
      <w:pPr>
        <w:rPr>
          <w:rFonts w:ascii="Verdana" w:hAnsi="Verdana" w:cstheme="minorHAnsi"/>
          <w:i/>
          <w:iCs/>
          <w:sz w:val="20"/>
          <w:szCs w:val="20"/>
        </w:rPr>
      </w:pPr>
      <w:r w:rsidRPr="00722C81">
        <w:rPr>
          <w:rFonts w:ascii="Verdana" w:hAnsi="Verdana" w:cstheme="minorHAnsi"/>
          <w:sz w:val="20"/>
          <w:szCs w:val="20"/>
        </w:rPr>
        <w:t>–</w:t>
      </w:r>
      <w:r w:rsidR="00C621D0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23683D" w:rsidRPr="00324AA9">
        <w:rPr>
          <w:rFonts w:ascii="Verdana" w:hAnsi="Verdana" w:cstheme="minorHAnsi"/>
          <w:i/>
          <w:iCs/>
          <w:sz w:val="20"/>
          <w:szCs w:val="20"/>
        </w:rPr>
        <w:t>Właściciel nieużywanej działki może podpisać umowę na jej dzierżawę</w:t>
      </w:r>
      <w:r w:rsidR="009F44E8" w:rsidRPr="00324AA9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BC0FFB">
        <w:rPr>
          <w:rFonts w:ascii="Verdana" w:hAnsi="Verdana" w:cstheme="minorHAnsi"/>
          <w:i/>
          <w:iCs/>
          <w:sz w:val="20"/>
          <w:szCs w:val="20"/>
        </w:rPr>
        <w:t>na</w:t>
      </w:r>
      <w:r w:rsidR="0023683D" w:rsidRPr="00324AA9">
        <w:rPr>
          <w:rFonts w:ascii="Verdana" w:hAnsi="Verdana" w:cstheme="minorHAnsi"/>
          <w:i/>
          <w:iCs/>
          <w:sz w:val="20"/>
          <w:szCs w:val="20"/>
        </w:rPr>
        <w:t xml:space="preserve"> kilkanaście lub nawet kilkadziesiąt lat</w:t>
      </w:r>
      <w:r w:rsidR="009F44E8" w:rsidRPr="00324AA9">
        <w:rPr>
          <w:rFonts w:ascii="Verdana" w:hAnsi="Verdana" w:cstheme="minorHAnsi"/>
          <w:i/>
          <w:iCs/>
          <w:sz w:val="20"/>
          <w:szCs w:val="20"/>
        </w:rPr>
        <w:t xml:space="preserve">. </w:t>
      </w:r>
      <w:r w:rsidR="00811CB3">
        <w:rPr>
          <w:rFonts w:ascii="Verdana" w:hAnsi="Verdana" w:cstheme="minorHAnsi"/>
          <w:i/>
          <w:iCs/>
          <w:sz w:val="20"/>
          <w:szCs w:val="20"/>
        </w:rPr>
        <w:t>Z</w:t>
      </w:r>
      <w:r w:rsidR="0023683D" w:rsidRPr="00324AA9">
        <w:rPr>
          <w:rFonts w:ascii="Verdana" w:hAnsi="Verdana" w:cstheme="minorHAnsi"/>
          <w:i/>
          <w:iCs/>
          <w:sz w:val="20"/>
          <w:szCs w:val="20"/>
        </w:rPr>
        <w:t>apewni</w:t>
      </w:r>
      <w:r w:rsidR="00811CB3">
        <w:rPr>
          <w:rFonts w:ascii="Verdana" w:hAnsi="Verdana" w:cstheme="minorHAnsi"/>
          <w:i/>
          <w:iCs/>
          <w:sz w:val="20"/>
          <w:szCs w:val="20"/>
        </w:rPr>
        <w:t xml:space="preserve"> mu to</w:t>
      </w:r>
      <w:r w:rsidR="0023683D" w:rsidRPr="00324AA9">
        <w:rPr>
          <w:rFonts w:ascii="Verdana" w:hAnsi="Verdana" w:cstheme="minorHAnsi"/>
          <w:i/>
          <w:iCs/>
          <w:sz w:val="20"/>
          <w:szCs w:val="20"/>
        </w:rPr>
        <w:t xml:space="preserve"> stały roczny przychód, który moż</w:t>
      </w:r>
      <w:r w:rsidR="00B33DB7">
        <w:rPr>
          <w:rFonts w:ascii="Verdana" w:hAnsi="Verdana" w:cstheme="minorHAnsi"/>
          <w:i/>
          <w:iCs/>
          <w:sz w:val="20"/>
          <w:szCs w:val="20"/>
        </w:rPr>
        <w:t>e</w:t>
      </w:r>
      <w:r w:rsidR="0023683D" w:rsidRPr="00324AA9">
        <w:rPr>
          <w:rFonts w:ascii="Verdana" w:hAnsi="Verdana" w:cstheme="minorHAnsi"/>
          <w:i/>
          <w:iCs/>
          <w:sz w:val="20"/>
          <w:szCs w:val="20"/>
        </w:rPr>
        <w:t xml:space="preserve"> reinwestować w modernizację gospodarstwa, zakup maszyn czy uprawę na innych działkach o lepszej klasie. Zyski z dzierżawy naliczane są od momentu rozpoczęcia budowy farmy, a ich wysokość zależy między innymi od wielkości terenu</w:t>
      </w:r>
      <w:r w:rsidR="00F46015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F46015" w:rsidRPr="00324AA9">
        <w:rPr>
          <w:rFonts w:ascii="Verdana" w:hAnsi="Verdana" w:cstheme="minorHAnsi"/>
          <w:sz w:val="20"/>
          <w:szCs w:val="20"/>
        </w:rPr>
        <w:t xml:space="preserve">– </w:t>
      </w:r>
      <w:r w:rsidR="00F46015" w:rsidRPr="00936871">
        <w:rPr>
          <w:rFonts w:ascii="Verdana" w:hAnsi="Verdana" w:cstheme="minorHAnsi"/>
          <w:sz w:val="20"/>
          <w:szCs w:val="20"/>
        </w:rPr>
        <w:t xml:space="preserve">mówi Alicja Piątek, dyrektorka rozwoju projektów fotowoltaicznych </w:t>
      </w:r>
      <w:proofErr w:type="spellStart"/>
      <w:r w:rsidR="00F46015" w:rsidRPr="00936871">
        <w:rPr>
          <w:rFonts w:ascii="Verdana" w:hAnsi="Verdana" w:cstheme="minorHAnsi"/>
          <w:sz w:val="20"/>
          <w:szCs w:val="20"/>
        </w:rPr>
        <w:t>Axpo</w:t>
      </w:r>
      <w:proofErr w:type="spellEnd"/>
      <w:r w:rsidR="00F46015" w:rsidRPr="00936871">
        <w:rPr>
          <w:rFonts w:ascii="Verdana" w:hAnsi="Verdana" w:cstheme="minorHAnsi"/>
          <w:sz w:val="20"/>
          <w:szCs w:val="20"/>
        </w:rPr>
        <w:t xml:space="preserve"> w Polsce.</w:t>
      </w:r>
    </w:p>
    <w:p w14:paraId="088CEB08" w14:textId="77777777" w:rsidR="004D23F0" w:rsidRDefault="004D23F0" w:rsidP="0023683D">
      <w:pPr>
        <w:rPr>
          <w:rFonts w:ascii="Verdana" w:hAnsi="Verdana" w:cstheme="minorHAnsi"/>
          <w:i/>
          <w:iCs/>
          <w:sz w:val="20"/>
          <w:szCs w:val="20"/>
        </w:rPr>
      </w:pPr>
    </w:p>
    <w:p w14:paraId="16DFE8FC" w14:textId="5CBEF60E" w:rsidR="0023683D" w:rsidRPr="0005147E" w:rsidRDefault="00E826FE" w:rsidP="0023683D">
      <w:pPr>
        <w:rPr>
          <w:rFonts w:ascii="Verdana" w:hAnsi="Verdana" w:cstheme="minorHAnsi"/>
          <w:sz w:val="20"/>
          <w:szCs w:val="20"/>
        </w:rPr>
      </w:pPr>
      <w:r w:rsidRPr="00722C81">
        <w:rPr>
          <w:rFonts w:ascii="Verdana" w:hAnsi="Verdana" w:cstheme="minorHAnsi"/>
          <w:sz w:val="20"/>
          <w:szCs w:val="20"/>
        </w:rPr>
        <w:lastRenderedPageBreak/>
        <w:t>–</w:t>
      </w:r>
      <w:r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9205EC">
        <w:rPr>
          <w:rFonts w:ascii="Verdana" w:hAnsi="Verdana" w:cstheme="minorHAnsi"/>
          <w:i/>
          <w:iCs/>
          <w:sz w:val="20"/>
          <w:szCs w:val="20"/>
        </w:rPr>
        <w:t>W</w:t>
      </w:r>
      <w:r w:rsidR="004D23F0">
        <w:rPr>
          <w:rFonts w:ascii="Verdana" w:hAnsi="Verdana" w:cstheme="minorHAnsi"/>
          <w:i/>
          <w:iCs/>
          <w:sz w:val="20"/>
          <w:szCs w:val="20"/>
        </w:rPr>
        <w:t>spółprac</w:t>
      </w:r>
      <w:r w:rsidR="009205EC">
        <w:rPr>
          <w:rFonts w:ascii="Verdana" w:hAnsi="Verdana" w:cstheme="minorHAnsi"/>
          <w:i/>
          <w:iCs/>
          <w:sz w:val="20"/>
          <w:szCs w:val="20"/>
        </w:rPr>
        <w:t>ujemy</w:t>
      </w:r>
      <w:r w:rsidR="004D23F0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9205EC">
        <w:rPr>
          <w:rFonts w:ascii="Verdana" w:hAnsi="Verdana" w:cstheme="minorHAnsi"/>
          <w:i/>
          <w:iCs/>
          <w:sz w:val="20"/>
          <w:szCs w:val="20"/>
        </w:rPr>
        <w:t>także z k</w:t>
      </w:r>
      <w:r w:rsidR="004D23F0">
        <w:rPr>
          <w:rFonts w:ascii="Verdana" w:hAnsi="Verdana" w:cstheme="minorHAnsi"/>
          <w:i/>
          <w:iCs/>
          <w:sz w:val="20"/>
          <w:szCs w:val="20"/>
        </w:rPr>
        <w:t>lient</w:t>
      </w:r>
      <w:r w:rsidR="009205EC">
        <w:rPr>
          <w:rFonts w:ascii="Verdana" w:hAnsi="Verdana" w:cstheme="minorHAnsi"/>
          <w:i/>
          <w:iCs/>
          <w:sz w:val="20"/>
          <w:szCs w:val="20"/>
        </w:rPr>
        <w:t>ami</w:t>
      </w:r>
      <w:r w:rsidR="004D23F0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9205EC">
        <w:rPr>
          <w:rFonts w:ascii="Verdana" w:hAnsi="Verdana" w:cstheme="minorHAnsi"/>
          <w:i/>
          <w:iCs/>
          <w:sz w:val="20"/>
          <w:szCs w:val="20"/>
        </w:rPr>
        <w:t>b</w:t>
      </w:r>
      <w:r w:rsidR="004D23F0">
        <w:rPr>
          <w:rFonts w:ascii="Verdana" w:hAnsi="Verdana" w:cstheme="minorHAnsi"/>
          <w:i/>
          <w:iCs/>
          <w:sz w:val="20"/>
          <w:szCs w:val="20"/>
        </w:rPr>
        <w:t>iznesowy</w:t>
      </w:r>
      <w:r w:rsidR="00D56B67">
        <w:rPr>
          <w:rFonts w:ascii="Verdana" w:hAnsi="Verdana" w:cstheme="minorHAnsi"/>
          <w:i/>
          <w:iCs/>
          <w:sz w:val="20"/>
          <w:szCs w:val="20"/>
        </w:rPr>
        <w:t>mi</w:t>
      </w:r>
      <w:r w:rsidR="004D23F0">
        <w:rPr>
          <w:rFonts w:ascii="Verdana" w:hAnsi="Verdana" w:cstheme="minorHAnsi"/>
          <w:i/>
          <w:iCs/>
          <w:sz w:val="20"/>
          <w:szCs w:val="20"/>
        </w:rPr>
        <w:t xml:space="preserve">. </w:t>
      </w:r>
      <w:r w:rsidR="00B33DB7">
        <w:rPr>
          <w:rFonts w:ascii="Verdana" w:hAnsi="Verdana" w:cstheme="minorHAnsi"/>
          <w:i/>
          <w:iCs/>
          <w:sz w:val="20"/>
          <w:szCs w:val="20"/>
        </w:rPr>
        <w:t>Więksi przedsiębiorcy</w:t>
      </w:r>
      <w:r w:rsidR="009F44E8" w:rsidRPr="00324AA9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B33DB7">
        <w:rPr>
          <w:rFonts w:ascii="Verdana" w:hAnsi="Verdana" w:cstheme="minorHAnsi"/>
          <w:i/>
          <w:iCs/>
          <w:sz w:val="20"/>
          <w:szCs w:val="20"/>
        </w:rPr>
        <w:t xml:space="preserve">mogą </w:t>
      </w:r>
      <w:r w:rsidR="0023683D" w:rsidRPr="00324AA9">
        <w:rPr>
          <w:rFonts w:ascii="Verdana" w:hAnsi="Verdana" w:cstheme="minorHAnsi"/>
          <w:i/>
          <w:iCs/>
          <w:sz w:val="20"/>
          <w:szCs w:val="20"/>
        </w:rPr>
        <w:t>wyna</w:t>
      </w:r>
      <w:r w:rsidR="00B33DB7">
        <w:rPr>
          <w:rFonts w:ascii="Verdana" w:hAnsi="Verdana" w:cstheme="minorHAnsi"/>
          <w:i/>
          <w:iCs/>
          <w:sz w:val="20"/>
          <w:szCs w:val="20"/>
        </w:rPr>
        <w:t>jąć</w:t>
      </w:r>
      <w:r w:rsidR="0023683D" w:rsidRPr="00324AA9">
        <w:rPr>
          <w:rFonts w:ascii="Verdana" w:hAnsi="Verdana" w:cstheme="minorHAnsi"/>
          <w:i/>
          <w:iCs/>
          <w:sz w:val="20"/>
          <w:szCs w:val="20"/>
        </w:rPr>
        <w:t xml:space="preserve"> pod instalację solarną</w:t>
      </w:r>
      <w:r w:rsidR="00D56B67">
        <w:rPr>
          <w:rFonts w:ascii="Verdana" w:hAnsi="Verdana" w:cstheme="minorHAnsi"/>
          <w:i/>
          <w:iCs/>
          <w:sz w:val="20"/>
          <w:szCs w:val="20"/>
        </w:rPr>
        <w:t xml:space="preserve"> także dach</w:t>
      </w:r>
      <w:r>
        <w:rPr>
          <w:rFonts w:ascii="Verdana" w:hAnsi="Verdana" w:cstheme="minorHAnsi"/>
          <w:i/>
          <w:iCs/>
          <w:sz w:val="20"/>
          <w:szCs w:val="20"/>
        </w:rPr>
        <w:t>y swoich budynków</w:t>
      </w:r>
      <w:r w:rsidR="0023683D" w:rsidRPr="00324AA9">
        <w:rPr>
          <w:rFonts w:ascii="Verdana" w:hAnsi="Verdana" w:cstheme="minorHAnsi"/>
          <w:i/>
          <w:iCs/>
          <w:sz w:val="20"/>
          <w:szCs w:val="20"/>
        </w:rPr>
        <w:t xml:space="preserve">. Taki model współpracy </w:t>
      </w:r>
      <w:r w:rsidR="009F44E8" w:rsidRPr="00324AA9">
        <w:rPr>
          <w:rFonts w:ascii="Verdana" w:hAnsi="Verdana" w:cstheme="minorHAnsi"/>
          <w:i/>
          <w:iCs/>
          <w:sz w:val="20"/>
          <w:szCs w:val="20"/>
        </w:rPr>
        <w:t xml:space="preserve">zapewnia </w:t>
      </w:r>
      <w:r w:rsidR="0023683D" w:rsidRPr="00324AA9">
        <w:rPr>
          <w:rFonts w:ascii="Verdana" w:hAnsi="Verdana" w:cstheme="minorHAnsi"/>
          <w:i/>
          <w:iCs/>
          <w:sz w:val="20"/>
          <w:szCs w:val="20"/>
        </w:rPr>
        <w:t xml:space="preserve">stałą cenę energii, poprzez którą spłacany jest inwestorowi koszt instalacji. </w:t>
      </w:r>
      <w:r w:rsidR="00A15798">
        <w:rPr>
          <w:rFonts w:ascii="Verdana" w:hAnsi="Verdana" w:cstheme="minorHAnsi"/>
          <w:i/>
          <w:iCs/>
          <w:sz w:val="20"/>
          <w:szCs w:val="20"/>
        </w:rPr>
        <w:t>Farma</w:t>
      </w:r>
      <w:r w:rsidR="0023683D" w:rsidRPr="00324AA9">
        <w:rPr>
          <w:rFonts w:ascii="Verdana" w:hAnsi="Verdana" w:cstheme="minorHAnsi"/>
          <w:i/>
          <w:iCs/>
          <w:sz w:val="20"/>
          <w:szCs w:val="20"/>
        </w:rPr>
        <w:t xml:space="preserve"> pokrywa zużycie energii </w:t>
      </w:r>
      <w:r w:rsidR="00A15798">
        <w:rPr>
          <w:rFonts w:ascii="Verdana" w:hAnsi="Verdana" w:cstheme="minorHAnsi"/>
          <w:i/>
          <w:iCs/>
          <w:sz w:val="20"/>
          <w:szCs w:val="20"/>
        </w:rPr>
        <w:t>przez przedsiębiorstwo</w:t>
      </w:r>
      <w:r w:rsidR="0023683D" w:rsidRPr="00324AA9">
        <w:rPr>
          <w:rFonts w:ascii="Verdana" w:hAnsi="Verdana" w:cstheme="minorHAnsi"/>
          <w:i/>
          <w:iCs/>
          <w:sz w:val="20"/>
          <w:szCs w:val="20"/>
        </w:rPr>
        <w:t xml:space="preserve">, a nadwyżki wyprodukowanej energii odbiera spółka obrotu. Umowy tego typu zwykle mają długi okres obowiązywania, wynoszący od 15 do 20 lat, a </w:t>
      </w:r>
      <w:r w:rsidR="0023683D" w:rsidRPr="0005147E">
        <w:rPr>
          <w:rFonts w:ascii="Verdana" w:hAnsi="Verdana" w:cstheme="minorHAnsi"/>
          <w:i/>
          <w:iCs/>
          <w:sz w:val="20"/>
          <w:szCs w:val="20"/>
        </w:rPr>
        <w:t xml:space="preserve">po ich wygaśnięciu to </w:t>
      </w:r>
      <w:r w:rsidR="006341C3">
        <w:rPr>
          <w:rFonts w:ascii="Verdana" w:hAnsi="Verdana" w:cstheme="minorHAnsi"/>
          <w:i/>
          <w:iCs/>
          <w:sz w:val="20"/>
          <w:szCs w:val="20"/>
        </w:rPr>
        <w:t>przedsiębiorca</w:t>
      </w:r>
      <w:r w:rsidR="0023683D" w:rsidRPr="0005147E">
        <w:rPr>
          <w:rFonts w:ascii="Verdana" w:hAnsi="Verdana" w:cstheme="minorHAnsi"/>
          <w:i/>
          <w:iCs/>
          <w:sz w:val="20"/>
          <w:szCs w:val="20"/>
        </w:rPr>
        <w:t xml:space="preserve"> </w:t>
      </w:r>
      <w:r w:rsidR="005D5056" w:rsidRPr="0005147E">
        <w:rPr>
          <w:rFonts w:ascii="Verdana" w:hAnsi="Verdana" w:cstheme="minorHAnsi"/>
          <w:i/>
          <w:iCs/>
          <w:sz w:val="20"/>
          <w:szCs w:val="20"/>
        </w:rPr>
        <w:t>sta</w:t>
      </w:r>
      <w:r w:rsidR="006341C3">
        <w:rPr>
          <w:rFonts w:ascii="Verdana" w:hAnsi="Verdana" w:cstheme="minorHAnsi"/>
          <w:i/>
          <w:iCs/>
          <w:sz w:val="20"/>
          <w:szCs w:val="20"/>
        </w:rPr>
        <w:t>je</w:t>
      </w:r>
      <w:r w:rsidR="005D5056" w:rsidRPr="0005147E">
        <w:rPr>
          <w:rFonts w:ascii="Verdana" w:hAnsi="Verdana" w:cstheme="minorHAnsi"/>
          <w:i/>
          <w:iCs/>
          <w:sz w:val="20"/>
          <w:szCs w:val="20"/>
        </w:rPr>
        <w:t xml:space="preserve"> się</w:t>
      </w:r>
      <w:r w:rsidR="0023683D" w:rsidRPr="0005147E">
        <w:rPr>
          <w:rFonts w:ascii="Verdana" w:hAnsi="Verdana" w:cstheme="minorHAnsi"/>
          <w:i/>
          <w:iCs/>
          <w:sz w:val="20"/>
          <w:szCs w:val="20"/>
        </w:rPr>
        <w:t xml:space="preserve"> wyłącznym właścicielem instalacji fotowoltaicznej</w:t>
      </w:r>
      <w:r w:rsidR="009F44E8" w:rsidRPr="0005147E">
        <w:rPr>
          <w:rFonts w:ascii="Verdana" w:hAnsi="Verdana" w:cstheme="minorHAnsi"/>
          <w:sz w:val="20"/>
          <w:szCs w:val="20"/>
        </w:rPr>
        <w:t xml:space="preserve"> – dodaje</w:t>
      </w:r>
      <w:r w:rsidR="00F46015">
        <w:rPr>
          <w:rFonts w:ascii="Verdana" w:hAnsi="Verdana" w:cstheme="minorHAnsi"/>
          <w:sz w:val="20"/>
          <w:szCs w:val="20"/>
        </w:rPr>
        <w:t xml:space="preserve"> Alicja Piątek.</w:t>
      </w:r>
    </w:p>
    <w:p w14:paraId="034DFD37" w14:textId="77777777" w:rsidR="0023683D" w:rsidRDefault="0023683D">
      <w:pPr>
        <w:rPr>
          <w:rFonts w:ascii="Verdana" w:hAnsi="Verdana" w:cstheme="minorHAnsi"/>
          <w:sz w:val="20"/>
          <w:szCs w:val="20"/>
        </w:rPr>
      </w:pPr>
    </w:p>
    <w:p w14:paraId="5EEFBF9F" w14:textId="77777777" w:rsidR="00722C81" w:rsidRDefault="00722C81">
      <w:pPr>
        <w:rPr>
          <w:rFonts w:ascii="Verdana" w:hAnsi="Verdana" w:cstheme="minorHAnsi"/>
          <w:sz w:val="20"/>
          <w:szCs w:val="20"/>
        </w:rPr>
      </w:pPr>
    </w:p>
    <w:p w14:paraId="596E73F5" w14:textId="48FD4D03" w:rsidR="00722C81" w:rsidRPr="0005147E" w:rsidRDefault="00722C81" w:rsidP="00405511">
      <w:pPr>
        <w:rPr>
          <w:rFonts w:ascii="Verdana" w:hAnsi="Verdana" w:cstheme="minorHAnsi"/>
          <w:i/>
          <w:iCs/>
          <w:sz w:val="20"/>
          <w:szCs w:val="20"/>
        </w:rPr>
      </w:pPr>
    </w:p>
    <w:sectPr w:rsidR="00722C81" w:rsidRPr="00051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E56F" w14:textId="77777777" w:rsidR="00502DB1" w:rsidRDefault="00502DB1" w:rsidP="002B451C">
      <w:r>
        <w:separator/>
      </w:r>
    </w:p>
  </w:endnote>
  <w:endnote w:type="continuationSeparator" w:id="0">
    <w:p w14:paraId="12EE11D0" w14:textId="77777777" w:rsidR="00502DB1" w:rsidRDefault="00502DB1" w:rsidP="002B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488E7" w14:textId="77777777" w:rsidR="00502DB1" w:rsidRDefault="00502DB1" w:rsidP="002B451C">
      <w:r>
        <w:separator/>
      </w:r>
    </w:p>
  </w:footnote>
  <w:footnote w:type="continuationSeparator" w:id="0">
    <w:p w14:paraId="21947D57" w14:textId="77777777" w:rsidR="00502DB1" w:rsidRDefault="00502DB1" w:rsidP="002B451C">
      <w:r>
        <w:continuationSeparator/>
      </w:r>
    </w:p>
  </w:footnote>
  <w:footnote w:id="1">
    <w:p w14:paraId="3FCF5317" w14:textId="70BDAACC" w:rsidR="002B451C" w:rsidRPr="005B75F4" w:rsidRDefault="002B451C">
      <w:pPr>
        <w:pStyle w:val="Tekstprzypisudolnego"/>
        <w:rPr>
          <w:rFonts w:ascii="Verdana" w:hAnsi="Verdana"/>
          <w:sz w:val="16"/>
          <w:szCs w:val="16"/>
        </w:rPr>
      </w:pPr>
      <w:r w:rsidRPr="005B75F4">
        <w:rPr>
          <w:rStyle w:val="Odwoanieprzypisudolnego"/>
          <w:rFonts w:ascii="Verdana" w:hAnsi="Verdana"/>
          <w:sz w:val="16"/>
          <w:szCs w:val="16"/>
        </w:rPr>
        <w:footnoteRef/>
      </w:r>
      <w:r w:rsidRPr="005B75F4">
        <w:rPr>
          <w:rFonts w:ascii="Verdana" w:hAnsi="Verdana"/>
          <w:sz w:val="16"/>
          <w:szCs w:val="16"/>
        </w:rPr>
        <w:t xml:space="preserve"> </w:t>
      </w:r>
      <w:r w:rsidR="005B75F4" w:rsidRPr="005B75F4">
        <w:rPr>
          <w:rFonts w:ascii="Verdana" w:hAnsi="Verdana"/>
          <w:sz w:val="16"/>
          <w:szCs w:val="16"/>
        </w:rPr>
        <w:t xml:space="preserve">Instytut Energetyki Odnawialnej, Raport „Rynek </w:t>
      </w:r>
      <w:proofErr w:type="spellStart"/>
      <w:r w:rsidR="005B75F4" w:rsidRPr="005B75F4">
        <w:rPr>
          <w:rFonts w:ascii="Verdana" w:hAnsi="Verdana"/>
          <w:sz w:val="16"/>
          <w:szCs w:val="16"/>
        </w:rPr>
        <w:t>fotowoltaiki</w:t>
      </w:r>
      <w:proofErr w:type="spellEnd"/>
      <w:r w:rsidR="005B75F4" w:rsidRPr="005B75F4">
        <w:rPr>
          <w:rFonts w:ascii="Verdana" w:hAnsi="Verdana"/>
          <w:sz w:val="16"/>
          <w:szCs w:val="16"/>
        </w:rPr>
        <w:t xml:space="preserve"> w Polsce 2023”, maj 2023.</w:t>
      </w:r>
    </w:p>
  </w:footnote>
  <w:footnote w:id="2">
    <w:p w14:paraId="5776CC94" w14:textId="717F11D8" w:rsidR="008804E0" w:rsidRDefault="008804E0">
      <w:pPr>
        <w:pStyle w:val="Tekstprzypisudolnego"/>
      </w:pPr>
      <w:r w:rsidRPr="005B75F4">
        <w:rPr>
          <w:rStyle w:val="Odwoanieprzypisudolnego"/>
          <w:rFonts w:ascii="Verdana" w:hAnsi="Verdana"/>
          <w:sz w:val="16"/>
          <w:szCs w:val="16"/>
        </w:rPr>
        <w:footnoteRef/>
      </w:r>
      <w:r w:rsidRPr="005B75F4">
        <w:rPr>
          <w:rFonts w:ascii="Verdana" w:hAnsi="Verdana"/>
          <w:sz w:val="16"/>
          <w:szCs w:val="16"/>
        </w:rPr>
        <w:t xml:space="preserve"> Instytut Energetyki Odnawialnej, Raport „Rynek </w:t>
      </w:r>
      <w:proofErr w:type="spellStart"/>
      <w:r w:rsidRPr="005B75F4">
        <w:rPr>
          <w:rFonts w:ascii="Verdana" w:hAnsi="Verdana"/>
          <w:sz w:val="16"/>
          <w:szCs w:val="16"/>
        </w:rPr>
        <w:t>fotowoltaiki</w:t>
      </w:r>
      <w:proofErr w:type="spellEnd"/>
      <w:r w:rsidRPr="005B75F4">
        <w:rPr>
          <w:rFonts w:ascii="Verdana" w:hAnsi="Verdana"/>
          <w:sz w:val="16"/>
          <w:szCs w:val="16"/>
        </w:rPr>
        <w:t xml:space="preserve"> w Polsce 2023”, maj 2023.</w:t>
      </w:r>
    </w:p>
  </w:footnote>
  <w:footnote w:id="3">
    <w:p w14:paraId="175F814E" w14:textId="3614C7E1" w:rsidR="00C741AF" w:rsidRPr="005B75F4" w:rsidRDefault="00C741AF">
      <w:pPr>
        <w:pStyle w:val="Tekstprzypisudolnego"/>
        <w:rPr>
          <w:rFonts w:ascii="Verdana" w:hAnsi="Verdana"/>
        </w:rPr>
      </w:pPr>
      <w:r w:rsidRPr="005B75F4">
        <w:rPr>
          <w:rStyle w:val="Odwoanieprzypisudolnego"/>
          <w:rFonts w:ascii="Verdana" w:hAnsi="Verdana"/>
          <w:sz w:val="16"/>
          <w:szCs w:val="16"/>
        </w:rPr>
        <w:footnoteRef/>
      </w:r>
      <w:r w:rsidRPr="005B75F4">
        <w:rPr>
          <w:rFonts w:ascii="Verdana" w:hAnsi="Verdana"/>
          <w:sz w:val="16"/>
          <w:szCs w:val="16"/>
        </w:rPr>
        <w:t xml:space="preserve"> Instytut Energetyki Odnawialnej, baza danych „Funkcjonujące instalacje fotowoltaiczne w Polsce”, marzec 2023.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8248B"/>
    <w:multiLevelType w:val="hybridMultilevel"/>
    <w:tmpl w:val="2B908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21449"/>
    <w:multiLevelType w:val="multilevel"/>
    <w:tmpl w:val="DA08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37462675">
    <w:abstractNumId w:val="1"/>
  </w:num>
  <w:num w:numId="2" w16cid:durableId="1847787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AAE"/>
    <w:rsid w:val="00040BA3"/>
    <w:rsid w:val="0005147E"/>
    <w:rsid w:val="00083177"/>
    <w:rsid w:val="00092539"/>
    <w:rsid w:val="000B2868"/>
    <w:rsid w:val="000D29C0"/>
    <w:rsid w:val="000D49C4"/>
    <w:rsid w:val="000F4A70"/>
    <w:rsid w:val="00153D12"/>
    <w:rsid w:val="00164A38"/>
    <w:rsid w:val="00176AF5"/>
    <w:rsid w:val="00182B45"/>
    <w:rsid w:val="001956DE"/>
    <w:rsid w:val="001A1FCC"/>
    <w:rsid w:val="001A5202"/>
    <w:rsid w:val="001C65B5"/>
    <w:rsid w:val="00222855"/>
    <w:rsid w:val="00234F77"/>
    <w:rsid w:val="0023683D"/>
    <w:rsid w:val="0024645B"/>
    <w:rsid w:val="00252F29"/>
    <w:rsid w:val="00255710"/>
    <w:rsid w:val="00257402"/>
    <w:rsid w:val="00265F62"/>
    <w:rsid w:val="00274A63"/>
    <w:rsid w:val="002A5ACC"/>
    <w:rsid w:val="002B451C"/>
    <w:rsid w:val="00324AA9"/>
    <w:rsid w:val="003652BE"/>
    <w:rsid w:val="00372281"/>
    <w:rsid w:val="003B2A9C"/>
    <w:rsid w:val="003C6199"/>
    <w:rsid w:val="003F7196"/>
    <w:rsid w:val="00405511"/>
    <w:rsid w:val="00410F3F"/>
    <w:rsid w:val="0045677A"/>
    <w:rsid w:val="0046634B"/>
    <w:rsid w:val="00467FBA"/>
    <w:rsid w:val="00481B04"/>
    <w:rsid w:val="004837C0"/>
    <w:rsid w:val="004854FB"/>
    <w:rsid w:val="004970DB"/>
    <w:rsid w:val="004C444A"/>
    <w:rsid w:val="004D23F0"/>
    <w:rsid w:val="004D380B"/>
    <w:rsid w:val="004D7073"/>
    <w:rsid w:val="00502DB1"/>
    <w:rsid w:val="005457EF"/>
    <w:rsid w:val="00571273"/>
    <w:rsid w:val="00596704"/>
    <w:rsid w:val="005B75F4"/>
    <w:rsid w:val="005D5056"/>
    <w:rsid w:val="005E7BA3"/>
    <w:rsid w:val="00607BDB"/>
    <w:rsid w:val="00611E02"/>
    <w:rsid w:val="006308A4"/>
    <w:rsid w:val="006341C3"/>
    <w:rsid w:val="006445B2"/>
    <w:rsid w:val="00645876"/>
    <w:rsid w:val="006806FC"/>
    <w:rsid w:val="006A7914"/>
    <w:rsid w:val="006B77ED"/>
    <w:rsid w:val="00722C81"/>
    <w:rsid w:val="007253D5"/>
    <w:rsid w:val="00756090"/>
    <w:rsid w:val="007762BD"/>
    <w:rsid w:val="00791C58"/>
    <w:rsid w:val="007A4F08"/>
    <w:rsid w:val="007B6CB2"/>
    <w:rsid w:val="007E1BE6"/>
    <w:rsid w:val="00811CB3"/>
    <w:rsid w:val="00825ECB"/>
    <w:rsid w:val="00866435"/>
    <w:rsid w:val="0087709F"/>
    <w:rsid w:val="008804E0"/>
    <w:rsid w:val="008A40A9"/>
    <w:rsid w:val="008C3BA1"/>
    <w:rsid w:val="009154DC"/>
    <w:rsid w:val="009159F4"/>
    <w:rsid w:val="009205EC"/>
    <w:rsid w:val="00925E7B"/>
    <w:rsid w:val="00926972"/>
    <w:rsid w:val="00935AAE"/>
    <w:rsid w:val="00936871"/>
    <w:rsid w:val="00942EDA"/>
    <w:rsid w:val="00956A84"/>
    <w:rsid w:val="009571DC"/>
    <w:rsid w:val="009675AF"/>
    <w:rsid w:val="00975BF8"/>
    <w:rsid w:val="009A099E"/>
    <w:rsid w:val="009B0961"/>
    <w:rsid w:val="009D5B32"/>
    <w:rsid w:val="009D6319"/>
    <w:rsid w:val="009E2DD2"/>
    <w:rsid w:val="009F12BD"/>
    <w:rsid w:val="009F44E8"/>
    <w:rsid w:val="00A15798"/>
    <w:rsid w:val="00A513A0"/>
    <w:rsid w:val="00A72C67"/>
    <w:rsid w:val="00AE0944"/>
    <w:rsid w:val="00B00DD6"/>
    <w:rsid w:val="00B33DB7"/>
    <w:rsid w:val="00B44D31"/>
    <w:rsid w:val="00B65273"/>
    <w:rsid w:val="00B65CF0"/>
    <w:rsid w:val="00BA0AE6"/>
    <w:rsid w:val="00BB2226"/>
    <w:rsid w:val="00BC0FFB"/>
    <w:rsid w:val="00BD404A"/>
    <w:rsid w:val="00BD75C2"/>
    <w:rsid w:val="00C159CE"/>
    <w:rsid w:val="00C515C4"/>
    <w:rsid w:val="00C621D0"/>
    <w:rsid w:val="00C741AF"/>
    <w:rsid w:val="00CA538B"/>
    <w:rsid w:val="00CA7146"/>
    <w:rsid w:val="00CE1D4A"/>
    <w:rsid w:val="00D238AB"/>
    <w:rsid w:val="00D34898"/>
    <w:rsid w:val="00D34C94"/>
    <w:rsid w:val="00D42E7C"/>
    <w:rsid w:val="00D45243"/>
    <w:rsid w:val="00D56B67"/>
    <w:rsid w:val="00D622E0"/>
    <w:rsid w:val="00D76EB0"/>
    <w:rsid w:val="00D9216E"/>
    <w:rsid w:val="00DA7E66"/>
    <w:rsid w:val="00DC3F31"/>
    <w:rsid w:val="00DD502D"/>
    <w:rsid w:val="00DE1141"/>
    <w:rsid w:val="00DE1CB2"/>
    <w:rsid w:val="00DE2F71"/>
    <w:rsid w:val="00DF1FEE"/>
    <w:rsid w:val="00E33E65"/>
    <w:rsid w:val="00E33F64"/>
    <w:rsid w:val="00E826FE"/>
    <w:rsid w:val="00E84DEE"/>
    <w:rsid w:val="00EE0364"/>
    <w:rsid w:val="00EF6EF7"/>
    <w:rsid w:val="00F201E8"/>
    <w:rsid w:val="00F31B1E"/>
    <w:rsid w:val="00F41FB4"/>
    <w:rsid w:val="00F46015"/>
    <w:rsid w:val="00F50367"/>
    <w:rsid w:val="00F752FD"/>
    <w:rsid w:val="00FC24F8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52A3"/>
  <w15:chartTrackingRefBased/>
  <w15:docId w15:val="{82F338BE-A541-4950-B6E3-E469A635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AAE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5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451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451C"/>
    <w:rPr>
      <w:rFonts w:ascii="Calibri" w:hAnsi="Calibri" w:cs="Calibri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451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5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50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502D"/>
    <w:rPr>
      <w:rFonts w:ascii="Calibri" w:hAnsi="Calibri" w:cs="Calibri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5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502D"/>
    <w:rPr>
      <w:rFonts w:ascii="Calibri" w:hAnsi="Calibri" w:cs="Calibri"/>
      <w:b/>
      <w:bCs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5D5056"/>
    <w:pPr>
      <w:spacing w:after="0" w:line="240" w:lineRule="auto"/>
    </w:pPr>
    <w:rPr>
      <w:rFonts w:ascii="Calibri" w:hAnsi="Calibri" w:cs="Calibri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B2FE0-300A-4345-9AD9-151865505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870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Chodacka-Seruga</dc:creator>
  <cp:keywords/>
  <dc:description/>
  <cp:lastModifiedBy>Kinga Chodacka-Seruga</cp:lastModifiedBy>
  <cp:revision>37</cp:revision>
  <dcterms:created xsi:type="dcterms:W3CDTF">2023-11-24T08:11:00Z</dcterms:created>
  <dcterms:modified xsi:type="dcterms:W3CDTF">2024-01-23T08:19:00Z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-1081687319</vt:i4>
  </property>
  <property fmtid="{D5CDD505-2E9C-101B-9397-08002B2CF9AE}" pid="3" name="_NewReviewCycle">
    <vt:lpwstr/>
  </property>
  <property fmtid="{D5CDD505-2E9C-101B-9397-08002B2CF9AE}" pid="4" name="_EmailSubject">
    <vt:lpwstr>Prośba o pilną konsultację</vt:lpwstr>
  </property>
  <property fmtid="{D5CDD505-2E9C-101B-9397-08002B2CF9AE}" pid="5" name="_AuthorEmail">
    <vt:lpwstr>Maja.Kurpiewska@axpo.com</vt:lpwstr>
  </property>
  <property fmtid="{D5CDD505-2E9C-101B-9397-08002B2CF9AE}" pid="6" name="_AuthorEmailDisplayName">
    <vt:lpwstr>Kurpiewska Maja TOP-M</vt:lpwstr>
  </property>
  <property fmtid="{D5CDD505-2E9C-101B-9397-08002B2CF9AE}" pid="7" name="_PreviousAdHocReviewCycleID">
    <vt:i4>-1081687319</vt:i4>
  </property>
  <property fmtid="{D5CDD505-2E9C-101B-9397-08002B2CF9AE}" pid="8" name="_ReviewingToolsShownOnce">
    <vt:lpwstr/>
  </property>
</Properties>
</file>