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D6E6" w14:textId="77777777" w:rsidR="00A55A9B" w:rsidRDefault="00A55A9B" w:rsidP="00A55A9B">
      <w:pPr>
        <w:spacing w:after="0" w:line="240" w:lineRule="auto"/>
        <w:ind w:left="5664" w:firstLine="708"/>
        <w:jc w:val="both"/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</w:pPr>
    </w:p>
    <w:p w14:paraId="11068430" w14:textId="565322B9" w:rsidR="00655B75" w:rsidRPr="00A55A9B" w:rsidRDefault="00361A86" w:rsidP="00A55A9B">
      <w:pPr>
        <w:spacing w:after="0" w:line="240" w:lineRule="auto"/>
        <w:ind w:left="5664" w:firstLine="708"/>
        <w:jc w:val="both"/>
        <w:rPr>
          <w:rFonts w:ascii="Century Gothic" w:eastAsia="Century Gothic" w:hAnsi="Century Gothic" w:cs="Century Gothic"/>
          <w:sz w:val="15"/>
          <w:szCs w:val="15"/>
        </w:rPr>
      </w:pPr>
      <w:r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m</w:t>
      </w:r>
      <w:r w:rsidR="007347D5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 xml:space="preserve">ateriał prasowy, </w:t>
      </w:r>
      <w:r w:rsidR="007832D0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29</w:t>
      </w:r>
      <w:r w:rsidR="007347D5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.</w:t>
      </w:r>
      <w:r w:rsidR="00421A33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01</w:t>
      </w:r>
      <w:r w:rsidR="007347D5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.202</w:t>
      </w:r>
      <w:r w:rsidR="00421A33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4</w:t>
      </w:r>
      <w:r w:rsidR="007347D5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 xml:space="preserve"> r.</w:t>
      </w:r>
    </w:p>
    <w:p w14:paraId="0716C922" w14:textId="3FCDBC95" w:rsidR="007832D0" w:rsidRPr="007832D0" w:rsidRDefault="007832D0" w:rsidP="007832D0">
      <w:pPr>
        <w:pStyle w:val="NormalnyWeb"/>
        <w:spacing w:before="200" w:beforeAutospacing="0" w:after="200" w:afterAutospacing="0"/>
      </w:pPr>
      <w:r w:rsidRPr="007832D0">
        <w:rPr>
          <w:rFonts w:ascii="Century Gothic" w:hAnsi="Century Gothic"/>
          <w:b/>
          <w:bCs/>
          <w:color w:val="000000"/>
          <w:sz w:val="28"/>
          <w:szCs w:val="28"/>
        </w:rPr>
        <w:t>Szkolenie z rekrutacji wielopokoleniowej ma za sobą co czwarty rekruter. Co to oznacza dla branży HR?</w:t>
      </w:r>
    </w:p>
    <w:p w14:paraId="06E6962A" w14:textId="77777777" w:rsidR="007832D0" w:rsidRDefault="007832D0" w:rsidP="007832D0">
      <w:pPr>
        <w:pStyle w:val="NormalnyWeb"/>
        <w:spacing w:before="200" w:beforeAutospacing="0" w:after="200" w:afterAutospacing="0"/>
        <w:jc w:val="both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Aspekt wielopokoleniowości to aktualnie jeden z bardziej palących wyzwań, z którym mierzy się branża HR. Wraz z wejściem na rynek pracy przedstawicieli pokolenia Z,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rekruterzy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stanęli przed sporym wyzwaniem. Z jednej strony musieli dostosować techniki i procesy do nowej rzeczywistości, z drugiej zaś – nadal poznają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Zetki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>, zwłaszcza w kontekście ich relacji ze starszymi pracownikami. Z badań przeprowadzonych przez Aplikuj.pl wynika, że blisko ¼ ekspertów HR uczestniczyła kiedykolwiek w warsztatach lub szkoleniach dotyczących różnych aspektów rekrutacji pokoleniowej. Czy inni pójdą w ich ślady?</w:t>
      </w:r>
    </w:p>
    <w:p w14:paraId="571B72D8" w14:textId="77777777" w:rsidR="007832D0" w:rsidRDefault="007832D0" w:rsidP="007832D0">
      <w:pPr>
        <w:pStyle w:val="Nagwek2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Szkolenie z rekrutacji wielopokoleniowej?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Rekruterzy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podzieleni</w:t>
      </w:r>
    </w:p>
    <w:p w14:paraId="53119B0A" w14:textId="4CD3BCF5" w:rsidR="007832D0" w:rsidRDefault="007832D0" w:rsidP="007832D0">
      <w:pPr>
        <w:pStyle w:val="NormalnyWeb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Ponad połowa rekruterów nie wzięła i w najbliższym czasie nie planuje brać udziału w kursie lub warsztatach z zakresu wielopokoleniowości w procesie rekrutacyjnym – tak wynika z raportu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„Rekrutacja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multigeneracji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– trendy i wyzwania w 2024 r.</w:t>
      </w:r>
      <w:r w:rsidR="00D92FA1">
        <w:rPr>
          <w:rFonts w:ascii="Century Gothic" w:hAnsi="Century Gothic"/>
          <w:b/>
          <w:bCs/>
          <w:color w:val="000000"/>
          <w:sz w:val="20"/>
          <w:szCs w:val="20"/>
        </w:rPr>
        <w:t>”</w:t>
      </w:r>
      <w:r w:rsidR="00D92FA1">
        <w:rPr>
          <w:rStyle w:val="Odwoanieprzypisudolnego"/>
          <w:rFonts w:ascii="Century Gothic" w:hAnsi="Century Gothic"/>
          <w:b/>
          <w:bCs/>
          <w:color w:val="000000"/>
          <w:sz w:val="20"/>
          <w:szCs w:val="20"/>
        </w:rPr>
        <w:footnoteReference w:id="1"/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przygotowanego przez Aplikuj.pl.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Szkolenie z tego zakresu ma za sobą 24 proc. specjalistów, a kolejne 24 proc. planuje je zrealizować. </w:t>
      </w:r>
      <w:r>
        <w:rPr>
          <w:rFonts w:ascii="Century Gothic" w:hAnsi="Century Gothic"/>
          <w:color w:val="000000"/>
          <w:sz w:val="20"/>
          <w:szCs w:val="20"/>
        </w:rPr>
        <w:t xml:space="preserve">Wyniki te po części wynikają z faktu, że pokolenie Z pojawiło się na rynku pracy względnie niedawno, a firmy i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rekruterzy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są na etapie obserwowania zmian i testowania nowych rozwiązań.</w:t>
      </w:r>
    </w:p>
    <w:p w14:paraId="1F679491" w14:textId="77777777" w:rsidR="007832D0" w:rsidRDefault="007832D0" w:rsidP="007832D0">
      <w:pPr>
        <w:pStyle w:val="NormalnyWeb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–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>Rzeczywistość się zmienia, a wraz z nią zmieniają się firmy, kandydaci do pracy i ich oczekiwania. Specjaliści HR potrafią sprawnie reagować na rewolucyjne zdarzenia, co udowodniła pandemia i konieczność przeniesienia wszystkich procesów do świata wirtualnego. Z kolei powolne, ewolucyjne zmiany – a taką jest kształtowanie się wielopokoleniowego rynku pracy – uznajemy za nieco mniej ważne i nie wpływające na naszą codzienną pracę. Trzeba jednak pamiętać, że z czasem staną się one codziennością każdego rekrutera, dlatego warto się na nie przygotować z odpowiednim wyprzedzeniem. Szkolenia i praktyczne warsztaty prowadzone przez profesjonalistów są ku temu doskonałą okazją</w:t>
      </w:r>
      <w:r>
        <w:rPr>
          <w:rFonts w:ascii="Century Gothic" w:hAnsi="Century Gothic"/>
          <w:color w:val="000000"/>
          <w:sz w:val="20"/>
          <w:szCs w:val="20"/>
        </w:rPr>
        <w:t xml:space="preserve"> –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zauważa Izabela Foltyn, Aplikuj.pl.</w:t>
      </w:r>
    </w:p>
    <w:p w14:paraId="63BB4482" w14:textId="77777777" w:rsidR="007832D0" w:rsidRDefault="007832D0" w:rsidP="007832D0">
      <w:pPr>
        <w:pStyle w:val="Nagwek2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>Większość rekruterów dostosowuje proces rekrutacji do pokolenia</w:t>
      </w:r>
    </w:p>
    <w:p w14:paraId="22401428" w14:textId="77777777" w:rsidR="007832D0" w:rsidRDefault="007832D0" w:rsidP="007832D0">
      <w:pPr>
        <w:pStyle w:val="NormalnyWeb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Mimo że zainteresowanie szkoleniami z zakresu wielopokoleniowości w procesie rekrutacji jest umiarkowane, większość specjalistów dostosowuje metody i wykorzystywane narzędzia do poszczególnych pokoleń. W ankiecie przeprowadzonej przez Aplikuj.pl taką odpowiedź wskazało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58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proc. badanych. Co ciekawe, 34 proc. osób przyznało, że stosuje podobne techniki bez względu na wiek kandydatów, a 6 proc. nie widzi potrzeby zmiany dotychczasowych procesów i narzędzi w rekrutacji wielopokoleniowej.</w:t>
      </w:r>
      <w:r>
        <w:rPr>
          <w:rFonts w:ascii="Century Gothic" w:hAnsi="Century Gothic"/>
          <w:color w:val="000000"/>
          <w:sz w:val="20"/>
          <w:szCs w:val="20"/>
        </w:rPr>
        <w:t xml:space="preserve"> Co na ten temat mówią eksperci?</w:t>
      </w:r>
    </w:p>
    <w:p w14:paraId="1C1020FB" w14:textId="77777777" w:rsidR="007832D0" w:rsidRDefault="007832D0" w:rsidP="007832D0">
      <w:pPr>
        <w:pStyle w:val="NormalnyWeb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–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Różnice pokoleniowe są faktem, którego nie można przeoczyć w procesie rekrutacji. Inaczej będziemy rozmawiać z młodymi osobami wkraczającymi na rynek pracy, inaczej z Baby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boomersami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>, którzy mają za sobą kilkadziesiąt lat doświadczenia i wyraźnie sprecyzowane oczekiwania wobec firmy. Wiek nie powinien oczywiście przekreślać żadnego kandydata, jednak schematyczne, powtarzalne procesy rekrutacyjne w pewnym stopniu to robią. Nie pozwalają bowiem dotrzeć do przyszłego pracownika, utrudniają poznanie jego potencjału, a w konsekwencji często zniekształcają jego ocenę. Dlatego cieszy mnie, że w badaniu Aplikuj.pl większość rekruterów przyznała, że dostosowuje techniki rekrutacyjne do przedstawicieli różnych pokoleń</w:t>
      </w:r>
      <w:r>
        <w:rPr>
          <w:rFonts w:ascii="Century Gothic" w:hAnsi="Century Gothic"/>
          <w:color w:val="000000"/>
          <w:sz w:val="20"/>
          <w:szCs w:val="20"/>
        </w:rPr>
        <w:t xml:space="preserve"> –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wyjaśnia Kamil Kozłowski,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Intrum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>.</w:t>
      </w:r>
    </w:p>
    <w:p w14:paraId="31CE0AF6" w14:textId="77777777" w:rsidR="007832D0" w:rsidRDefault="007832D0" w:rsidP="007832D0">
      <w:pPr>
        <w:pStyle w:val="NormalnyWeb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lastRenderedPageBreak/>
        <w:t xml:space="preserve">–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Dostosowanie technik rekrutacyjnych do poszczególnych pokoleń nie tylko zwiększa efektywność procesu, lecz także ułatwia pracę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rekruterom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. Różnice między generacjami występują na każdym etapie rekrutacji, ale są najbardziej widoczne podczas rozmowy rekrutacyjnej. Będzie ona zupełnie inna w przypadku kandydata w wieku 19 lat, który szuka swojej pierwszej pracy, a zupełnie inna, gdy przed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rekruterem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usiądzie doświadczony przedstawiciel jednego ze starszych pokoleń. Warto być dobrze przygotowanym na każdą opcję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– dodaje Izabela Foltyn, Aplikuj.pl.</w:t>
      </w:r>
    </w:p>
    <w:p w14:paraId="488747AC" w14:textId="77777777" w:rsidR="007832D0" w:rsidRDefault="007832D0" w:rsidP="007832D0">
      <w:pPr>
        <w:pStyle w:val="Nagwek2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>Kandydacie, gdzie jesteś? Czyli różnorodne kanały dotarcia</w:t>
      </w:r>
    </w:p>
    <w:p w14:paraId="08D57631" w14:textId="77777777" w:rsidR="007832D0" w:rsidRDefault="007832D0" w:rsidP="007832D0">
      <w:pPr>
        <w:pStyle w:val="NormalnyWeb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Za zmianą procesów i technik rekrutacyjnych idzie również zróżnicowanie kanałów dotarcia do potencjalnych pracowników.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Aż 7 na 10 rekruterów podchodzi do tego tematu elastycznie i szuka kandydatów z poszczególnych generacji w innych miejscach. 28 proc. robi to zawsze, z kolei 42 proc. jedynie podczas rekrutacji do firm z określonych branż. </w:t>
      </w:r>
      <w:r>
        <w:rPr>
          <w:rFonts w:ascii="Century Gothic" w:hAnsi="Century Gothic"/>
          <w:color w:val="000000"/>
          <w:sz w:val="20"/>
          <w:szCs w:val="20"/>
        </w:rPr>
        <w:t>W badaniu przeprowadzonym przez Aplikuj.pl co trzeci specjalista przyznał, że nie zwraca uwagi na dostosowanie kanału dotarcia do przedstawicieli różnych pokoleń.</w:t>
      </w:r>
    </w:p>
    <w:p w14:paraId="2A302CEE" w14:textId="77777777" w:rsidR="007832D0" w:rsidRPr="007832D0" w:rsidRDefault="007832D0" w:rsidP="007832D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D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– </w:t>
      </w:r>
      <w:r w:rsidRPr="007832D0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Dostosowanie kanałów dotarcia do kandydatów z różnych generacji to czynnik bezpośrednio wpływający na efekty osiągane przez rekrutera. Aktualnie najważniejszą rolę odgrywają portale pracy, w wielu przypadkach pomocne mogą okazać się również </w:t>
      </w:r>
      <w:proofErr w:type="spellStart"/>
      <w:r w:rsidRPr="007832D0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>social</w:t>
      </w:r>
      <w:proofErr w:type="spellEnd"/>
      <w:r w:rsidRPr="007832D0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pl-PL"/>
        </w:rPr>
        <w:t xml:space="preserve"> media, w tym LinkedIn. Być może dla niektórych zaskakujący będzie fakt, że czasami – zwłaszcza w przypadku przedstawicieli starszych pokoleń – lepiej od Internetu sprawdzą się tradycyjne sposoby dotarcia do kandydatów, takie jak ogłoszenie w gazecie</w:t>
      </w:r>
      <w:r w:rsidRPr="007832D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– </w:t>
      </w:r>
      <w:r w:rsidRPr="007832D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podsumowuje Monika Kikolska, WhitePress.</w:t>
      </w:r>
    </w:p>
    <w:p w14:paraId="153876B6" w14:textId="77777777" w:rsidR="007832D0" w:rsidRPr="007832D0" w:rsidRDefault="007832D0" w:rsidP="007832D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2D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Opinię ekspertki potwierdzają dane z raportu „Wielopokoleniowa siła w miejscu pracy” przygotowanego w 2023 roku przez Aplikuj.pl. Wprawdzie dla przedstawicieli wszystkich pokoleń </w:t>
      </w:r>
      <w:r w:rsidRPr="007832D0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głównym źródłem informacji o pracy są serwisy z ogłoszeniam</w:t>
      </w:r>
      <w:r w:rsidRPr="007832D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i, ale wyraźne zmiany widoczne są w przypadku innych opcji. Baby </w:t>
      </w:r>
      <w:proofErr w:type="spellStart"/>
      <w:r w:rsidRPr="007832D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boomersi</w:t>
      </w:r>
      <w:proofErr w:type="spellEnd"/>
      <w:r w:rsidRPr="007832D0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nadal często stawiają na tradycyjne metody szukania pracy (reklama prasowa, radiowa lub telewizyjna, agencje pracy, osobiste zgłoszenie się do przyszłego pracodawcy), z kolei w zasadzie nie korzystają z rekomendacji znajomych, która w przypadku młodszych pokoleń okazała się drugim najbardziej skutecznym źródłem informacji o pracy.</w:t>
      </w:r>
    </w:p>
    <w:p w14:paraId="43685D69" w14:textId="613B9538" w:rsidR="00330D67" w:rsidRPr="00D92FA1" w:rsidRDefault="007832D0" w:rsidP="00D92FA1">
      <w:pPr>
        <w:pStyle w:val="NormalnyWeb"/>
        <w:spacing w:before="200" w:beforeAutospacing="0" w:after="2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>Podsumowując, większość rekruterów i ekspertów HR dostosowuje narzędzia i techniki rekrutacyjne do kandydatów z różnych pokoleń. Nie wszyscy jednak decydują się pogłębić wiedzę z tego zakresu podczas specjalistycznych szkoleń – do tej pory zrobiła to, co czwarta osoba pracująca w branży HR.</w:t>
      </w:r>
    </w:p>
    <w:p w14:paraId="4EEE6625" w14:textId="1AAF813C" w:rsidR="00867F48" w:rsidRPr="00A55A9B" w:rsidRDefault="00867F48" w:rsidP="00867F48">
      <w:pPr>
        <w:spacing w:line="23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A55A9B">
        <w:rPr>
          <w:rFonts w:ascii="Century Gothic" w:hAnsi="Century Gothic" w:cs="Calibri"/>
          <w:b/>
          <w:bCs/>
          <w:color w:val="000000"/>
          <w:sz w:val="18"/>
          <w:szCs w:val="18"/>
        </w:rPr>
        <w:t>Więcej informacji:</w:t>
      </w:r>
    </w:p>
    <w:p w14:paraId="2AD1868A" w14:textId="77777777" w:rsidR="00867F48" w:rsidRPr="00A55A9B" w:rsidRDefault="00867F48" w:rsidP="00467BC4">
      <w:pPr>
        <w:spacing w:after="0" w:line="23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A55A9B">
        <w:rPr>
          <w:rFonts w:ascii="Century Gothic" w:hAnsi="Century Gothic" w:cs="Calibri"/>
          <w:color w:val="000000"/>
          <w:sz w:val="18"/>
          <w:szCs w:val="18"/>
        </w:rPr>
        <w:t>Pamela Tomicka</w:t>
      </w:r>
    </w:p>
    <w:p w14:paraId="43232197" w14:textId="77777777" w:rsidR="00867F48" w:rsidRPr="00A55A9B" w:rsidRDefault="00000000" w:rsidP="00467BC4">
      <w:pPr>
        <w:spacing w:after="0" w:line="23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hyperlink r:id="rId8" w:tooltip="mailto:p.tomicka@lightscape.pl" w:history="1">
        <w:r w:rsidR="00867F48" w:rsidRPr="00A55A9B">
          <w:rPr>
            <w:rStyle w:val="Hipercze"/>
            <w:rFonts w:ascii="Century Gothic" w:hAnsi="Century Gothic" w:cs="Calibri"/>
            <w:color w:val="0563C1"/>
            <w:sz w:val="18"/>
            <w:szCs w:val="18"/>
          </w:rPr>
          <w:t>p.tomicka@lightscape.pl</w:t>
        </w:r>
      </w:hyperlink>
    </w:p>
    <w:p w14:paraId="35CC864E" w14:textId="0B366F11" w:rsidR="00867F48" w:rsidRPr="00A55A9B" w:rsidRDefault="00867F48" w:rsidP="00467BC4">
      <w:pPr>
        <w:spacing w:after="0" w:line="230" w:lineRule="atLeast"/>
        <w:jc w:val="both"/>
        <w:rPr>
          <w:rFonts w:ascii="Century Gothic" w:hAnsi="Century Gothic" w:cs="Calibri"/>
          <w:color w:val="000000"/>
          <w:sz w:val="18"/>
          <w:szCs w:val="18"/>
        </w:rPr>
      </w:pPr>
      <w:r w:rsidRPr="00A55A9B">
        <w:rPr>
          <w:rFonts w:ascii="Century Gothic" w:hAnsi="Century Gothic" w:cs="Calibri"/>
          <w:color w:val="000000"/>
          <w:sz w:val="18"/>
          <w:szCs w:val="18"/>
        </w:rPr>
        <w:t>tel. 601 918</w:t>
      </w:r>
      <w:r w:rsidR="00467BC4" w:rsidRPr="00A55A9B">
        <w:rPr>
          <w:rFonts w:ascii="Century Gothic" w:hAnsi="Century Gothic" w:cs="Calibri"/>
          <w:color w:val="000000"/>
          <w:sz w:val="18"/>
          <w:szCs w:val="18"/>
        </w:rPr>
        <w:t> </w:t>
      </w:r>
      <w:r w:rsidRPr="00A55A9B">
        <w:rPr>
          <w:rFonts w:ascii="Century Gothic" w:hAnsi="Century Gothic" w:cs="Calibri"/>
          <w:color w:val="000000"/>
          <w:sz w:val="18"/>
          <w:szCs w:val="18"/>
        </w:rPr>
        <w:t>306</w:t>
      </w:r>
    </w:p>
    <w:p w14:paraId="729ABED1" w14:textId="77777777" w:rsidR="00467BC4" w:rsidRPr="00A55A9B" w:rsidRDefault="00467BC4" w:rsidP="00467BC4">
      <w:pPr>
        <w:spacing w:after="0" w:line="230" w:lineRule="atLeast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p w14:paraId="4BB886B4" w14:textId="77777777" w:rsidR="00330D67" w:rsidRPr="00A55A9B" w:rsidRDefault="00330D67" w:rsidP="00467BC4">
      <w:pPr>
        <w:spacing w:after="0"/>
        <w:rPr>
          <w:rFonts w:ascii="Calibri" w:hAnsi="Calibri" w:cs="Calibri"/>
          <w:color w:val="000000"/>
          <w:sz w:val="18"/>
          <w:szCs w:val="18"/>
        </w:rPr>
      </w:pPr>
      <w:r w:rsidRPr="00A55A9B">
        <w:rPr>
          <w:rFonts w:ascii="Century Gothic" w:hAnsi="Century Gothic" w:cs="Calibri"/>
          <w:color w:val="000000"/>
          <w:sz w:val="18"/>
          <w:szCs w:val="18"/>
        </w:rPr>
        <w:t>Karolina Góral</w:t>
      </w:r>
    </w:p>
    <w:p w14:paraId="7DCFD6AB" w14:textId="04AE7C24" w:rsidR="00330D67" w:rsidRDefault="00000000" w:rsidP="00467BC4">
      <w:pPr>
        <w:spacing w:after="0"/>
        <w:rPr>
          <w:rStyle w:val="Hipercze"/>
          <w:rFonts w:ascii="Century Gothic" w:hAnsi="Century Gothic" w:cs="Calibri"/>
          <w:color w:val="0563C1"/>
          <w:sz w:val="18"/>
          <w:szCs w:val="18"/>
        </w:rPr>
      </w:pPr>
      <w:hyperlink r:id="rId9" w:tooltip="mailto:k.goral@lightscape.pl" w:history="1">
        <w:r w:rsidR="00330D67" w:rsidRPr="00A55A9B">
          <w:rPr>
            <w:rStyle w:val="Hipercze"/>
            <w:rFonts w:ascii="Century Gothic" w:hAnsi="Century Gothic" w:cs="Calibri"/>
            <w:color w:val="0563C1"/>
            <w:sz w:val="18"/>
            <w:szCs w:val="18"/>
          </w:rPr>
          <w:t>k.goral@lightscape.pl</w:t>
        </w:r>
      </w:hyperlink>
    </w:p>
    <w:p w14:paraId="001F9CD3" w14:textId="461DFDB5" w:rsidR="001C1183" w:rsidRPr="001C1183" w:rsidRDefault="001C1183" w:rsidP="001C1183">
      <w:pPr>
        <w:spacing w:after="0"/>
        <w:rPr>
          <w:rFonts w:ascii="Century Gothic" w:hAnsi="Century Gothic" w:cs="Calibri"/>
          <w:color w:val="0563C1"/>
          <w:sz w:val="18"/>
          <w:szCs w:val="18"/>
          <w:u w:val="single"/>
        </w:rPr>
      </w:pPr>
      <w:r>
        <w:rPr>
          <w:rStyle w:val="Hipercze"/>
          <w:rFonts w:ascii="Century Gothic" w:hAnsi="Century Gothic" w:cs="Calibri"/>
          <w:color w:val="0563C1"/>
          <w:sz w:val="18"/>
          <w:szCs w:val="18"/>
        </w:rPr>
        <w:t xml:space="preserve"> </w:t>
      </w:r>
      <w:r w:rsidRPr="001C1183">
        <w:rPr>
          <w:rFonts w:ascii="Century Gothic" w:eastAsia="Century Gothic" w:hAnsi="Century Gothic" w:cs="Century Gothic"/>
          <w:bCs/>
          <w:sz w:val="18"/>
          <w:szCs w:val="18"/>
        </w:rPr>
        <w:t xml:space="preserve">tel. </w:t>
      </w:r>
      <w:r w:rsidRPr="001C1183">
        <w:rPr>
          <w:rFonts w:ascii="Century Gothic" w:hAnsi="Century Gothic" w:cs="Calibri"/>
          <w:bCs/>
          <w:color w:val="000000"/>
          <w:sz w:val="18"/>
          <w:szCs w:val="18"/>
        </w:rPr>
        <w:t>532 186</w:t>
      </w:r>
      <w:r w:rsidRPr="001C1183">
        <w:rPr>
          <w:rFonts w:ascii="Century Gothic" w:hAnsi="Century Gothic" w:cs="Calibri"/>
          <w:bCs/>
          <w:color w:val="000000"/>
          <w:sz w:val="18"/>
          <w:szCs w:val="18"/>
        </w:rPr>
        <w:t> </w:t>
      </w:r>
      <w:r w:rsidRPr="001C1183">
        <w:rPr>
          <w:rFonts w:ascii="Century Gothic" w:hAnsi="Century Gothic" w:cs="Calibri"/>
          <w:bCs/>
          <w:color w:val="000000"/>
          <w:sz w:val="18"/>
          <w:szCs w:val="18"/>
        </w:rPr>
        <w:t>748</w:t>
      </w:r>
    </w:p>
    <w:p w14:paraId="5C6496C7" w14:textId="57CFEB05" w:rsidR="00B43B46" w:rsidRDefault="00B43B46" w:rsidP="006864E9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B43B46" w:rsidSect="007A4ED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7E81" w14:textId="77777777" w:rsidR="009060E8" w:rsidRDefault="009060E8" w:rsidP="00785637">
      <w:pPr>
        <w:spacing w:after="0" w:line="240" w:lineRule="auto"/>
      </w:pPr>
      <w:r>
        <w:separator/>
      </w:r>
    </w:p>
  </w:endnote>
  <w:endnote w:type="continuationSeparator" w:id="0">
    <w:p w14:paraId="532B7113" w14:textId="77777777" w:rsidR="009060E8" w:rsidRDefault="009060E8" w:rsidP="0078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42DE" w14:textId="2B6E11BD" w:rsidR="007A4ED6" w:rsidRDefault="007A4ED6" w:rsidP="007A4ED6">
    <w:pPr>
      <w:pStyle w:val="Stopka"/>
      <w:tabs>
        <w:tab w:val="clear" w:pos="4536"/>
        <w:tab w:val="clear" w:pos="9072"/>
        <w:tab w:val="left" w:pos="1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7045" w14:textId="77777777" w:rsidR="009060E8" w:rsidRDefault="009060E8" w:rsidP="00785637">
      <w:pPr>
        <w:spacing w:after="0" w:line="240" w:lineRule="auto"/>
      </w:pPr>
      <w:r>
        <w:separator/>
      </w:r>
    </w:p>
  </w:footnote>
  <w:footnote w:type="continuationSeparator" w:id="0">
    <w:p w14:paraId="7BA00247" w14:textId="77777777" w:rsidR="009060E8" w:rsidRDefault="009060E8" w:rsidP="00785637">
      <w:pPr>
        <w:spacing w:after="0" w:line="240" w:lineRule="auto"/>
      </w:pPr>
      <w:r>
        <w:continuationSeparator/>
      </w:r>
    </w:p>
  </w:footnote>
  <w:footnote w:id="1">
    <w:p w14:paraId="28FF40A9" w14:textId="11F0E2DB" w:rsidR="00D92FA1" w:rsidRDefault="00D92F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92FA1">
          <w:rPr>
            <w:rStyle w:val="Hipercze"/>
            <w:rFonts w:ascii="Century Gothic" w:hAnsi="Century Gothic"/>
            <w:sz w:val="16"/>
            <w:szCs w:val="16"/>
          </w:rPr>
          <w:t>https://www.aplikuj.pl/raporty/rekrutacja-multigeneracji-trendy-i-wyzwania-w-2024</w:t>
        </w:r>
      </w:hyperlink>
      <w:r w:rsidRPr="00D92FA1">
        <w:rPr>
          <w:rFonts w:ascii="Century Gothic" w:hAnsi="Century Gothic"/>
          <w:color w:val="000000"/>
          <w:sz w:val="16"/>
          <w:szCs w:val="16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7D26" w14:textId="77777777" w:rsidR="00785637" w:rsidRDefault="009060E8">
    <w:pPr>
      <w:pStyle w:val="Nagwek"/>
    </w:pPr>
    <w:r>
      <w:rPr>
        <w:noProof/>
      </w:rPr>
      <w:pict w14:anchorId="73B49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57422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likuj- papi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52E8" w14:textId="7689144D" w:rsidR="00785637" w:rsidRDefault="004D7F1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371EDE" wp14:editId="59AB7D47">
          <wp:simplePos x="0" y="0"/>
          <wp:positionH relativeFrom="margin">
            <wp:posOffset>4372610</wp:posOffset>
          </wp:positionH>
          <wp:positionV relativeFrom="paragraph">
            <wp:posOffset>-735965</wp:posOffset>
          </wp:positionV>
          <wp:extent cx="1885950" cy="7912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77D6" w14:textId="77777777" w:rsidR="00785637" w:rsidRDefault="009060E8">
    <w:pPr>
      <w:pStyle w:val="Nagwek"/>
    </w:pPr>
    <w:r>
      <w:rPr>
        <w:noProof/>
      </w:rPr>
      <w:pict w14:anchorId="5098D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57421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likuj- papie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18E"/>
    <w:multiLevelType w:val="multilevel"/>
    <w:tmpl w:val="3AAAEE78"/>
    <w:lvl w:ilvl="0"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630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37"/>
    <w:rsid w:val="00042190"/>
    <w:rsid w:val="0006399F"/>
    <w:rsid w:val="00087849"/>
    <w:rsid w:val="0009470D"/>
    <w:rsid w:val="000A3C36"/>
    <w:rsid w:val="000B4BF9"/>
    <w:rsid w:val="000C2788"/>
    <w:rsid w:val="000D016C"/>
    <w:rsid w:val="00114CB7"/>
    <w:rsid w:val="0012250B"/>
    <w:rsid w:val="001C1183"/>
    <w:rsid w:val="001E7CBF"/>
    <w:rsid w:val="00221F37"/>
    <w:rsid w:val="00235067"/>
    <w:rsid w:val="002E2C41"/>
    <w:rsid w:val="002E3B09"/>
    <w:rsid w:val="00302AF9"/>
    <w:rsid w:val="0031511C"/>
    <w:rsid w:val="00326C31"/>
    <w:rsid w:val="00330D67"/>
    <w:rsid w:val="00330E00"/>
    <w:rsid w:val="00346908"/>
    <w:rsid w:val="00361A86"/>
    <w:rsid w:val="003639A9"/>
    <w:rsid w:val="003A7E02"/>
    <w:rsid w:val="003C2E93"/>
    <w:rsid w:val="003C6125"/>
    <w:rsid w:val="003D5965"/>
    <w:rsid w:val="003E77D8"/>
    <w:rsid w:val="00421A33"/>
    <w:rsid w:val="00445720"/>
    <w:rsid w:val="00467BC4"/>
    <w:rsid w:val="0048629A"/>
    <w:rsid w:val="004D7F1A"/>
    <w:rsid w:val="004F6E0C"/>
    <w:rsid w:val="00514DAF"/>
    <w:rsid w:val="00541E94"/>
    <w:rsid w:val="00575E3C"/>
    <w:rsid w:val="005F26F5"/>
    <w:rsid w:val="005F3315"/>
    <w:rsid w:val="00607EB5"/>
    <w:rsid w:val="00651B26"/>
    <w:rsid w:val="00655B75"/>
    <w:rsid w:val="00662948"/>
    <w:rsid w:val="006864E9"/>
    <w:rsid w:val="007025EB"/>
    <w:rsid w:val="007114F4"/>
    <w:rsid w:val="007347D5"/>
    <w:rsid w:val="007832D0"/>
    <w:rsid w:val="00785637"/>
    <w:rsid w:val="00796619"/>
    <w:rsid w:val="007A4ED6"/>
    <w:rsid w:val="00867F48"/>
    <w:rsid w:val="008B1ADD"/>
    <w:rsid w:val="008C4194"/>
    <w:rsid w:val="008C57B7"/>
    <w:rsid w:val="008E1AFD"/>
    <w:rsid w:val="009060E8"/>
    <w:rsid w:val="009257AE"/>
    <w:rsid w:val="009920A6"/>
    <w:rsid w:val="009A76E8"/>
    <w:rsid w:val="009C6E66"/>
    <w:rsid w:val="009E18C8"/>
    <w:rsid w:val="00A55A9B"/>
    <w:rsid w:val="00A57AC8"/>
    <w:rsid w:val="00AA0D83"/>
    <w:rsid w:val="00B43B46"/>
    <w:rsid w:val="00B51CEF"/>
    <w:rsid w:val="00B73A20"/>
    <w:rsid w:val="00B73F40"/>
    <w:rsid w:val="00B872D6"/>
    <w:rsid w:val="00BB4C66"/>
    <w:rsid w:val="00BC5D7B"/>
    <w:rsid w:val="00C12AF5"/>
    <w:rsid w:val="00C210CB"/>
    <w:rsid w:val="00C3357C"/>
    <w:rsid w:val="00C51CCF"/>
    <w:rsid w:val="00CB0900"/>
    <w:rsid w:val="00CD3EE9"/>
    <w:rsid w:val="00CE7D01"/>
    <w:rsid w:val="00D27821"/>
    <w:rsid w:val="00D37576"/>
    <w:rsid w:val="00D769B6"/>
    <w:rsid w:val="00D82779"/>
    <w:rsid w:val="00D92FA1"/>
    <w:rsid w:val="00E04256"/>
    <w:rsid w:val="00E10F2D"/>
    <w:rsid w:val="00E27654"/>
    <w:rsid w:val="00E5637E"/>
    <w:rsid w:val="00E7070E"/>
    <w:rsid w:val="00ED5513"/>
    <w:rsid w:val="00F45422"/>
    <w:rsid w:val="00F85CBC"/>
    <w:rsid w:val="00FA4688"/>
    <w:rsid w:val="00FD62D3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B2223"/>
  <w15:chartTrackingRefBased/>
  <w15:docId w15:val="{4E9C374B-51F5-40FA-98F7-7936A58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908"/>
  </w:style>
  <w:style w:type="paragraph" w:styleId="Nagwek2">
    <w:name w:val="heading 2"/>
    <w:basedOn w:val="Normalny"/>
    <w:link w:val="Nagwek2Znak"/>
    <w:uiPriority w:val="9"/>
    <w:qFormat/>
    <w:rsid w:val="00326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37"/>
  </w:style>
  <w:style w:type="paragraph" w:styleId="Stopka">
    <w:name w:val="footer"/>
    <w:basedOn w:val="Normalny"/>
    <w:link w:val="StopkaZnak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37"/>
  </w:style>
  <w:style w:type="paragraph" w:styleId="Tekstdymka">
    <w:name w:val="Balloon Text"/>
    <w:basedOn w:val="Normalny"/>
    <w:link w:val="TekstdymkaZnak"/>
    <w:uiPriority w:val="99"/>
    <w:semiHidden/>
    <w:unhideWhenUsed/>
    <w:rsid w:val="009C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3F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F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62D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26C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2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F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F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omicka@lightscap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goral@lightscape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likuj.pl/raporty/rekrutacja-multigeneracji-trendy-i-wyzwania-w-20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EA86-67D8-496C-92B2-07F214B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Aplikuj Aplikuj</dc:creator>
  <cp:keywords/>
  <dc:description/>
  <cp:lastModifiedBy>Pamela  Tomicka</cp:lastModifiedBy>
  <cp:revision>4</cp:revision>
  <cp:lastPrinted>2019-04-09T11:00:00Z</cp:lastPrinted>
  <dcterms:created xsi:type="dcterms:W3CDTF">2024-01-29T08:51:00Z</dcterms:created>
  <dcterms:modified xsi:type="dcterms:W3CDTF">2024-01-29T09:08:00Z</dcterms:modified>
</cp:coreProperties>
</file>