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5DE4D5F1" w:rsidR="002D190A" w:rsidRDefault="002D190A" w:rsidP="00CD113F">
      <w:pPr>
        <w:spacing w:after="240"/>
        <w:ind w:left="6372"/>
        <w:rPr>
          <w:sz w:val="22"/>
        </w:rPr>
      </w:pPr>
      <w:bookmarkStart w:id="0" w:name="_Hlk150164254"/>
      <w:bookmarkEnd w:id="0"/>
      <w:r>
        <w:rPr>
          <w:sz w:val="22"/>
        </w:rPr>
        <w:t xml:space="preserve">Warszawa, </w:t>
      </w:r>
      <w:r w:rsidR="00BA71D1">
        <w:rPr>
          <w:sz w:val="22"/>
        </w:rPr>
        <w:t>3</w:t>
      </w:r>
      <w:r w:rsidR="000C0316">
        <w:rPr>
          <w:sz w:val="22"/>
        </w:rPr>
        <w:t>0</w:t>
      </w:r>
      <w:r w:rsidR="00263BB5" w:rsidRPr="00263BB5">
        <w:rPr>
          <w:sz w:val="22"/>
        </w:rPr>
        <w:t>.</w:t>
      </w:r>
      <w:r w:rsidR="00DD7138">
        <w:rPr>
          <w:sz w:val="22"/>
        </w:rPr>
        <w:t>0</w:t>
      </w:r>
      <w:r w:rsidR="007B01BF">
        <w:rPr>
          <w:sz w:val="22"/>
        </w:rPr>
        <w:t>1</w:t>
      </w:r>
      <w:r w:rsidR="00263BB5" w:rsidRPr="00263BB5">
        <w:rPr>
          <w:sz w:val="22"/>
        </w:rPr>
        <w:t>.202</w:t>
      </w:r>
      <w:r w:rsidR="00DD7138">
        <w:rPr>
          <w:sz w:val="22"/>
        </w:rPr>
        <w:t>4</w:t>
      </w:r>
      <w:r w:rsidR="00263BB5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00B436DE" w14:textId="77777777" w:rsidR="00FB22EA" w:rsidRDefault="00FB22EA" w:rsidP="002D190A">
      <w:pPr>
        <w:spacing w:after="240"/>
        <w:rPr>
          <w:sz w:val="28"/>
          <w:szCs w:val="28"/>
        </w:rPr>
      </w:pPr>
    </w:p>
    <w:p w14:paraId="1457A4B8" w14:textId="7FB5E8E3" w:rsidR="002D190A" w:rsidRPr="00FB22EA" w:rsidRDefault="002D190A" w:rsidP="002D190A">
      <w:pPr>
        <w:spacing w:after="240"/>
        <w:rPr>
          <w:sz w:val="28"/>
          <w:szCs w:val="28"/>
        </w:rPr>
      </w:pPr>
      <w:r w:rsidRPr="00FB22EA">
        <w:rPr>
          <w:sz w:val="28"/>
          <w:szCs w:val="28"/>
        </w:rPr>
        <w:t>INFORMACJA PRASOWA</w:t>
      </w:r>
      <w:r w:rsidRPr="00FB22EA">
        <w:rPr>
          <w:sz w:val="28"/>
          <w:szCs w:val="28"/>
        </w:rPr>
        <w:br/>
        <w:t>…………………………………….</w:t>
      </w:r>
    </w:p>
    <w:p w14:paraId="0F6BE2C4" w14:textId="0E2767BA" w:rsidR="00F5768D" w:rsidRPr="00F5768D" w:rsidRDefault="00F5768D" w:rsidP="009C57C4">
      <w:pPr>
        <w:jc w:val="both"/>
        <w:rPr>
          <w:b/>
          <w:bCs/>
          <w:sz w:val="28"/>
          <w:szCs w:val="28"/>
        </w:rPr>
      </w:pPr>
      <w:r w:rsidRPr="00F5768D">
        <w:rPr>
          <w:b/>
          <w:bCs/>
          <w:sz w:val="28"/>
          <w:szCs w:val="28"/>
        </w:rPr>
        <w:t>BIK prognozuje dalszy wzrost akcji kredytowej w 2024 roku po dwucyfrowych zwyżkach w 2023 roku</w:t>
      </w:r>
    </w:p>
    <w:p w14:paraId="164570EC" w14:textId="77777777" w:rsidR="00F5768D" w:rsidRDefault="00F5768D" w:rsidP="009C57C4">
      <w:pPr>
        <w:jc w:val="both"/>
        <w:rPr>
          <w:b/>
          <w:bCs/>
          <w:sz w:val="22"/>
        </w:rPr>
      </w:pPr>
    </w:p>
    <w:p w14:paraId="3716E64C" w14:textId="3D05251B" w:rsidR="00BA71D1" w:rsidRPr="00BA71D1" w:rsidRDefault="00917D44" w:rsidP="009C57C4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Kredytobiorcy w Polsce</w:t>
      </w:r>
      <w:r w:rsidR="00662894" w:rsidRPr="00662894">
        <w:rPr>
          <w:b/>
          <w:bCs/>
          <w:sz w:val="22"/>
        </w:rPr>
        <w:t xml:space="preserve"> </w:t>
      </w:r>
      <w:r w:rsidR="00C91E78">
        <w:rPr>
          <w:b/>
          <w:bCs/>
          <w:sz w:val="22"/>
        </w:rPr>
        <w:t>zaciągają coraz więcej kredytów i pożyczek</w:t>
      </w:r>
      <w:r w:rsidR="00662894" w:rsidRPr="00662894">
        <w:rPr>
          <w:b/>
          <w:bCs/>
          <w:sz w:val="22"/>
        </w:rPr>
        <w:t xml:space="preserve">. </w:t>
      </w:r>
      <w:r w:rsidR="00B0394D">
        <w:rPr>
          <w:b/>
          <w:bCs/>
          <w:sz w:val="22"/>
        </w:rPr>
        <w:t xml:space="preserve">Na koniec </w:t>
      </w:r>
      <w:r w:rsidR="00662894" w:rsidRPr="00662894">
        <w:rPr>
          <w:b/>
          <w:bCs/>
          <w:sz w:val="22"/>
        </w:rPr>
        <w:t>2023 r. suma wszystkich kredytów i pożyczek</w:t>
      </w:r>
      <w:r w:rsidR="00DA5874">
        <w:rPr>
          <w:b/>
          <w:bCs/>
          <w:sz w:val="22"/>
        </w:rPr>
        <w:t xml:space="preserve"> do spłaty</w:t>
      </w:r>
      <w:r w:rsidR="00662894" w:rsidRPr="00662894">
        <w:rPr>
          <w:b/>
          <w:bCs/>
          <w:sz w:val="22"/>
        </w:rPr>
        <w:t xml:space="preserve"> wyniosła 727 mld zł. To o 5 mld zł więcej niż rok wcześniej. </w:t>
      </w:r>
      <w:r>
        <w:rPr>
          <w:b/>
          <w:bCs/>
          <w:sz w:val="22"/>
        </w:rPr>
        <w:t>Banki, SKOK</w:t>
      </w:r>
      <w:r w:rsidR="007F4A0E">
        <w:rPr>
          <w:b/>
          <w:bCs/>
          <w:sz w:val="22"/>
        </w:rPr>
        <w:t>-</w:t>
      </w:r>
      <w:r w:rsidR="00900FFD">
        <w:rPr>
          <w:b/>
          <w:bCs/>
          <w:sz w:val="22"/>
        </w:rPr>
        <w:t>i i</w:t>
      </w:r>
      <w:r>
        <w:rPr>
          <w:b/>
          <w:bCs/>
          <w:sz w:val="22"/>
        </w:rPr>
        <w:t xml:space="preserve"> instytucje pożyczkowe udzieliły nowych </w:t>
      </w:r>
      <w:r w:rsidR="00662894" w:rsidRPr="00662894">
        <w:rPr>
          <w:b/>
          <w:bCs/>
          <w:sz w:val="22"/>
        </w:rPr>
        <w:t>zobowiąza</w:t>
      </w:r>
      <w:r>
        <w:rPr>
          <w:b/>
          <w:bCs/>
          <w:sz w:val="22"/>
        </w:rPr>
        <w:t>ń na kwotę</w:t>
      </w:r>
      <w:r w:rsidR="00662894">
        <w:rPr>
          <w:b/>
          <w:bCs/>
          <w:sz w:val="22"/>
        </w:rPr>
        <w:t xml:space="preserve"> </w:t>
      </w:r>
      <w:r w:rsidR="00662894" w:rsidRPr="00662894">
        <w:rPr>
          <w:b/>
          <w:bCs/>
          <w:sz w:val="22"/>
        </w:rPr>
        <w:t>182,</w:t>
      </w:r>
      <w:r w:rsidR="009D3365">
        <w:rPr>
          <w:b/>
          <w:bCs/>
          <w:sz w:val="22"/>
        </w:rPr>
        <w:t>5</w:t>
      </w:r>
      <w:r w:rsidR="00662894" w:rsidRPr="00662894">
        <w:rPr>
          <w:b/>
          <w:bCs/>
          <w:sz w:val="22"/>
        </w:rPr>
        <w:t xml:space="preserve"> mld zł, co stanowi wzrost o ponad 25</w:t>
      </w:r>
      <w:r w:rsidR="00546FD6">
        <w:rPr>
          <w:b/>
          <w:bCs/>
          <w:sz w:val="22"/>
        </w:rPr>
        <w:t xml:space="preserve"> proc.</w:t>
      </w:r>
      <w:r w:rsidR="00662894" w:rsidRPr="00662894">
        <w:rPr>
          <w:b/>
          <w:bCs/>
          <w:sz w:val="22"/>
        </w:rPr>
        <w:t xml:space="preserve"> w porównaniu z 2022 r. Największ</w:t>
      </w:r>
      <w:r w:rsidR="00ED19FF">
        <w:rPr>
          <w:b/>
          <w:bCs/>
          <w:sz w:val="22"/>
        </w:rPr>
        <w:t xml:space="preserve">ym zainteresowaniem cieszyły się </w:t>
      </w:r>
      <w:r w:rsidR="00662894" w:rsidRPr="00662894">
        <w:rPr>
          <w:b/>
          <w:bCs/>
          <w:sz w:val="22"/>
        </w:rPr>
        <w:t>kredyty mieszkaniowe</w:t>
      </w:r>
      <w:r w:rsidR="00ED19FF">
        <w:rPr>
          <w:b/>
          <w:bCs/>
          <w:sz w:val="22"/>
        </w:rPr>
        <w:t xml:space="preserve"> i</w:t>
      </w:r>
      <w:r w:rsidR="00662894" w:rsidRPr="00662894">
        <w:rPr>
          <w:b/>
          <w:bCs/>
          <w:sz w:val="22"/>
        </w:rPr>
        <w:t xml:space="preserve"> </w:t>
      </w:r>
      <w:r w:rsidR="00C91E78">
        <w:rPr>
          <w:b/>
          <w:bCs/>
          <w:sz w:val="22"/>
        </w:rPr>
        <w:t xml:space="preserve">gotówkowe, których banki udzieliły </w:t>
      </w:r>
      <w:r w:rsidR="00662894" w:rsidRPr="00662894">
        <w:rPr>
          <w:b/>
          <w:bCs/>
          <w:sz w:val="22"/>
        </w:rPr>
        <w:t xml:space="preserve">odpowiednio </w:t>
      </w:r>
      <w:r w:rsidR="00ED19FF">
        <w:rPr>
          <w:b/>
          <w:bCs/>
          <w:sz w:val="22"/>
        </w:rPr>
        <w:t>63,9 mld zł oraz 73,8 mld zł</w:t>
      </w:r>
      <w:r w:rsidR="00107065">
        <w:rPr>
          <w:b/>
          <w:bCs/>
          <w:sz w:val="22"/>
        </w:rPr>
        <w:t>.</w:t>
      </w:r>
      <w:r w:rsidR="00CA4F16">
        <w:rPr>
          <w:b/>
          <w:bCs/>
          <w:sz w:val="22"/>
        </w:rPr>
        <w:t xml:space="preserve"> </w:t>
      </w:r>
      <w:r w:rsidR="00662894" w:rsidRPr="00662894">
        <w:rPr>
          <w:b/>
          <w:bCs/>
          <w:sz w:val="22"/>
        </w:rPr>
        <w:t>Sprzedaż większości rodzajów kredytów zanotowała dwucyfrowy wzrost.</w:t>
      </w:r>
      <w:r w:rsidR="00662894">
        <w:rPr>
          <w:b/>
          <w:bCs/>
          <w:sz w:val="22"/>
        </w:rPr>
        <w:t xml:space="preserve"> </w:t>
      </w:r>
      <w:r w:rsidR="0066025B">
        <w:rPr>
          <w:b/>
          <w:bCs/>
          <w:sz w:val="22"/>
        </w:rPr>
        <w:t xml:space="preserve">- </w:t>
      </w:r>
      <w:r w:rsidR="009C57C4" w:rsidRPr="00BA71D1">
        <w:rPr>
          <w:b/>
          <w:bCs/>
          <w:i/>
          <w:iCs/>
          <w:sz w:val="22"/>
        </w:rPr>
        <w:t xml:space="preserve">Na akcję kredytową w 2024 r. wpływać będą pozytywnie te same czynniki ekonomiczne i systemowe, co w ubiegłym roku </w:t>
      </w:r>
      <w:r w:rsidR="009C57C4" w:rsidRPr="00BA71D1">
        <w:rPr>
          <w:b/>
          <w:bCs/>
          <w:sz w:val="22"/>
        </w:rPr>
        <w:t>–</w:t>
      </w:r>
      <w:r w:rsidR="009C57C4">
        <w:rPr>
          <w:b/>
          <w:bCs/>
          <w:sz w:val="22"/>
        </w:rPr>
        <w:t xml:space="preserve"> </w:t>
      </w:r>
      <w:r>
        <w:rPr>
          <w:b/>
          <w:bCs/>
          <w:sz w:val="22"/>
        </w:rPr>
        <w:t>mówi dr Mariusz Cholewa, p</w:t>
      </w:r>
      <w:r w:rsidR="009C57C4" w:rsidRPr="00BA71D1">
        <w:rPr>
          <w:b/>
          <w:bCs/>
          <w:sz w:val="22"/>
        </w:rPr>
        <w:t>rezes BIK</w:t>
      </w:r>
      <w:r w:rsidR="00C91E78">
        <w:rPr>
          <w:b/>
          <w:bCs/>
          <w:sz w:val="22"/>
        </w:rPr>
        <w:t>.</w:t>
      </w:r>
    </w:p>
    <w:p w14:paraId="4DE6BCB6" w14:textId="77777777" w:rsidR="001D3DE7" w:rsidRPr="008A3B12" w:rsidRDefault="001D3DE7" w:rsidP="001D3DE7">
      <w:pPr>
        <w:jc w:val="both"/>
        <w:rPr>
          <w:sz w:val="22"/>
        </w:rPr>
      </w:pPr>
    </w:p>
    <w:p w14:paraId="2A12734F" w14:textId="72487DC8" w:rsidR="00060730" w:rsidRDefault="00060730" w:rsidP="00060730">
      <w:pPr>
        <w:jc w:val="both"/>
        <w:rPr>
          <w:sz w:val="22"/>
        </w:rPr>
      </w:pPr>
      <w:r w:rsidRPr="00060730">
        <w:rPr>
          <w:sz w:val="22"/>
        </w:rPr>
        <w:t xml:space="preserve">Rynek kredytowy w 2023 r. odzyskał wigor po spadku </w:t>
      </w:r>
      <w:r w:rsidR="00DA5874">
        <w:rPr>
          <w:sz w:val="22"/>
        </w:rPr>
        <w:t xml:space="preserve">wartości portfela kredytowego </w:t>
      </w:r>
      <w:r w:rsidRPr="00060730">
        <w:rPr>
          <w:sz w:val="22"/>
        </w:rPr>
        <w:t xml:space="preserve">w poprzednim roku. Polacy pożyczali więcej i częściej zarówno w bankach, jak i w instytucjach </w:t>
      </w:r>
      <w:proofErr w:type="spellStart"/>
      <w:r w:rsidRPr="00060730">
        <w:rPr>
          <w:sz w:val="22"/>
        </w:rPr>
        <w:t>pozabankowych</w:t>
      </w:r>
      <w:proofErr w:type="spellEnd"/>
      <w:r w:rsidRPr="00060730">
        <w:rPr>
          <w:sz w:val="22"/>
        </w:rPr>
        <w:t xml:space="preserve">. Zadłużenie </w:t>
      </w:r>
      <w:r w:rsidR="00901B53">
        <w:rPr>
          <w:sz w:val="22"/>
        </w:rPr>
        <w:t>klientów indywidualnych</w:t>
      </w:r>
      <w:r w:rsidRPr="00060730">
        <w:rPr>
          <w:sz w:val="22"/>
        </w:rPr>
        <w:t xml:space="preserve"> z tytułu kredytów i pożyczek wzrosło o 5 mld zł i na koniec grudnia 2023 r. wyniosło 727 mld zł. To jednak nie był rekordowy rok, ponieważ w 2021 r. zadłużenie było wyższe o 8 mld zł.</w:t>
      </w:r>
    </w:p>
    <w:p w14:paraId="42BD1083" w14:textId="60A45093" w:rsidR="009C37AC" w:rsidRPr="00060730" w:rsidRDefault="009C37AC" w:rsidP="00060730">
      <w:pPr>
        <w:jc w:val="both"/>
        <w:rPr>
          <w:sz w:val="22"/>
        </w:rPr>
      </w:pPr>
      <w:r>
        <w:rPr>
          <w:sz w:val="22"/>
        </w:rPr>
        <w:t xml:space="preserve">W </w:t>
      </w:r>
      <w:r w:rsidR="00E26B59">
        <w:rPr>
          <w:sz w:val="22"/>
        </w:rPr>
        <w:t xml:space="preserve">wartościowej </w:t>
      </w:r>
      <w:r>
        <w:rPr>
          <w:sz w:val="22"/>
        </w:rPr>
        <w:t xml:space="preserve">strukturze </w:t>
      </w:r>
      <w:r w:rsidR="00E26B59">
        <w:rPr>
          <w:sz w:val="22"/>
        </w:rPr>
        <w:t>zadłużenia gospodarstw domowych dominują</w:t>
      </w:r>
      <w:r>
        <w:rPr>
          <w:sz w:val="22"/>
        </w:rPr>
        <w:t xml:space="preserve"> dwa rodzaje produktów kredytowych. </w:t>
      </w:r>
      <w:r w:rsidR="00E26B59">
        <w:rPr>
          <w:sz w:val="22"/>
        </w:rPr>
        <w:t>N</w:t>
      </w:r>
      <w:r>
        <w:rPr>
          <w:sz w:val="22"/>
        </w:rPr>
        <w:t>iemal 70 proc. portfela (69,8 proc.) zajmują kredyty hipoteczne na wartość 507,3 mld zł. Na drugim miejscu plasują się kredyty gotówkowe, s</w:t>
      </w:r>
      <w:r w:rsidR="00C90E1A">
        <w:rPr>
          <w:sz w:val="22"/>
        </w:rPr>
        <w:t>tanowiąc</w:t>
      </w:r>
      <w:r w:rsidR="00BD7203">
        <w:rPr>
          <w:sz w:val="22"/>
        </w:rPr>
        <w:t>e</w:t>
      </w:r>
      <w:r>
        <w:rPr>
          <w:sz w:val="22"/>
        </w:rPr>
        <w:t xml:space="preserve"> 22</w:t>
      </w:r>
      <w:r w:rsidR="00E26B59">
        <w:rPr>
          <w:sz w:val="22"/>
        </w:rPr>
        <w:t>,2</w:t>
      </w:r>
      <w:r>
        <w:rPr>
          <w:sz w:val="22"/>
        </w:rPr>
        <w:t xml:space="preserve"> proc. portfela i kwotę 161 mld zł.</w:t>
      </w:r>
    </w:p>
    <w:p w14:paraId="0D63EB6F" w14:textId="2429428E" w:rsidR="00060730" w:rsidRPr="00060730" w:rsidRDefault="00CF02CB" w:rsidP="00060730">
      <w:pPr>
        <w:jc w:val="both"/>
        <w:rPr>
          <w:sz w:val="22"/>
        </w:rPr>
      </w:pPr>
      <w:r>
        <w:rPr>
          <w:sz w:val="22"/>
        </w:rPr>
        <w:t>W</w:t>
      </w:r>
      <w:r w:rsidR="004A24E7">
        <w:rPr>
          <w:sz w:val="22"/>
        </w:rPr>
        <w:t xml:space="preserve"> dynamice</w:t>
      </w:r>
      <w:r>
        <w:rPr>
          <w:sz w:val="22"/>
        </w:rPr>
        <w:t xml:space="preserve"> sprzedaży ubiegłego roku zdecydowanymi liderami są </w:t>
      </w:r>
      <w:r w:rsidRPr="00060730">
        <w:rPr>
          <w:sz w:val="22"/>
        </w:rPr>
        <w:t xml:space="preserve">kredyty mieszkaniowe i pożyczki </w:t>
      </w:r>
      <w:proofErr w:type="spellStart"/>
      <w:r w:rsidRPr="00060730">
        <w:rPr>
          <w:sz w:val="22"/>
        </w:rPr>
        <w:t>pozabankowe</w:t>
      </w:r>
      <w:proofErr w:type="spellEnd"/>
      <w:r w:rsidRPr="00060730">
        <w:rPr>
          <w:sz w:val="22"/>
        </w:rPr>
        <w:t>.</w:t>
      </w:r>
      <w:r>
        <w:rPr>
          <w:sz w:val="22"/>
        </w:rPr>
        <w:t xml:space="preserve"> N</w:t>
      </w:r>
      <w:r w:rsidR="00060730" w:rsidRPr="00060730">
        <w:rPr>
          <w:sz w:val="22"/>
        </w:rPr>
        <w:t xml:space="preserve">ajwiększy wzrost sprzedaży </w:t>
      </w:r>
      <w:r w:rsidR="00060730">
        <w:rPr>
          <w:sz w:val="22"/>
        </w:rPr>
        <w:t xml:space="preserve">w 2023 r. </w:t>
      </w:r>
      <w:r w:rsidR="00060730" w:rsidRPr="00060730">
        <w:rPr>
          <w:sz w:val="22"/>
        </w:rPr>
        <w:t xml:space="preserve">odnotowały </w:t>
      </w:r>
      <w:r>
        <w:rPr>
          <w:sz w:val="22"/>
        </w:rPr>
        <w:t xml:space="preserve">kredyty </w:t>
      </w:r>
      <w:r w:rsidR="00060730" w:rsidRPr="00060730">
        <w:rPr>
          <w:sz w:val="22"/>
        </w:rPr>
        <w:t>na zakup nieruchomości</w:t>
      </w:r>
      <w:r>
        <w:rPr>
          <w:sz w:val="22"/>
        </w:rPr>
        <w:t>, których banki i SKOK-i udzieliły</w:t>
      </w:r>
      <w:r w:rsidR="00060730" w:rsidRPr="00060730">
        <w:rPr>
          <w:sz w:val="22"/>
        </w:rPr>
        <w:t xml:space="preserve"> na łączną kwotę 63,9 mld zł, </w:t>
      </w:r>
      <w:r>
        <w:rPr>
          <w:sz w:val="22"/>
        </w:rPr>
        <w:t xml:space="preserve">czyli o </w:t>
      </w:r>
      <w:r w:rsidR="00060730" w:rsidRPr="00060730">
        <w:rPr>
          <w:sz w:val="22"/>
        </w:rPr>
        <w:t xml:space="preserve">40,5 proc. </w:t>
      </w:r>
      <w:r>
        <w:rPr>
          <w:sz w:val="22"/>
        </w:rPr>
        <w:t>więcej niż w</w:t>
      </w:r>
      <w:r w:rsidR="00060730" w:rsidRPr="00060730">
        <w:rPr>
          <w:sz w:val="22"/>
        </w:rPr>
        <w:t xml:space="preserve"> 2022 r. Pożyczki </w:t>
      </w:r>
      <w:proofErr w:type="spellStart"/>
      <w:r w:rsidR="00060730" w:rsidRPr="00060730">
        <w:rPr>
          <w:sz w:val="22"/>
        </w:rPr>
        <w:t>pozabankowe</w:t>
      </w:r>
      <w:proofErr w:type="spellEnd"/>
      <w:r w:rsidR="00060730">
        <w:rPr>
          <w:sz w:val="22"/>
        </w:rPr>
        <w:t xml:space="preserve"> </w:t>
      </w:r>
      <w:r w:rsidR="00060730" w:rsidRPr="00060730">
        <w:rPr>
          <w:sz w:val="22"/>
        </w:rPr>
        <w:t xml:space="preserve">osiągnęły wartość 14,6 mld zł, co stanowi wzrost o 58 proc. </w:t>
      </w:r>
      <w:r w:rsidR="00060730">
        <w:rPr>
          <w:sz w:val="22"/>
        </w:rPr>
        <w:t xml:space="preserve">r/r. </w:t>
      </w:r>
      <w:r w:rsidR="00060730" w:rsidRPr="00060730">
        <w:rPr>
          <w:sz w:val="22"/>
        </w:rPr>
        <w:t>Wartość</w:t>
      </w:r>
      <w:r w:rsidR="004A24E7">
        <w:rPr>
          <w:sz w:val="22"/>
        </w:rPr>
        <w:t xml:space="preserve"> sprzedaży</w:t>
      </w:r>
      <w:r w:rsidR="00060730" w:rsidRPr="00060730">
        <w:rPr>
          <w:sz w:val="22"/>
        </w:rPr>
        <w:t xml:space="preserve"> kredytów gotówkowych i ratalnych również zwiększyła się, odpowiednio o 13,7 proc. i 26,7 proc.</w:t>
      </w:r>
      <w:r w:rsidR="00FA5C24">
        <w:rPr>
          <w:sz w:val="22"/>
        </w:rPr>
        <w:t xml:space="preserve"> r/r. </w:t>
      </w:r>
    </w:p>
    <w:p w14:paraId="16C36F97" w14:textId="5DEAFB81" w:rsidR="00060730" w:rsidRDefault="009D3365" w:rsidP="00602D2D">
      <w:pPr>
        <w:jc w:val="both"/>
        <w:rPr>
          <w:sz w:val="22"/>
        </w:rPr>
      </w:pPr>
      <w:r>
        <w:rPr>
          <w:sz w:val="22"/>
        </w:rPr>
        <w:t>To</w:t>
      </w:r>
      <w:r w:rsidR="00060730">
        <w:rPr>
          <w:sz w:val="22"/>
        </w:rPr>
        <w:t>, co</w:t>
      </w:r>
      <w:r w:rsidR="00060730" w:rsidRPr="00060730">
        <w:rPr>
          <w:sz w:val="22"/>
        </w:rPr>
        <w:t xml:space="preserve"> skłoniło </w:t>
      </w:r>
      <w:r w:rsidR="00E856DC">
        <w:rPr>
          <w:sz w:val="22"/>
        </w:rPr>
        <w:t>Polaków</w:t>
      </w:r>
      <w:r w:rsidR="00060730">
        <w:rPr>
          <w:sz w:val="22"/>
        </w:rPr>
        <w:t xml:space="preserve"> </w:t>
      </w:r>
      <w:r w:rsidR="00060730" w:rsidRPr="00060730">
        <w:rPr>
          <w:sz w:val="22"/>
        </w:rPr>
        <w:t>do większe</w:t>
      </w:r>
      <w:r w:rsidR="00E856DC">
        <w:rPr>
          <w:sz w:val="22"/>
        </w:rPr>
        <w:t>go zainteresowania kredytami</w:t>
      </w:r>
      <w:r w:rsidR="00060730" w:rsidRPr="00060730">
        <w:rPr>
          <w:sz w:val="22"/>
        </w:rPr>
        <w:t xml:space="preserve"> w 2023 r.</w:t>
      </w:r>
      <w:r w:rsidR="00060730">
        <w:rPr>
          <w:sz w:val="22"/>
        </w:rPr>
        <w:t>, tłumaczyć można kilkoma czynnikami.</w:t>
      </w:r>
    </w:p>
    <w:p w14:paraId="05886AD4" w14:textId="77777777" w:rsidR="00384B86" w:rsidRDefault="00384B86" w:rsidP="00602D2D">
      <w:pPr>
        <w:jc w:val="both"/>
        <w:rPr>
          <w:sz w:val="22"/>
        </w:rPr>
      </w:pPr>
    </w:p>
    <w:p w14:paraId="0EB972E6" w14:textId="13A1F39E" w:rsidR="00602D2D" w:rsidRPr="00602D2D" w:rsidRDefault="00602D2D" w:rsidP="00602D2D">
      <w:pPr>
        <w:jc w:val="both"/>
        <w:rPr>
          <w:i/>
          <w:iCs/>
          <w:sz w:val="22"/>
        </w:rPr>
      </w:pPr>
      <w:r w:rsidRPr="00602D2D">
        <w:rPr>
          <w:i/>
          <w:iCs/>
          <w:sz w:val="22"/>
        </w:rPr>
        <w:t xml:space="preserve">- </w:t>
      </w:r>
      <w:r w:rsidR="00651B79">
        <w:rPr>
          <w:i/>
          <w:iCs/>
          <w:sz w:val="22"/>
        </w:rPr>
        <w:t>W</w:t>
      </w:r>
      <w:r w:rsidR="00651B79" w:rsidRPr="00651B79">
        <w:rPr>
          <w:i/>
          <w:iCs/>
          <w:sz w:val="22"/>
        </w:rPr>
        <w:t xml:space="preserve">zrost akcji kredytowej w 2023 roku </w:t>
      </w:r>
      <w:r w:rsidR="006642EF">
        <w:rPr>
          <w:i/>
          <w:iCs/>
          <w:sz w:val="22"/>
        </w:rPr>
        <w:t xml:space="preserve">o 25 proc. </w:t>
      </w:r>
      <w:r w:rsidR="00651B79" w:rsidRPr="00651B79">
        <w:rPr>
          <w:i/>
          <w:iCs/>
          <w:sz w:val="22"/>
        </w:rPr>
        <w:t xml:space="preserve">był spowodowany wyższą niż w </w:t>
      </w:r>
      <w:r w:rsidR="009D3365">
        <w:rPr>
          <w:i/>
          <w:iCs/>
          <w:sz w:val="22"/>
        </w:rPr>
        <w:t>2022</w:t>
      </w:r>
      <w:r w:rsidR="009D3365" w:rsidRPr="00651B79">
        <w:rPr>
          <w:i/>
          <w:iCs/>
          <w:sz w:val="22"/>
        </w:rPr>
        <w:t xml:space="preserve"> </w:t>
      </w:r>
      <w:r w:rsidR="00651B79" w:rsidRPr="00651B79">
        <w:rPr>
          <w:i/>
          <w:iCs/>
          <w:sz w:val="22"/>
        </w:rPr>
        <w:t>roku zdolnoś</w:t>
      </w:r>
      <w:r w:rsidR="006642EF">
        <w:rPr>
          <w:i/>
          <w:iCs/>
          <w:sz w:val="22"/>
        </w:rPr>
        <w:t>cią</w:t>
      </w:r>
      <w:r w:rsidR="00651B79" w:rsidRPr="00651B79">
        <w:rPr>
          <w:i/>
          <w:iCs/>
          <w:sz w:val="22"/>
        </w:rPr>
        <w:t xml:space="preserve"> kredytową Polaków. </w:t>
      </w:r>
      <w:r w:rsidR="00651B79">
        <w:rPr>
          <w:i/>
          <w:iCs/>
          <w:sz w:val="22"/>
        </w:rPr>
        <w:t>P</w:t>
      </w:r>
      <w:r w:rsidR="00651B79" w:rsidRPr="00651B79">
        <w:rPr>
          <w:i/>
          <w:iCs/>
          <w:sz w:val="22"/>
        </w:rPr>
        <w:t xml:space="preserve">rzyczyniły się </w:t>
      </w:r>
      <w:r w:rsidR="00651B79">
        <w:rPr>
          <w:i/>
          <w:iCs/>
          <w:sz w:val="22"/>
        </w:rPr>
        <w:t xml:space="preserve">do tego </w:t>
      </w:r>
      <w:r w:rsidR="00651B79" w:rsidRPr="00651B79">
        <w:rPr>
          <w:i/>
          <w:iCs/>
          <w:sz w:val="22"/>
        </w:rPr>
        <w:t xml:space="preserve">czynniki ekonomiczne, takie jak spadek o 1 </w:t>
      </w:r>
      <w:proofErr w:type="spellStart"/>
      <w:r w:rsidR="00651B79">
        <w:rPr>
          <w:i/>
          <w:iCs/>
          <w:sz w:val="22"/>
        </w:rPr>
        <w:t>p.p</w:t>
      </w:r>
      <w:proofErr w:type="spellEnd"/>
      <w:r w:rsidR="00651B79">
        <w:rPr>
          <w:i/>
          <w:iCs/>
          <w:sz w:val="22"/>
        </w:rPr>
        <w:t xml:space="preserve">. </w:t>
      </w:r>
      <w:r w:rsidR="00651B79" w:rsidRPr="00651B79">
        <w:rPr>
          <w:i/>
          <w:iCs/>
          <w:sz w:val="22"/>
        </w:rPr>
        <w:t xml:space="preserve">stawki WIBOR, realny wzrost wynagrodzeń od drugiego półrocza 2023 roku oraz stabilny niski poziom bezrobocia na poziomie </w:t>
      </w:r>
      <w:r w:rsidR="00FE0A9E">
        <w:rPr>
          <w:i/>
          <w:iCs/>
          <w:sz w:val="22"/>
        </w:rPr>
        <w:t xml:space="preserve">ok. </w:t>
      </w:r>
      <w:r w:rsidR="00651B79" w:rsidRPr="00651B79">
        <w:rPr>
          <w:i/>
          <w:iCs/>
          <w:sz w:val="22"/>
        </w:rPr>
        <w:t>5</w:t>
      </w:r>
      <w:r w:rsidR="001F00D3">
        <w:rPr>
          <w:i/>
          <w:iCs/>
          <w:sz w:val="22"/>
        </w:rPr>
        <w:t xml:space="preserve"> proc</w:t>
      </w:r>
      <w:r w:rsidR="00651B79" w:rsidRPr="00651B79">
        <w:rPr>
          <w:i/>
          <w:iCs/>
          <w:sz w:val="22"/>
        </w:rPr>
        <w:t xml:space="preserve">. W drugim kwartale ubiegłego roku </w:t>
      </w:r>
      <w:r w:rsidR="006642EF">
        <w:rPr>
          <w:i/>
          <w:iCs/>
          <w:sz w:val="22"/>
        </w:rPr>
        <w:t xml:space="preserve">rolę pobudzającą rynek kredytowy odegrał </w:t>
      </w:r>
      <w:r w:rsidR="00651B79" w:rsidRPr="00651B79">
        <w:rPr>
          <w:i/>
          <w:iCs/>
          <w:sz w:val="22"/>
        </w:rPr>
        <w:t xml:space="preserve">czynnik regulacyjny, tj. obniżenie buforu 2,5 </w:t>
      </w:r>
      <w:proofErr w:type="spellStart"/>
      <w:r w:rsidR="00651B79" w:rsidRPr="00651B79">
        <w:rPr>
          <w:i/>
          <w:iCs/>
          <w:sz w:val="22"/>
        </w:rPr>
        <w:t>p</w:t>
      </w:r>
      <w:r w:rsidR="00651B79">
        <w:rPr>
          <w:i/>
          <w:iCs/>
          <w:sz w:val="22"/>
        </w:rPr>
        <w:t>.p</w:t>
      </w:r>
      <w:proofErr w:type="spellEnd"/>
      <w:r w:rsidR="00651B79">
        <w:rPr>
          <w:i/>
          <w:iCs/>
          <w:sz w:val="22"/>
        </w:rPr>
        <w:t>.</w:t>
      </w:r>
      <w:r w:rsidR="009B7EF9">
        <w:rPr>
          <w:i/>
          <w:iCs/>
          <w:sz w:val="22"/>
        </w:rPr>
        <w:t xml:space="preserve"> przy obliczaniu zdolności kredytowej.</w:t>
      </w:r>
      <w:r w:rsidR="006642EF">
        <w:rPr>
          <w:i/>
          <w:iCs/>
          <w:sz w:val="22"/>
        </w:rPr>
        <w:t xml:space="preserve"> Natomiast </w:t>
      </w:r>
      <w:r w:rsidR="00651B79" w:rsidRPr="00651B79">
        <w:rPr>
          <w:i/>
          <w:iCs/>
          <w:sz w:val="22"/>
        </w:rPr>
        <w:t xml:space="preserve">od trzeciego kwartału </w:t>
      </w:r>
      <w:r w:rsidR="006642EF" w:rsidRPr="00651B79">
        <w:rPr>
          <w:i/>
          <w:iCs/>
          <w:sz w:val="22"/>
        </w:rPr>
        <w:t>ryn</w:t>
      </w:r>
      <w:r w:rsidR="006642EF">
        <w:rPr>
          <w:i/>
          <w:iCs/>
          <w:sz w:val="22"/>
        </w:rPr>
        <w:t>e</w:t>
      </w:r>
      <w:r w:rsidR="006642EF" w:rsidRPr="00651B79">
        <w:rPr>
          <w:i/>
          <w:iCs/>
          <w:sz w:val="22"/>
        </w:rPr>
        <w:t>k kredytów mieszkaniowych</w:t>
      </w:r>
      <w:r w:rsidR="006642EF">
        <w:rPr>
          <w:i/>
          <w:iCs/>
          <w:sz w:val="22"/>
        </w:rPr>
        <w:t xml:space="preserve"> znacząco pobudził </w:t>
      </w:r>
      <w:r w:rsidR="00651B79" w:rsidRPr="00651B79">
        <w:rPr>
          <w:i/>
          <w:iCs/>
          <w:sz w:val="22"/>
        </w:rPr>
        <w:lastRenderedPageBreak/>
        <w:t>czynnik systemowy</w:t>
      </w:r>
      <w:r w:rsidR="006642EF">
        <w:rPr>
          <w:i/>
          <w:iCs/>
          <w:sz w:val="22"/>
        </w:rPr>
        <w:t xml:space="preserve"> - </w:t>
      </w:r>
      <w:r w:rsidR="00651B79" w:rsidRPr="00651B79">
        <w:rPr>
          <w:i/>
          <w:iCs/>
          <w:sz w:val="22"/>
        </w:rPr>
        <w:t>wprowadzeni</w:t>
      </w:r>
      <w:r w:rsidR="006642EF">
        <w:rPr>
          <w:i/>
          <w:iCs/>
          <w:sz w:val="22"/>
        </w:rPr>
        <w:t>e</w:t>
      </w:r>
      <w:r w:rsidR="00651B79" w:rsidRPr="00651B79">
        <w:rPr>
          <w:i/>
          <w:iCs/>
          <w:sz w:val="22"/>
        </w:rPr>
        <w:t xml:space="preserve"> rządowego Programu „Bezpieczny Kredyt 2 proc.”</w:t>
      </w:r>
      <w:r w:rsidR="006642EF">
        <w:rPr>
          <w:i/>
          <w:iCs/>
          <w:sz w:val="22"/>
        </w:rPr>
        <w:t xml:space="preserve">. Biorąc te wszystkie aspekty pod uwagę, </w:t>
      </w:r>
      <w:r w:rsidR="006642EF" w:rsidRPr="006642EF">
        <w:rPr>
          <w:i/>
          <w:iCs/>
          <w:sz w:val="22"/>
        </w:rPr>
        <w:t xml:space="preserve">rynek kredytów i pożyczek w 2023 r. urósł we wszystkich segmentach. </w:t>
      </w:r>
      <w:r w:rsidR="006642EF">
        <w:rPr>
          <w:i/>
          <w:iCs/>
          <w:sz w:val="22"/>
        </w:rPr>
        <w:t>T</w:t>
      </w:r>
      <w:r w:rsidR="006642EF" w:rsidRPr="006642EF">
        <w:rPr>
          <w:i/>
          <w:iCs/>
          <w:sz w:val="22"/>
        </w:rPr>
        <w:t>e same czynniki ekonomiczne i systemowe, co w ubiegłym roku</w:t>
      </w:r>
      <w:r w:rsidR="006642EF">
        <w:rPr>
          <w:i/>
          <w:iCs/>
          <w:sz w:val="22"/>
        </w:rPr>
        <w:t xml:space="preserve">, </w:t>
      </w:r>
      <w:r w:rsidR="006642EF" w:rsidRPr="006642EF">
        <w:rPr>
          <w:i/>
          <w:iCs/>
          <w:sz w:val="22"/>
        </w:rPr>
        <w:t>wpływać będą</w:t>
      </w:r>
      <w:r w:rsidR="006642EF">
        <w:rPr>
          <w:i/>
          <w:iCs/>
          <w:sz w:val="22"/>
        </w:rPr>
        <w:t xml:space="preserve"> pozytywnie n</w:t>
      </w:r>
      <w:r w:rsidR="006642EF" w:rsidRPr="006642EF">
        <w:rPr>
          <w:i/>
          <w:iCs/>
          <w:sz w:val="22"/>
        </w:rPr>
        <w:t xml:space="preserve">a </w:t>
      </w:r>
      <w:r w:rsidR="006642EF">
        <w:rPr>
          <w:i/>
          <w:iCs/>
          <w:sz w:val="22"/>
        </w:rPr>
        <w:t xml:space="preserve">tegoroczną </w:t>
      </w:r>
      <w:r w:rsidR="006642EF" w:rsidRPr="006642EF">
        <w:rPr>
          <w:i/>
          <w:iCs/>
          <w:sz w:val="22"/>
        </w:rPr>
        <w:t xml:space="preserve">akcję kredytową </w:t>
      </w:r>
      <w:r w:rsidRPr="00602D2D">
        <w:rPr>
          <w:i/>
          <w:iCs/>
          <w:sz w:val="22"/>
        </w:rPr>
        <w:t xml:space="preserve">- </w:t>
      </w:r>
      <w:r w:rsidRPr="00602D2D">
        <w:rPr>
          <w:sz w:val="22"/>
        </w:rPr>
        <w:t xml:space="preserve">wskazuje dr Mariusz Cholewa, prezes Zarządu BIK S.A. </w:t>
      </w:r>
    </w:p>
    <w:p w14:paraId="03EC2617" w14:textId="77777777" w:rsidR="00903E6E" w:rsidRDefault="00903E6E" w:rsidP="00602D2D">
      <w:pPr>
        <w:jc w:val="both"/>
        <w:rPr>
          <w:b/>
          <w:bCs/>
          <w:sz w:val="22"/>
        </w:rPr>
      </w:pPr>
    </w:p>
    <w:p w14:paraId="7B798C09" w14:textId="2709A138" w:rsidR="00602D2D" w:rsidRPr="00602D2D" w:rsidRDefault="00602D2D" w:rsidP="00602D2D">
      <w:pPr>
        <w:jc w:val="both"/>
        <w:rPr>
          <w:b/>
          <w:bCs/>
          <w:sz w:val="22"/>
        </w:rPr>
      </w:pPr>
      <w:r w:rsidRPr="00602D2D">
        <w:rPr>
          <w:b/>
          <w:bCs/>
          <w:sz w:val="22"/>
        </w:rPr>
        <w:t>Zróżnicowane tempo na rynku kredytów mieszkaniowych</w:t>
      </w:r>
    </w:p>
    <w:p w14:paraId="6F4F747D" w14:textId="77777777" w:rsidR="00903E6E" w:rsidRDefault="00903E6E" w:rsidP="00602D2D">
      <w:pPr>
        <w:jc w:val="both"/>
        <w:rPr>
          <w:sz w:val="22"/>
        </w:rPr>
      </w:pPr>
    </w:p>
    <w:p w14:paraId="4DBD335B" w14:textId="77777777" w:rsidR="00FA5C24" w:rsidRDefault="00903E6E" w:rsidP="00B90C3F">
      <w:pPr>
        <w:jc w:val="both"/>
        <w:rPr>
          <w:sz w:val="22"/>
        </w:rPr>
      </w:pPr>
      <w:r w:rsidRPr="00903E6E">
        <w:rPr>
          <w:sz w:val="22"/>
        </w:rPr>
        <w:t xml:space="preserve">Rok 2023 był rokiem pełnym zawirowań na rynku kredytów mieszkaniowych. </w:t>
      </w:r>
      <w:r w:rsidR="00FA5C24">
        <w:rPr>
          <w:sz w:val="22"/>
        </w:rPr>
        <w:t xml:space="preserve">W pierwszych miesiącach roku rynek kredytowy był zamrożony, a akcja kredytowa była na poziomie 2 mld zł miesięcznie. </w:t>
      </w:r>
    </w:p>
    <w:p w14:paraId="1A8670C8" w14:textId="77777777" w:rsidR="00B55CE9" w:rsidRDefault="00903E6E" w:rsidP="00B90C3F">
      <w:pPr>
        <w:jc w:val="both"/>
        <w:rPr>
          <w:sz w:val="22"/>
        </w:rPr>
      </w:pPr>
      <w:r w:rsidRPr="00903E6E">
        <w:rPr>
          <w:sz w:val="22"/>
        </w:rPr>
        <w:t>Zmiany stóp procentowych</w:t>
      </w:r>
      <w:r w:rsidR="00FE23DD">
        <w:rPr>
          <w:sz w:val="22"/>
        </w:rPr>
        <w:t xml:space="preserve"> oraz </w:t>
      </w:r>
      <w:r w:rsidR="00255007">
        <w:rPr>
          <w:sz w:val="22"/>
        </w:rPr>
        <w:t xml:space="preserve">oczekiwanie na </w:t>
      </w:r>
      <w:r w:rsidRPr="00903E6E">
        <w:rPr>
          <w:sz w:val="22"/>
        </w:rPr>
        <w:t>wprowadzenie rządowego programu</w:t>
      </w:r>
      <w:r w:rsidR="00FE23DD">
        <w:rPr>
          <w:sz w:val="22"/>
        </w:rPr>
        <w:t>,</w:t>
      </w:r>
      <w:r w:rsidRPr="00903E6E">
        <w:rPr>
          <w:sz w:val="22"/>
        </w:rPr>
        <w:t xml:space="preserve"> </w:t>
      </w:r>
      <w:r w:rsidR="00FE23DD" w:rsidRPr="00903E6E">
        <w:rPr>
          <w:sz w:val="22"/>
        </w:rPr>
        <w:t>który miał obniżyć oprocentowanie kredytów do 2</w:t>
      </w:r>
      <w:r w:rsidR="001F00D3">
        <w:rPr>
          <w:sz w:val="22"/>
        </w:rPr>
        <w:t xml:space="preserve"> proc. </w:t>
      </w:r>
      <w:r w:rsidR="00FE23DD" w:rsidRPr="00903E6E">
        <w:rPr>
          <w:sz w:val="22"/>
        </w:rPr>
        <w:t>w skali roku</w:t>
      </w:r>
      <w:r w:rsidR="00FE23DD">
        <w:rPr>
          <w:sz w:val="22"/>
        </w:rPr>
        <w:t xml:space="preserve">, </w:t>
      </w:r>
      <w:r w:rsidR="00B55CE9">
        <w:rPr>
          <w:sz w:val="22"/>
        </w:rPr>
        <w:t>s</w:t>
      </w:r>
      <w:r w:rsidR="00FE23DD">
        <w:rPr>
          <w:sz w:val="22"/>
        </w:rPr>
        <w:t>tworzyły grunt</w:t>
      </w:r>
      <w:r w:rsidR="00B90C3F">
        <w:rPr>
          <w:sz w:val="22"/>
        </w:rPr>
        <w:t xml:space="preserve"> do wydarzeń, które miały wystąpić w drugiej połowie roku. </w:t>
      </w:r>
      <w:r w:rsidR="00B55CE9">
        <w:rPr>
          <w:sz w:val="22"/>
        </w:rPr>
        <w:t xml:space="preserve">Istotne </w:t>
      </w:r>
      <w:r w:rsidR="00B90C3F">
        <w:rPr>
          <w:sz w:val="22"/>
        </w:rPr>
        <w:t xml:space="preserve">znaczenie w II kwartale miał </w:t>
      </w:r>
      <w:r w:rsidR="00FE23DD" w:rsidRPr="00903E6E">
        <w:rPr>
          <w:sz w:val="22"/>
        </w:rPr>
        <w:t>wzros</w:t>
      </w:r>
      <w:r w:rsidR="00B90C3F">
        <w:rPr>
          <w:sz w:val="22"/>
        </w:rPr>
        <w:t xml:space="preserve">t </w:t>
      </w:r>
      <w:r w:rsidR="00FE23DD" w:rsidRPr="00903E6E">
        <w:rPr>
          <w:sz w:val="22"/>
        </w:rPr>
        <w:t>zdolnoś</w:t>
      </w:r>
      <w:r w:rsidR="00B90C3F">
        <w:rPr>
          <w:sz w:val="22"/>
        </w:rPr>
        <w:t>ci</w:t>
      </w:r>
      <w:r w:rsidR="00FE23DD" w:rsidRPr="00903E6E">
        <w:rPr>
          <w:sz w:val="22"/>
        </w:rPr>
        <w:t xml:space="preserve"> kredytow</w:t>
      </w:r>
      <w:r w:rsidR="00B90C3F">
        <w:rPr>
          <w:sz w:val="22"/>
        </w:rPr>
        <w:t>ej</w:t>
      </w:r>
      <w:r w:rsidR="00FE23DD" w:rsidRPr="00903E6E">
        <w:rPr>
          <w:sz w:val="22"/>
        </w:rPr>
        <w:t xml:space="preserve"> kredytobiorców dzięki poprawie sytuacji gospodarczej i </w:t>
      </w:r>
      <w:r w:rsidR="00FA5C24">
        <w:rPr>
          <w:sz w:val="22"/>
        </w:rPr>
        <w:t>realny wzrost wynagrodzeń</w:t>
      </w:r>
      <w:r w:rsidR="00FE23DD" w:rsidRPr="00903E6E">
        <w:rPr>
          <w:sz w:val="22"/>
        </w:rPr>
        <w:t>.</w:t>
      </w:r>
      <w:r w:rsidR="00FE23DD">
        <w:rPr>
          <w:sz w:val="22"/>
        </w:rPr>
        <w:t xml:space="preserve"> </w:t>
      </w:r>
    </w:p>
    <w:p w14:paraId="61441143" w14:textId="6A813D0B" w:rsidR="006F0C4E" w:rsidRDefault="00FE23DD" w:rsidP="00B90C3F">
      <w:pPr>
        <w:jc w:val="both"/>
        <w:rPr>
          <w:sz w:val="22"/>
        </w:rPr>
      </w:pPr>
      <w:r>
        <w:rPr>
          <w:sz w:val="22"/>
        </w:rPr>
        <w:t xml:space="preserve">W efekcie tych zmian </w:t>
      </w:r>
      <w:r w:rsidR="00B90C3F">
        <w:rPr>
          <w:sz w:val="22"/>
        </w:rPr>
        <w:t xml:space="preserve">i </w:t>
      </w:r>
      <w:r w:rsidR="00B90C3F" w:rsidRPr="00903E6E">
        <w:rPr>
          <w:sz w:val="22"/>
        </w:rPr>
        <w:t>uruchomieni</w:t>
      </w:r>
      <w:r w:rsidR="00B90C3F">
        <w:rPr>
          <w:sz w:val="22"/>
        </w:rPr>
        <w:t>a</w:t>
      </w:r>
      <w:r w:rsidR="00B90C3F" w:rsidRPr="00903E6E">
        <w:rPr>
          <w:sz w:val="22"/>
        </w:rPr>
        <w:t xml:space="preserve"> rządowego programu </w:t>
      </w:r>
      <w:r w:rsidR="00B90C3F">
        <w:rPr>
          <w:sz w:val="22"/>
        </w:rPr>
        <w:t>„Bezpieczny K</w:t>
      </w:r>
      <w:r w:rsidR="00B90C3F" w:rsidRPr="00903E6E">
        <w:rPr>
          <w:sz w:val="22"/>
        </w:rPr>
        <w:t>redyt 2%</w:t>
      </w:r>
      <w:r w:rsidR="00B90C3F">
        <w:rPr>
          <w:sz w:val="22"/>
        </w:rPr>
        <w:t>”</w:t>
      </w:r>
      <w:r w:rsidR="00B90C3F" w:rsidRPr="00903E6E">
        <w:rPr>
          <w:sz w:val="22"/>
        </w:rPr>
        <w:t xml:space="preserve"> </w:t>
      </w:r>
      <w:r w:rsidR="00FA5C24">
        <w:rPr>
          <w:sz w:val="22"/>
        </w:rPr>
        <w:t xml:space="preserve">w drugim półroczu </w:t>
      </w:r>
      <w:r w:rsidR="00A17C24">
        <w:rPr>
          <w:sz w:val="22"/>
        </w:rPr>
        <w:t>nadeszła</w:t>
      </w:r>
      <w:r w:rsidR="00B90C3F">
        <w:rPr>
          <w:sz w:val="22"/>
        </w:rPr>
        <w:t xml:space="preserve"> dobra passa </w:t>
      </w:r>
      <w:r w:rsidR="00A17C24">
        <w:rPr>
          <w:sz w:val="22"/>
        </w:rPr>
        <w:t xml:space="preserve">dla </w:t>
      </w:r>
      <w:r w:rsidR="00B90C3F">
        <w:rPr>
          <w:sz w:val="22"/>
        </w:rPr>
        <w:t>kredytów mieszkaniowych. P</w:t>
      </w:r>
      <w:r w:rsidR="00B90C3F" w:rsidRPr="006F0C4E">
        <w:rPr>
          <w:sz w:val="22"/>
        </w:rPr>
        <w:t>opyt na</w:t>
      </w:r>
      <w:r w:rsidR="00B90C3F">
        <w:rPr>
          <w:sz w:val="22"/>
        </w:rPr>
        <w:t xml:space="preserve"> hipoteki znacząco ożywił się </w:t>
      </w:r>
      <w:r w:rsidR="00B90C3F" w:rsidRPr="006F0C4E">
        <w:rPr>
          <w:sz w:val="22"/>
        </w:rPr>
        <w:t xml:space="preserve">zarówno bezpośrednio </w:t>
      </w:r>
      <w:r w:rsidR="00A17C24">
        <w:rPr>
          <w:sz w:val="22"/>
        </w:rPr>
        <w:t>dzięki</w:t>
      </w:r>
      <w:r w:rsidR="00B90C3F" w:rsidRPr="006F0C4E">
        <w:rPr>
          <w:sz w:val="22"/>
        </w:rPr>
        <w:t xml:space="preserve"> beneficjent</w:t>
      </w:r>
      <w:r w:rsidR="00A17C24">
        <w:rPr>
          <w:sz w:val="22"/>
        </w:rPr>
        <w:t>om</w:t>
      </w:r>
      <w:r w:rsidR="00B90C3F" w:rsidRPr="006F0C4E">
        <w:rPr>
          <w:sz w:val="22"/>
        </w:rPr>
        <w:t xml:space="preserve"> </w:t>
      </w:r>
      <w:r w:rsidR="00B90C3F">
        <w:rPr>
          <w:sz w:val="22"/>
        </w:rPr>
        <w:t>P</w:t>
      </w:r>
      <w:r w:rsidR="00B90C3F" w:rsidRPr="006F0C4E">
        <w:rPr>
          <w:sz w:val="22"/>
        </w:rPr>
        <w:t>rogramu, jak i pośrednio wśród osób, które nie spełnia</w:t>
      </w:r>
      <w:r w:rsidR="00B90C3F">
        <w:rPr>
          <w:sz w:val="22"/>
        </w:rPr>
        <w:t>ły</w:t>
      </w:r>
      <w:r w:rsidR="00B90C3F" w:rsidRPr="006F0C4E">
        <w:rPr>
          <w:sz w:val="22"/>
        </w:rPr>
        <w:t xml:space="preserve"> kryteriów formalnych</w:t>
      </w:r>
      <w:r w:rsidR="00B90C3F">
        <w:rPr>
          <w:sz w:val="22"/>
        </w:rPr>
        <w:t xml:space="preserve">, by z niego skorzystać. </w:t>
      </w:r>
    </w:p>
    <w:p w14:paraId="04EAA4B6" w14:textId="77777777" w:rsidR="00B90C3F" w:rsidRDefault="00B90C3F" w:rsidP="00B90C3F">
      <w:pPr>
        <w:jc w:val="both"/>
        <w:rPr>
          <w:sz w:val="22"/>
        </w:rPr>
      </w:pPr>
    </w:p>
    <w:p w14:paraId="7052FACB" w14:textId="3F8B019D" w:rsidR="006F0C4E" w:rsidRDefault="00B90C3F" w:rsidP="00903E6E">
      <w:pPr>
        <w:jc w:val="both"/>
        <w:rPr>
          <w:sz w:val="22"/>
        </w:rPr>
      </w:pPr>
      <w:r>
        <w:rPr>
          <w:sz w:val="22"/>
        </w:rPr>
        <w:t xml:space="preserve">Profil kredytobiorcy mieszkaniowego, </w:t>
      </w:r>
      <w:r w:rsidR="00940E8C">
        <w:rPr>
          <w:sz w:val="22"/>
        </w:rPr>
        <w:t>korzystającego z</w:t>
      </w:r>
      <w:r>
        <w:rPr>
          <w:sz w:val="22"/>
        </w:rPr>
        <w:t xml:space="preserve"> Programu </w:t>
      </w:r>
      <w:r w:rsidR="00CB1B22">
        <w:rPr>
          <w:sz w:val="22"/>
        </w:rPr>
        <w:t>Bezpieczny Kredyt 2 proc.</w:t>
      </w:r>
    </w:p>
    <w:p w14:paraId="4B49CE9A" w14:textId="77777777" w:rsidR="00B90C3F" w:rsidRDefault="00B90C3F" w:rsidP="00903E6E">
      <w:pPr>
        <w:jc w:val="both"/>
        <w:rPr>
          <w:sz w:val="22"/>
        </w:rPr>
      </w:pPr>
    </w:p>
    <w:p w14:paraId="315B60BB" w14:textId="0568B8C8" w:rsidR="00D419D9" w:rsidRDefault="00E856DC" w:rsidP="00903E6E">
      <w:pPr>
        <w:jc w:val="both"/>
        <w:rPr>
          <w:sz w:val="22"/>
        </w:rPr>
      </w:pPr>
      <w:r>
        <w:rPr>
          <w:sz w:val="22"/>
        </w:rPr>
        <w:t>K</w:t>
      </w:r>
      <w:r w:rsidR="00903E6E" w:rsidRPr="00255007">
        <w:rPr>
          <w:sz w:val="22"/>
        </w:rPr>
        <w:t xml:space="preserve">redyty mieszkaniowe </w:t>
      </w:r>
      <w:r w:rsidR="00D419D9">
        <w:rPr>
          <w:sz w:val="22"/>
        </w:rPr>
        <w:t xml:space="preserve">w 2023 r. </w:t>
      </w:r>
      <w:r w:rsidR="006B4242">
        <w:rPr>
          <w:sz w:val="22"/>
        </w:rPr>
        <w:t>zaci</w:t>
      </w:r>
      <w:r w:rsidR="009D3365">
        <w:rPr>
          <w:sz w:val="22"/>
        </w:rPr>
        <w:t>ą</w:t>
      </w:r>
      <w:r w:rsidR="006B4242">
        <w:rPr>
          <w:sz w:val="22"/>
        </w:rPr>
        <w:t>gały</w:t>
      </w:r>
      <w:r w:rsidR="00CD4BA3">
        <w:rPr>
          <w:sz w:val="22"/>
        </w:rPr>
        <w:t xml:space="preserve"> dwie grupy kredytobiorców</w:t>
      </w:r>
      <w:r w:rsidR="00D33797" w:rsidRPr="00255007">
        <w:rPr>
          <w:sz w:val="22"/>
        </w:rPr>
        <w:t xml:space="preserve">: </w:t>
      </w:r>
      <w:r w:rsidR="00D419D9">
        <w:rPr>
          <w:sz w:val="22"/>
        </w:rPr>
        <w:t xml:space="preserve">osoby korzystające z preferencyjnego kredytu oraz </w:t>
      </w:r>
      <w:r w:rsidR="00D419D9" w:rsidRPr="00255007">
        <w:rPr>
          <w:sz w:val="22"/>
        </w:rPr>
        <w:t>zaciągając</w:t>
      </w:r>
      <w:r w:rsidR="00940E8C">
        <w:rPr>
          <w:sz w:val="22"/>
        </w:rPr>
        <w:t xml:space="preserve">e </w:t>
      </w:r>
      <w:r w:rsidR="00D419D9" w:rsidRPr="00255007">
        <w:rPr>
          <w:sz w:val="22"/>
        </w:rPr>
        <w:t>na warunkach rynkowych.</w:t>
      </w:r>
    </w:p>
    <w:p w14:paraId="1DA78349" w14:textId="05BEB7BD" w:rsidR="00D419D9" w:rsidRPr="00255007" w:rsidRDefault="00D419D9" w:rsidP="00D419D9">
      <w:pPr>
        <w:jc w:val="both"/>
        <w:rPr>
          <w:sz w:val="22"/>
        </w:rPr>
      </w:pPr>
      <w:r>
        <w:rPr>
          <w:sz w:val="22"/>
        </w:rPr>
        <w:t>B</w:t>
      </w:r>
      <w:r w:rsidR="00D33797" w:rsidRPr="00255007">
        <w:rPr>
          <w:sz w:val="22"/>
        </w:rPr>
        <w:t>eneficjent</w:t>
      </w:r>
      <w:r>
        <w:rPr>
          <w:sz w:val="22"/>
        </w:rPr>
        <w:t xml:space="preserve"> </w:t>
      </w:r>
      <w:r w:rsidR="00D33797" w:rsidRPr="00255007">
        <w:rPr>
          <w:sz w:val="22"/>
        </w:rPr>
        <w:t>program</w:t>
      </w:r>
      <w:r w:rsidR="00255007" w:rsidRPr="00255007">
        <w:rPr>
          <w:sz w:val="22"/>
        </w:rPr>
        <w:t xml:space="preserve">u </w:t>
      </w:r>
      <w:r>
        <w:rPr>
          <w:sz w:val="22"/>
        </w:rPr>
        <w:t>„Bezpieczny K</w:t>
      </w:r>
      <w:r w:rsidRPr="00903E6E">
        <w:rPr>
          <w:sz w:val="22"/>
        </w:rPr>
        <w:t>redyt 2%</w:t>
      </w:r>
      <w:r>
        <w:rPr>
          <w:sz w:val="22"/>
        </w:rPr>
        <w:t>”</w:t>
      </w:r>
      <w:r w:rsidRPr="00903E6E">
        <w:rPr>
          <w:sz w:val="22"/>
        </w:rPr>
        <w:t xml:space="preserve"> </w:t>
      </w:r>
      <w:r>
        <w:rPr>
          <w:sz w:val="22"/>
        </w:rPr>
        <w:t>to średnio trzydziestolatek (30,4 r.ż.), który w większości samodzielnie (56,9</w:t>
      </w:r>
      <w:r w:rsidR="001F00D3">
        <w:rPr>
          <w:sz w:val="22"/>
        </w:rPr>
        <w:t xml:space="preserve"> proc.</w:t>
      </w:r>
      <w:r>
        <w:rPr>
          <w:sz w:val="22"/>
        </w:rPr>
        <w:t>) zaciągał kredyt hipoteczny</w:t>
      </w:r>
      <w:r w:rsidR="00940E8C">
        <w:rPr>
          <w:sz w:val="22"/>
        </w:rPr>
        <w:t xml:space="preserve">. Wśród wszystkich kredytobiorców mieszkaniowych zaciągających kredyt </w:t>
      </w:r>
      <w:r>
        <w:rPr>
          <w:sz w:val="22"/>
        </w:rPr>
        <w:t xml:space="preserve">w przedziale </w:t>
      </w:r>
      <w:r w:rsidRPr="00255007">
        <w:rPr>
          <w:sz w:val="22"/>
        </w:rPr>
        <w:t>350</w:t>
      </w:r>
      <w:r w:rsidR="00940E8C">
        <w:rPr>
          <w:sz w:val="22"/>
        </w:rPr>
        <w:t xml:space="preserve">- </w:t>
      </w:r>
      <w:r w:rsidRPr="00255007">
        <w:rPr>
          <w:sz w:val="22"/>
        </w:rPr>
        <w:t>500 tys. zł</w:t>
      </w:r>
      <w:r>
        <w:rPr>
          <w:sz w:val="22"/>
        </w:rPr>
        <w:t xml:space="preserve">, </w:t>
      </w:r>
      <w:r w:rsidR="00940E8C">
        <w:rPr>
          <w:sz w:val="22"/>
        </w:rPr>
        <w:t xml:space="preserve">aż </w:t>
      </w:r>
      <w:r w:rsidR="00940E8C" w:rsidRPr="00255007">
        <w:rPr>
          <w:sz w:val="22"/>
        </w:rPr>
        <w:t>67,1</w:t>
      </w:r>
      <w:r w:rsidR="00940E8C">
        <w:rPr>
          <w:sz w:val="22"/>
        </w:rPr>
        <w:t xml:space="preserve"> proc. osób skorzystało z preferencyjnych warunków. A z przedziału pomiędzy </w:t>
      </w:r>
      <w:r w:rsidR="00940E8C" w:rsidRPr="00255007">
        <w:rPr>
          <w:sz w:val="22"/>
        </w:rPr>
        <w:t xml:space="preserve">500 </w:t>
      </w:r>
      <w:r w:rsidR="00940E8C">
        <w:rPr>
          <w:sz w:val="22"/>
        </w:rPr>
        <w:t>a</w:t>
      </w:r>
      <w:r w:rsidR="00940E8C" w:rsidRPr="00255007">
        <w:rPr>
          <w:sz w:val="22"/>
        </w:rPr>
        <w:t xml:space="preserve"> 600 tys.</w:t>
      </w:r>
      <w:r w:rsidR="00940E8C">
        <w:rPr>
          <w:sz w:val="22"/>
        </w:rPr>
        <w:t xml:space="preserve"> zł, skorzystało </w:t>
      </w:r>
      <w:r w:rsidR="00940E8C" w:rsidRPr="00255007">
        <w:rPr>
          <w:sz w:val="22"/>
        </w:rPr>
        <w:t>66,</w:t>
      </w:r>
      <w:r w:rsidR="00940E8C">
        <w:rPr>
          <w:sz w:val="22"/>
        </w:rPr>
        <w:t>5 proc. z beneficjentów. Zaś k</w:t>
      </w:r>
      <w:r w:rsidR="00F57BDE">
        <w:rPr>
          <w:sz w:val="22"/>
        </w:rPr>
        <w:t>redyty mieszkaniowe na warunkach rynkowych zaciągały osoby</w:t>
      </w:r>
      <w:r>
        <w:rPr>
          <w:sz w:val="22"/>
        </w:rPr>
        <w:t xml:space="preserve"> w wieku </w:t>
      </w:r>
      <w:r w:rsidR="00F57BDE">
        <w:rPr>
          <w:sz w:val="22"/>
        </w:rPr>
        <w:t xml:space="preserve">powyżej </w:t>
      </w:r>
      <w:r w:rsidRPr="00255007">
        <w:rPr>
          <w:sz w:val="22"/>
        </w:rPr>
        <w:t>37</w:t>
      </w:r>
      <w:r w:rsidR="00F57BDE">
        <w:rPr>
          <w:sz w:val="22"/>
        </w:rPr>
        <w:t xml:space="preserve"> lat (37</w:t>
      </w:r>
      <w:r w:rsidRPr="00255007">
        <w:rPr>
          <w:sz w:val="22"/>
        </w:rPr>
        <w:t>,5</w:t>
      </w:r>
      <w:r>
        <w:rPr>
          <w:sz w:val="22"/>
        </w:rPr>
        <w:t xml:space="preserve"> </w:t>
      </w:r>
      <w:r w:rsidR="00F57BDE">
        <w:rPr>
          <w:sz w:val="22"/>
        </w:rPr>
        <w:t>r.ż.),</w:t>
      </w:r>
      <w:r w:rsidR="00BD7203">
        <w:rPr>
          <w:sz w:val="22"/>
        </w:rPr>
        <w:t xml:space="preserve"> a</w:t>
      </w:r>
      <w:r w:rsidR="00F57BDE">
        <w:rPr>
          <w:sz w:val="22"/>
        </w:rPr>
        <w:t xml:space="preserve"> </w:t>
      </w:r>
      <w:r w:rsidR="00F57BDE" w:rsidRPr="00255007">
        <w:rPr>
          <w:sz w:val="22"/>
        </w:rPr>
        <w:t>single stanowi</w:t>
      </w:r>
      <w:r w:rsidR="00F57BDE">
        <w:rPr>
          <w:sz w:val="22"/>
        </w:rPr>
        <w:t xml:space="preserve">li w tej grupie </w:t>
      </w:r>
      <w:r w:rsidR="00F57BDE" w:rsidRPr="00255007">
        <w:rPr>
          <w:sz w:val="22"/>
        </w:rPr>
        <w:t xml:space="preserve">mniejszość </w:t>
      </w:r>
      <w:r w:rsidR="00F57BDE">
        <w:rPr>
          <w:sz w:val="22"/>
        </w:rPr>
        <w:t>(</w:t>
      </w:r>
      <w:r w:rsidR="00F57BDE" w:rsidRPr="00255007">
        <w:rPr>
          <w:sz w:val="22"/>
        </w:rPr>
        <w:t>31,6</w:t>
      </w:r>
      <w:r w:rsidR="001F00D3">
        <w:rPr>
          <w:sz w:val="22"/>
        </w:rPr>
        <w:t xml:space="preserve"> proc.</w:t>
      </w:r>
      <w:r w:rsidR="00F57BDE">
        <w:rPr>
          <w:sz w:val="22"/>
        </w:rPr>
        <w:t xml:space="preserve">). </w:t>
      </w:r>
    </w:p>
    <w:p w14:paraId="61DD9CC7" w14:textId="77777777" w:rsidR="00F57BDE" w:rsidRDefault="00F57BDE" w:rsidP="00903E6E">
      <w:pPr>
        <w:jc w:val="both"/>
        <w:rPr>
          <w:sz w:val="22"/>
        </w:rPr>
      </w:pPr>
    </w:p>
    <w:p w14:paraId="27422327" w14:textId="3E412075" w:rsidR="00903E6E" w:rsidRPr="00903E6E" w:rsidRDefault="00903E6E" w:rsidP="00903E6E">
      <w:pPr>
        <w:jc w:val="both"/>
        <w:rPr>
          <w:sz w:val="22"/>
        </w:rPr>
      </w:pPr>
      <w:r w:rsidRPr="00255007">
        <w:rPr>
          <w:sz w:val="22"/>
        </w:rPr>
        <w:t>Według danych BIK</w:t>
      </w:r>
      <w:r w:rsidR="00F57BDE">
        <w:rPr>
          <w:sz w:val="22"/>
        </w:rPr>
        <w:t xml:space="preserve"> z</w:t>
      </w:r>
      <w:r w:rsidRPr="00255007">
        <w:rPr>
          <w:sz w:val="22"/>
        </w:rPr>
        <w:t xml:space="preserve"> </w:t>
      </w:r>
      <w:r w:rsidR="00F57BDE" w:rsidRPr="00255007">
        <w:rPr>
          <w:sz w:val="22"/>
        </w:rPr>
        <w:t>Program</w:t>
      </w:r>
      <w:r w:rsidR="00F57BDE">
        <w:rPr>
          <w:sz w:val="22"/>
        </w:rPr>
        <w:t>u</w:t>
      </w:r>
      <w:r w:rsidR="00F57BDE" w:rsidRPr="00255007">
        <w:rPr>
          <w:sz w:val="22"/>
        </w:rPr>
        <w:t xml:space="preserve"> </w:t>
      </w:r>
      <w:r w:rsidR="00F57BDE">
        <w:rPr>
          <w:sz w:val="22"/>
        </w:rPr>
        <w:t>„Bezpieczny K</w:t>
      </w:r>
      <w:r w:rsidR="00F57BDE" w:rsidRPr="00255007">
        <w:rPr>
          <w:sz w:val="22"/>
        </w:rPr>
        <w:t>redyt 2%</w:t>
      </w:r>
      <w:r w:rsidR="00F57BDE">
        <w:rPr>
          <w:sz w:val="22"/>
        </w:rPr>
        <w:t>”</w:t>
      </w:r>
      <w:r w:rsidR="00F57BDE" w:rsidRPr="00255007">
        <w:rPr>
          <w:sz w:val="22"/>
        </w:rPr>
        <w:t xml:space="preserve"> </w:t>
      </w:r>
      <w:r w:rsidRPr="00255007">
        <w:rPr>
          <w:sz w:val="22"/>
        </w:rPr>
        <w:t xml:space="preserve">skorzystało </w:t>
      </w:r>
      <w:r w:rsidR="00B913FE">
        <w:rPr>
          <w:sz w:val="22"/>
        </w:rPr>
        <w:t>92,6</w:t>
      </w:r>
      <w:r w:rsidR="00E86529" w:rsidRPr="00B913FE">
        <w:rPr>
          <w:sz w:val="22"/>
        </w:rPr>
        <w:t xml:space="preserve"> </w:t>
      </w:r>
      <w:r w:rsidRPr="00B913FE">
        <w:rPr>
          <w:sz w:val="22"/>
        </w:rPr>
        <w:t xml:space="preserve">tys. </w:t>
      </w:r>
      <w:r w:rsidR="00E86529" w:rsidRPr="00B913FE">
        <w:rPr>
          <w:sz w:val="22"/>
        </w:rPr>
        <w:t>osób</w:t>
      </w:r>
      <w:r w:rsidRPr="00B913FE">
        <w:rPr>
          <w:sz w:val="22"/>
        </w:rPr>
        <w:t xml:space="preserve"> na</w:t>
      </w:r>
      <w:r w:rsidRPr="00255007">
        <w:rPr>
          <w:sz w:val="22"/>
        </w:rPr>
        <w:t xml:space="preserve"> łączną kwotę </w:t>
      </w:r>
      <w:r w:rsidR="00B913FE" w:rsidRPr="00B913FE">
        <w:rPr>
          <w:sz w:val="22"/>
        </w:rPr>
        <w:t>27,2</w:t>
      </w:r>
      <w:r w:rsidRPr="00B913FE">
        <w:rPr>
          <w:sz w:val="22"/>
        </w:rPr>
        <w:t xml:space="preserve"> mld zł. </w:t>
      </w:r>
      <w:r w:rsidR="00F57BDE">
        <w:rPr>
          <w:sz w:val="22"/>
        </w:rPr>
        <w:t>P</w:t>
      </w:r>
      <w:r w:rsidRPr="00255007">
        <w:rPr>
          <w:sz w:val="22"/>
        </w:rPr>
        <w:t xml:space="preserve">rogram </w:t>
      </w:r>
      <w:r w:rsidR="00E86529" w:rsidRPr="00255007">
        <w:rPr>
          <w:sz w:val="22"/>
        </w:rPr>
        <w:t xml:space="preserve">ten </w:t>
      </w:r>
      <w:r w:rsidRPr="00C73045">
        <w:rPr>
          <w:color w:val="auto"/>
          <w:sz w:val="22"/>
        </w:rPr>
        <w:t>stanowił</w:t>
      </w:r>
      <w:r w:rsidR="00C73045" w:rsidRPr="00C73045">
        <w:rPr>
          <w:color w:val="auto"/>
          <w:sz w:val="22"/>
        </w:rPr>
        <w:t xml:space="preserve"> 36</w:t>
      </w:r>
      <w:r w:rsidR="001F00D3" w:rsidRPr="00C73045">
        <w:rPr>
          <w:color w:val="auto"/>
          <w:sz w:val="22"/>
        </w:rPr>
        <w:t xml:space="preserve"> proc</w:t>
      </w:r>
      <w:r w:rsidR="001F00D3" w:rsidRPr="00C73045">
        <w:rPr>
          <w:sz w:val="22"/>
        </w:rPr>
        <w:t>.</w:t>
      </w:r>
      <w:r w:rsidRPr="00C73045">
        <w:rPr>
          <w:sz w:val="22"/>
        </w:rPr>
        <w:t xml:space="preserve"> </w:t>
      </w:r>
      <w:r w:rsidR="00C73045">
        <w:rPr>
          <w:sz w:val="22"/>
        </w:rPr>
        <w:t xml:space="preserve">całorocznej </w:t>
      </w:r>
      <w:r w:rsidRPr="00255007">
        <w:rPr>
          <w:sz w:val="22"/>
        </w:rPr>
        <w:t>wartości akcji kredytowej w segmencie kredytów mieszkaniowych</w:t>
      </w:r>
      <w:r w:rsidR="00C73045">
        <w:rPr>
          <w:sz w:val="22"/>
        </w:rPr>
        <w:t xml:space="preserve">, a w samym </w:t>
      </w:r>
      <w:r w:rsidRPr="00255007">
        <w:rPr>
          <w:sz w:val="22"/>
        </w:rPr>
        <w:t xml:space="preserve">w </w:t>
      </w:r>
      <w:r w:rsidR="008B2D26">
        <w:rPr>
          <w:sz w:val="22"/>
        </w:rPr>
        <w:t xml:space="preserve">II półroczu </w:t>
      </w:r>
      <w:r w:rsidR="00C73045">
        <w:rPr>
          <w:sz w:val="22"/>
        </w:rPr>
        <w:t>ponad połowę (51 proc.)</w:t>
      </w:r>
    </w:p>
    <w:p w14:paraId="2F4B4D5C" w14:textId="77777777" w:rsidR="00903E6E" w:rsidRPr="00903E6E" w:rsidRDefault="00903E6E" w:rsidP="00903E6E">
      <w:pPr>
        <w:jc w:val="both"/>
        <w:rPr>
          <w:sz w:val="22"/>
        </w:rPr>
      </w:pPr>
    </w:p>
    <w:p w14:paraId="2380D0E5" w14:textId="6BBFA4ED" w:rsidR="00A26BCA" w:rsidRPr="00A26BCA" w:rsidRDefault="00A26BCA" w:rsidP="00903E6E">
      <w:pPr>
        <w:jc w:val="both"/>
        <w:rPr>
          <w:i/>
          <w:iCs/>
          <w:sz w:val="22"/>
        </w:rPr>
      </w:pPr>
      <w:r>
        <w:rPr>
          <w:sz w:val="22"/>
        </w:rPr>
        <w:t xml:space="preserve">- </w:t>
      </w:r>
      <w:r w:rsidRPr="00A26BCA">
        <w:rPr>
          <w:i/>
          <w:iCs/>
          <w:sz w:val="22"/>
        </w:rPr>
        <w:t>R</w:t>
      </w:r>
      <w:r w:rsidR="00903E6E" w:rsidRPr="00A26BCA">
        <w:rPr>
          <w:i/>
          <w:iCs/>
          <w:sz w:val="22"/>
        </w:rPr>
        <w:t>ok 2024 będzie rokiem kontynuacji tendencji z 2023 r.</w:t>
      </w:r>
      <w:r>
        <w:rPr>
          <w:sz w:val="22"/>
        </w:rPr>
        <w:t xml:space="preserve"> - </w:t>
      </w:r>
      <w:r w:rsidRPr="00903E6E">
        <w:rPr>
          <w:sz w:val="22"/>
        </w:rPr>
        <w:t xml:space="preserve">ocenia </w:t>
      </w:r>
      <w:r>
        <w:rPr>
          <w:sz w:val="22"/>
        </w:rPr>
        <w:t>P</w:t>
      </w:r>
      <w:r w:rsidRPr="00903E6E">
        <w:rPr>
          <w:sz w:val="22"/>
        </w:rPr>
        <w:t>rezes BIK</w:t>
      </w:r>
      <w:r>
        <w:rPr>
          <w:sz w:val="22"/>
        </w:rPr>
        <w:t xml:space="preserve"> i dodaje, że </w:t>
      </w:r>
      <w:r w:rsidRPr="00A26BCA">
        <w:rPr>
          <w:i/>
          <w:iCs/>
          <w:sz w:val="22"/>
        </w:rPr>
        <w:t>w</w:t>
      </w:r>
      <w:r w:rsidR="00903E6E" w:rsidRPr="00A26BCA">
        <w:rPr>
          <w:i/>
          <w:iCs/>
          <w:sz w:val="22"/>
        </w:rPr>
        <w:t xml:space="preserve"> pierwszych miesiącach </w:t>
      </w:r>
      <w:r w:rsidR="00BD7203">
        <w:rPr>
          <w:i/>
          <w:iCs/>
          <w:sz w:val="22"/>
        </w:rPr>
        <w:t>tego roku</w:t>
      </w:r>
      <w:r w:rsidR="00903E6E" w:rsidRPr="00A26BCA">
        <w:rPr>
          <w:i/>
          <w:iCs/>
          <w:sz w:val="22"/>
        </w:rPr>
        <w:t xml:space="preserve">. rynek kredytów mieszkaniowych będzie jeszcze napędzany przez wnioski złożone w grudniu 2023 r. w ramach </w:t>
      </w:r>
      <w:r w:rsidRPr="00A26BCA">
        <w:rPr>
          <w:i/>
          <w:iCs/>
          <w:sz w:val="22"/>
        </w:rPr>
        <w:t xml:space="preserve">ubiegłorocznego programu rządowego. </w:t>
      </w:r>
    </w:p>
    <w:p w14:paraId="5D13FE02" w14:textId="77777777" w:rsidR="00B55CE9" w:rsidRDefault="00B55CE9" w:rsidP="00903E6E">
      <w:pPr>
        <w:jc w:val="both"/>
        <w:rPr>
          <w:sz w:val="22"/>
        </w:rPr>
      </w:pPr>
    </w:p>
    <w:p w14:paraId="75CEF2E3" w14:textId="3CCD6124" w:rsidR="00903E6E" w:rsidRDefault="00A26BCA" w:rsidP="00903E6E">
      <w:pPr>
        <w:jc w:val="both"/>
        <w:rPr>
          <w:i/>
          <w:iCs/>
          <w:sz w:val="22"/>
        </w:rPr>
      </w:pPr>
      <w:r>
        <w:rPr>
          <w:sz w:val="22"/>
        </w:rPr>
        <w:t xml:space="preserve">- </w:t>
      </w:r>
      <w:r w:rsidRPr="00A26BCA">
        <w:rPr>
          <w:i/>
          <w:iCs/>
          <w:sz w:val="22"/>
        </w:rPr>
        <w:t>Już j</w:t>
      </w:r>
      <w:r w:rsidR="00903E6E" w:rsidRPr="00A26BCA">
        <w:rPr>
          <w:i/>
          <w:iCs/>
          <w:sz w:val="22"/>
        </w:rPr>
        <w:t>ednak od marca 2024 r</w:t>
      </w:r>
      <w:r w:rsidR="00BD7203">
        <w:rPr>
          <w:i/>
          <w:iCs/>
          <w:sz w:val="22"/>
        </w:rPr>
        <w:t>oku</w:t>
      </w:r>
      <w:r w:rsidR="00903E6E" w:rsidRPr="00A26BCA">
        <w:rPr>
          <w:i/>
          <w:iCs/>
          <w:sz w:val="22"/>
        </w:rPr>
        <w:t xml:space="preserve"> spodziewa</w:t>
      </w:r>
      <w:r w:rsidRPr="00A26BCA">
        <w:rPr>
          <w:i/>
          <w:iCs/>
          <w:sz w:val="22"/>
        </w:rPr>
        <w:t>my się wyhamowania</w:t>
      </w:r>
      <w:r w:rsidR="00903E6E" w:rsidRPr="00A26BCA">
        <w:rPr>
          <w:i/>
          <w:iCs/>
          <w:sz w:val="22"/>
        </w:rPr>
        <w:t xml:space="preserve"> akcji kredytowej, któr</w:t>
      </w:r>
      <w:r w:rsidRPr="00A26BCA">
        <w:rPr>
          <w:i/>
          <w:iCs/>
          <w:sz w:val="22"/>
        </w:rPr>
        <w:t>e</w:t>
      </w:r>
      <w:r w:rsidR="00903E6E" w:rsidRPr="00A26BCA">
        <w:rPr>
          <w:i/>
          <w:iCs/>
          <w:sz w:val="22"/>
        </w:rPr>
        <w:t xml:space="preserve"> potrwa do momentu wprowadzenia kolejnego</w:t>
      </w:r>
      <w:r w:rsidR="00581414">
        <w:rPr>
          <w:i/>
          <w:iCs/>
          <w:sz w:val="22"/>
        </w:rPr>
        <w:t>, już zapowiadanego</w:t>
      </w:r>
      <w:r w:rsidR="00903E6E" w:rsidRPr="00A26BCA">
        <w:rPr>
          <w:i/>
          <w:iCs/>
          <w:sz w:val="22"/>
        </w:rPr>
        <w:t xml:space="preserve"> programu wsparcia kredyt</w:t>
      </w:r>
      <w:r w:rsidR="00B55CE9">
        <w:rPr>
          <w:i/>
          <w:iCs/>
          <w:sz w:val="22"/>
        </w:rPr>
        <w:t>obiorców</w:t>
      </w:r>
      <w:r w:rsidR="00903E6E" w:rsidRPr="00A26BCA">
        <w:rPr>
          <w:i/>
          <w:iCs/>
          <w:sz w:val="22"/>
        </w:rPr>
        <w:t xml:space="preserve"> mieszkaniow</w:t>
      </w:r>
      <w:r w:rsidR="00B55CE9">
        <w:rPr>
          <w:i/>
          <w:iCs/>
          <w:sz w:val="22"/>
        </w:rPr>
        <w:t>ych. W</w:t>
      </w:r>
      <w:r w:rsidRPr="00A26BCA">
        <w:rPr>
          <w:i/>
          <w:iCs/>
          <w:sz w:val="22"/>
        </w:rPr>
        <w:t>ysok</w:t>
      </w:r>
      <w:r>
        <w:rPr>
          <w:i/>
          <w:iCs/>
          <w:sz w:val="22"/>
        </w:rPr>
        <w:t>a</w:t>
      </w:r>
      <w:r w:rsidRPr="00A26BCA">
        <w:rPr>
          <w:i/>
          <w:iCs/>
          <w:sz w:val="22"/>
        </w:rPr>
        <w:t xml:space="preserve"> miesięczn</w:t>
      </w:r>
      <w:r>
        <w:rPr>
          <w:i/>
          <w:iCs/>
          <w:sz w:val="22"/>
        </w:rPr>
        <w:t>a</w:t>
      </w:r>
      <w:r w:rsidRPr="00A26BCA">
        <w:rPr>
          <w:i/>
          <w:iCs/>
          <w:sz w:val="22"/>
        </w:rPr>
        <w:t xml:space="preserve"> wartoś</w:t>
      </w:r>
      <w:r>
        <w:rPr>
          <w:i/>
          <w:iCs/>
          <w:sz w:val="22"/>
        </w:rPr>
        <w:t>ć</w:t>
      </w:r>
      <w:r w:rsidRPr="00A26BCA">
        <w:rPr>
          <w:i/>
          <w:iCs/>
          <w:sz w:val="22"/>
        </w:rPr>
        <w:t xml:space="preserve"> akcji kredytowej </w:t>
      </w:r>
      <w:r>
        <w:rPr>
          <w:i/>
          <w:iCs/>
          <w:sz w:val="22"/>
        </w:rPr>
        <w:t xml:space="preserve">powróci w </w:t>
      </w:r>
      <w:r w:rsidR="00B55CE9">
        <w:rPr>
          <w:i/>
          <w:iCs/>
          <w:sz w:val="22"/>
        </w:rPr>
        <w:t>drugim</w:t>
      </w:r>
      <w:r w:rsidR="00903E6E" w:rsidRPr="00A26BCA">
        <w:rPr>
          <w:i/>
          <w:iCs/>
          <w:sz w:val="22"/>
        </w:rPr>
        <w:t xml:space="preserve"> półrocz</w:t>
      </w:r>
      <w:r>
        <w:rPr>
          <w:i/>
          <w:iCs/>
          <w:sz w:val="22"/>
        </w:rPr>
        <w:t>u br. W oparciu o te założenia s</w:t>
      </w:r>
      <w:r w:rsidR="00903E6E" w:rsidRPr="00A26BCA">
        <w:rPr>
          <w:i/>
          <w:iCs/>
          <w:sz w:val="22"/>
        </w:rPr>
        <w:t>zacuje</w:t>
      </w:r>
      <w:r>
        <w:rPr>
          <w:i/>
          <w:iCs/>
          <w:sz w:val="22"/>
        </w:rPr>
        <w:t xml:space="preserve">my </w:t>
      </w:r>
      <w:r w:rsidRPr="00A26BCA">
        <w:rPr>
          <w:i/>
          <w:iCs/>
          <w:sz w:val="22"/>
        </w:rPr>
        <w:t>w segmencie kredytów hipotecznych w 2024 r.</w:t>
      </w:r>
      <w:r>
        <w:rPr>
          <w:i/>
          <w:iCs/>
          <w:sz w:val="22"/>
        </w:rPr>
        <w:t xml:space="preserve"> </w:t>
      </w:r>
      <w:r w:rsidR="00903E6E" w:rsidRPr="00A26BCA">
        <w:rPr>
          <w:i/>
          <w:iCs/>
          <w:sz w:val="22"/>
        </w:rPr>
        <w:t xml:space="preserve">wartość akcji </w:t>
      </w:r>
      <w:r w:rsidR="00903E6E" w:rsidRPr="00A26BCA">
        <w:rPr>
          <w:i/>
          <w:iCs/>
          <w:sz w:val="22"/>
        </w:rPr>
        <w:lastRenderedPageBreak/>
        <w:t xml:space="preserve">kredytowej </w:t>
      </w:r>
      <w:r>
        <w:rPr>
          <w:i/>
          <w:iCs/>
          <w:sz w:val="22"/>
        </w:rPr>
        <w:t xml:space="preserve">na </w:t>
      </w:r>
      <w:r w:rsidR="00384B86">
        <w:rPr>
          <w:i/>
          <w:iCs/>
          <w:sz w:val="22"/>
        </w:rPr>
        <w:t>poziomie</w:t>
      </w:r>
      <w:r w:rsidR="00581414">
        <w:rPr>
          <w:i/>
          <w:iCs/>
          <w:sz w:val="22"/>
        </w:rPr>
        <w:t xml:space="preserve"> </w:t>
      </w:r>
      <w:r w:rsidR="008C6B5B">
        <w:rPr>
          <w:i/>
          <w:iCs/>
          <w:sz w:val="22"/>
        </w:rPr>
        <w:t>72</w:t>
      </w:r>
      <w:r>
        <w:rPr>
          <w:i/>
          <w:iCs/>
          <w:sz w:val="22"/>
        </w:rPr>
        <w:t>,</w:t>
      </w:r>
      <w:r w:rsidR="008C6B5B">
        <w:rPr>
          <w:i/>
          <w:iCs/>
          <w:sz w:val="22"/>
        </w:rPr>
        <w:t xml:space="preserve">0 </w:t>
      </w:r>
      <w:r>
        <w:rPr>
          <w:i/>
          <w:iCs/>
          <w:sz w:val="22"/>
        </w:rPr>
        <w:t xml:space="preserve">mld zł. Oznacza to </w:t>
      </w:r>
      <w:r w:rsidR="00903E6E" w:rsidRPr="00A26BCA">
        <w:rPr>
          <w:i/>
          <w:iCs/>
          <w:sz w:val="22"/>
        </w:rPr>
        <w:t xml:space="preserve">wzrost o </w:t>
      </w:r>
      <w:r w:rsidR="008C6B5B">
        <w:rPr>
          <w:i/>
          <w:iCs/>
          <w:sz w:val="22"/>
        </w:rPr>
        <w:t>13</w:t>
      </w:r>
      <w:r w:rsidR="00B64326">
        <w:rPr>
          <w:i/>
          <w:iCs/>
          <w:sz w:val="22"/>
        </w:rPr>
        <w:t xml:space="preserve"> proc. </w:t>
      </w:r>
      <w:r w:rsidR="00903E6E" w:rsidRPr="00A26BCA">
        <w:rPr>
          <w:i/>
          <w:iCs/>
          <w:sz w:val="22"/>
        </w:rPr>
        <w:t xml:space="preserve">w porównaniu z 2023 r., ale </w:t>
      </w:r>
      <w:r w:rsidR="006B4242">
        <w:rPr>
          <w:i/>
          <w:iCs/>
          <w:sz w:val="22"/>
        </w:rPr>
        <w:t xml:space="preserve">nadal </w:t>
      </w:r>
      <w:r w:rsidR="009D3365">
        <w:rPr>
          <w:i/>
          <w:iCs/>
          <w:sz w:val="22"/>
        </w:rPr>
        <w:t>mniej</w:t>
      </w:r>
      <w:r w:rsidR="009D3365" w:rsidRPr="00A26BCA">
        <w:rPr>
          <w:i/>
          <w:iCs/>
          <w:sz w:val="22"/>
        </w:rPr>
        <w:t xml:space="preserve"> </w:t>
      </w:r>
      <w:r w:rsidR="00903E6E" w:rsidRPr="00255007">
        <w:rPr>
          <w:i/>
          <w:iCs/>
          <w:sz w:val="22"/>
        </w:rPr>
        <w:t xml:space="preserve">o </w:t>
      </w:r>
      <w:r w:rsidR="008C6B5B" w:rsidRPr="00255007">
        <w:rPr>
          <w:i/>
          <w:iCs/>
          <w:sz w:val="22"/>
        </w:rPr>
        <w:t>1</w:t>
      </w:r>
      <w:r w:rsidR="009D3365">
        <w:rPr>
          <w:i/>
          <w:iCs/>
          <w:sz w:val="22"/>
        </w:rPr>
        <w:t>9</w:t>
      </w:r>
      <w:r w:rsidR="00B64326">
        <w:rPr>
          <w:i/>
          <w:iCs/>
          <w:sz w:val="22"/>
        </w:rPr>
        <w:t xml:space="preserve"> proc.</w:t>
      </w:r>
      <w:r w:rsidR="00903E6E" w:rsidRPr="00255007">
        <w:rPr>
          <w:i/>
          <w:iCs/>
          <w:sz w:val="22"/>
        </w:rPr>
        <w:t xml:space="preserve"> w porównaniu z rekordowym rokiem 2021</w:t>
      </w:r>
      <w:r w:rsidRPr="00255007">
        <w:rPr>
          <w:i/>
          <w:iCs/>
          <w:sz w:val="22"/>
        </w:rPr>
        <w:t xml:space="preserve"> </w:t>
      </w:r>
      <w:r w:rsidRPr="00255007">
        <w:rPr>
          <w:sz w:val="22"/>
        </w:rPr>
        <w:t>– wskazuje Prezes BIK.</w:t>
      </w:r>
      <w:r>
        <w:rPr>
          <w:i/>
          <w:iCs/>
          <w:sz w:val="22"/>
        </w:rPr>
        <w:t xml:space="preserve"> </w:t>
      </w:r>
    </w:p>
    <w:p w14:paraId="556F657A" w14:textId="77777777" w:rsidR="006C1DFE" w:rsidRDefault="006C1DFE" w:rsidP="00903E6E">
      <w:pPr>
        <w:jc w:val="both"/>
        <w:rPr>
          <w:i/>
          <w:iCs/>
          <w:sz w:val="22"/>
        </w:rPr>
      </w:pPr>
    </w:p>
    <w:p w14:paraId="5BB0554F" w14:textId="5E099E34" w:rsidR="003D6539" w:rsidRDefault="003D6539" w:rsidP="003D6539">
      <w:pPr>
        <w:jc w:val="both"/>
        <w:rPr>
          <w:b/>
          <w:bCs/>
          <w:sz w:val="22"/>
        </w:rPr>
      </w:pPr>
      <w:r w:rsidRPr="00602D2D">
        <w:rPr>
          <w:b/>
          <w:bCs/>
          <w:sz w:val="22"/>
        </w:rPr>
        <w:t xml:space="preserve">Rynek kredytów ratalnych </w:t>
      </w:r>
      <w:r w:rsidR="005A0390">
        <w:rPr>
          <w:b/>
          <w:bCs/>
          <w:sz w:val="22"/>
        </w:rPr>
        <w:t xml:space="preserve">i </w:t>
      </w:r>
      <w:proofErr w:type="spellStart"/>
      <w:r w:rsidR="005A0390">
        <w:rPr>
          <w:b/>
          <w:bCs/>
          <w:sz w:val="22"/>
        </w:rPr>
        <w:t>pozabankowych</w:t>
      </w:r>
      <w:proofErr w:type="spellEnd"/>
      <w:r w:rsidR="005A0390">
        <w:rPr>
          <w:b/>
          <w:bCs/>
          <w:sz w:val="22"/>
        </w:rPr>
        <w:t xml:space="preserve"> pożyczek celowych </w:t>
      </w:r>
      <w:r w:rsidRPr="00602D2D">
        <w:rPr>
          <w:b/>
          <w:bCs/>
          <w:sz w:val="22"/>
        </w:rPr>
        <w:t>napędzany</w:t>
      </w:r>
      <w:r w:rsidR="005A0390">
        <w:rPr>
          <w:b/>
          <w:bCs/>
          <w:sz w:val="22"/>
        </w:rPr>
        <w:t xml:space="preserve"> głównie</w:t>
      </w:r>
      <w:r w:rsidRPr="00602D2D">
        <w:rPr>
          <w:b/>
          <w:bCs/>
          <w:sz w:val="22"/>
        </w:rPr>
        <w:t xml:space="preserve"> przez zakupy </w:t>
      </w:r>
      <w:r w:rsidR="005A0390">
        <w:rPr>
          <w:b/>
          <w:bCs/>
          <w:sz w:val="22"/>
        </w:rPr>
        <w:br/>
      </w:r>
      <w:r w:rsidRPr="00602D2D">
        <w:rPr>
          <w:b/>
          <w:bCs/>
          <w:sz w:val="22"/>
        </w:rPr>
        <w:t xml:space="preserve">z odroczoną płatnością </w:t>
      </w:r>
    </w:p>
    <w:p w14:paraId="16C59F41" w14:textId="77777777" w:rsidR="003D6539" w:rsidRDefault="003D6539" w:rsidP="003D6539">
      <w:pPr>
        <w:jc w:val="both"/>
        <w:rPr>
          <w:sz w:val="22"/>
        </w:rPr>
      </w:pPr>
    </w:p>
    <w:p w14:paraId="61D0338E" w14:textId="0D3D30A1" w:rsidR="00581414" w:rsidRDefault="003D6539" w:rsidP="00581414">
      <w:pPr>
        <w:jc w:val="both"/>
        <w:rPr>
          <w:sz w:val="22"/>
        </w:rPr>
      </w:pPr>
      <w:r w:rsidRPr="004663AD">
        <w:rPr>
          <w:sz w:val="22"/>
        </w:rPr>
        <w:t xml:space="preserve">W </w:t>
      </w:r>
      <w:r w:rsidR="007817E8">
        <w:rPr>
          <w:sz w:val="22"/>
        </w:rPr>
        <w:t xml:space="preserve">ubiegłym </w:t>
      </w:r>
      <w:r w:rsidRPr="004663AD">
        <w:rPr>
          <w:sz w:val="22"/>
        </w:rPr>
        <w:t>roku Polacy zaciągnęli rekordową liczbę 10,5 mln kredytów ratalnych na łączną sumę 22,9 mld zł. To oznacza</w:t>
      </w:r>
      <w:r>
        <w:rPr>
          <w:sz w:val="22"/>
        </w:rPr>
        <w:t xml:space="preserve"> wzrost</w:t>
      </w:r>
      <w:r w:rsidRPr="004663AD">
        <w:rPr>
          <w:sz w:val="22"/>
        </w:rPr>
        <w:t xml:space="preserve"> </w:t>
      </w:r>
      <w:r>
        <w:rPr>
          <w:sz w:val="22"/>
        </w:rPr>
        <w:t xml:space="preserve">liczby </w:t>
      </w:r>
      <w:r w:rsidRPr="004663AD">
        <w:rPr>
          <w:sz w:val="22"/>
        </w:rPr>
        <w:t>o 84,9</w:t>
      </w:r>
      <w:r w:rsidR="001F00D3">
        <w:rPr>
          <w:sz w:val="22"/>
        </w:rPr>
        <w:t xml:space="preserve"> proc.</w:t>
      </w:r>
      <w:r w:rsidRPr="004663AD">
        <w:rPr>
          <w:sz w:val="22"/>
        </w:rPr>
        <w:t xml:space="preserve"> w stosunku do roku 2022, a wartoś</w:t>
      </w:r>
      <w:r>
        <w:rPr>
          <w:sz w:val="22"/>
        </w:rPr>
        <w:t xml:space="preserve">ci </w:t>
      </w:r>
      <w:r w:rsidRPr="004663AD">
        <w:rPr>
          <w:sz w:val="22"/>
        </w:rPr>
        <w:t>o 26,7</w:t>
      </w:r>
      <w:r w:rsidR="001F00D3">
        <w:rPr>
          <w:sz w:val="22"/>
        </w:rPr>
        <w:t xml:space="preserve"> proc</w:t>
      </w:r>
      <w:r w:rsidRPr="004663AD">
        <w:rPr>
          <w:sz w:val="22"/>
        </w:rPr>
        <w:t>. Trend wzrostowy na rynku kredytów ratalnych utrzymuje się od 2020 roku</w:t>
      </w:r>
      <w:r w:rsidR="00581414">
        <w:rPr>
          <w:sz w:val="22"/>
        </w:rPr>
        <w:t xml:space="preserve"> i jest stymulowany głównie finansowaniem zakupów </w:t>
      </w:r>
      <w:r w:rsidR="00581414" w:rsidRPr="004663AD">
        <w:rPr>
          <w:sz w:val="22"/>
        </w:rPr>
        <w:t>sprzęt</w:t>
      </w:r>
      <w:r w:rsidR="00581414">
        <w:rPr>
          <w:sz w:val="22"/>
        </w:rPr>
        <w:t>u</w:t>
      </w:r>
      <w:r w:rsidR="00581414" w:rsidRPr="004663AD">
        <w:rPr>
          <w:sz w:val="22"/>
        </w:rPr>
        <w:t xml:space="preserve"> RTV i AGD na raty. </w:t>
      </w:r>
    </w:p>
    <w:p w14:paraId="7AFBE3A3" w14:textId="77777777" w:rsidR="00A77906" w:rsidRDefault="00A77906" w:rsidP="003D6539">
      <w:pPr>
        <w:jc w:val="both"/>
        <w:rPr>
          <w:sz w:val="22"/>
        </w:rPr>
      </w:pPr>
    </w:p>
    <w:p w14:paraId="6A083866" w14:textId="57F85245" w:rsidR="003D6539" w:rsidRDefault="007817E8" w:rsidP="003D6539">
      <w:pPr>
        <w:jc w:val="both"/>
        <w:rPr>
          <w:sz w:val="22"/>
        </w:rPr>
      </w:pPr>
      <w:r>
        <w:rPr>
          <w:sz w:val="22"/>
        </w:rPr>
        <w:t>N</w:t>
      </w:r>
      <w:r w:rsidR="003D6539" w:rsidRPr="004663AD">
        <w:rPr>
          <w:sz w:val="22"/>
        </w:rPr>
        <w:t xml:space="preserve">a rynku kredytów ratalnych </w:t>
      </w:r>
      <w:r>
        <w:rPr>
          <w:sz w:val="22"/>
        </w:rPr>
        <w:t>w</w:t>
      </w:r>
      <w:r w:rsidRPr="004663AD">
        <w:rPr>
          <w:sz w:val="22"/>
        </w:rPr>
        <w:t xml:space="preserve"> 2023 roku </w:t>
      </w:r>
      <w:r w:rsidR="003D6539" w:rsidRPr="004663AD">
        <w:rPr>
          <w:sz w:val="22"/>
        </w:rPr>
        <w:t>pojawił się nowy impuls - zakupy z odroczoną płatnością</w:t>
      </w:r>
      <w:r w:rsidR="00CD124A">
        <w:rPr>
          <w:sz w:val="22"/>
        </w:rPr>
        <w:t xml:space="preserve"> (tzw. </w:t>
      </w:r>
      <w:proofErr w:type="spellStart"/>
      <w:r w:rsidR="00B72AE1">
        <w:rPr>
          <w:sz w:val="22"/>
        </w:rPr>
        <w:t>Buy</w:t>
      </w:r>
      <w:proofErr w:type="spellEnd"/>
      <w:r w:rsidR="00B72AE1">
        <w:rPr>
          <w:sz w:val="22"/>
        </w:rPr>
        <w:t xml:space="preserve"> </w:t>
      </w:r>
      <w:proofErr w:type="spellStart"/>
      <w:r w:rsidR="00B72AE1">
        <w:rPr>
          <w:sz w:val="22"/>
        </w:rPr>
        <w:t>Now</w:t>
      </w:r>
      <w:proofErr w:type="spellEnd"/>
      <w:r w:rsidR="00B72AE1">
        <w:rPr>
          <w:sz w:val="22"/>
        </w:rPr>
        <w:t xml:space="preserve">, </w:t>
      </w:r>
      <w:proofErr w:type="spellStart"/>
      <w:r w:rsidR="00B72AE1">
        <w:rPr>
          <w:sz w:val="22"/>
        </w:rPr>
        <w:t>Pay</w:t>
      </w:r>
      <w:proofErr w:type="spellEnd"/>
      <w:r w:rsidR="00B72AE1">
        <w:rPr>
          <w:sz w:val="22"/>
        </w:rPr>
        <w:t xml:space="preserve"> </w:t>
      </w:r>
      <w:proofErr w:type="spellStart"/>
      <w:r w:rsidR="00B72AE1">
        <w:rPr>
          <w:sz w:val="22"/>
        </w:rPr>
        <w:t>Later</w:t>
      </w:r>
      <w:proofErr w:type="spellEnd"/>
      <w:r w:rsidR="00B72AE1">
        <w:rPr>
          <w:sz w:val="22"/>
        </w:rPr>
        <w:t xml:space="preserve"> - BNPL</w:t>
      </w:r>
      <w:r w:rsidR="00CD124A">
        <w:rPr>
          <w:sz w:val="22"/>
        </w:rPr>
        <w:t>)</w:t>
      </w:r>
      <w:r w:rsidR="003D6539" w:rsidRPr="004663AD">
        <w:rPr>
          <w:sz w:val="22"/>
        </w:rPr>
        <w:t>.</w:t>
      </w:r>
      <w:r w:rsidR="00A02D5F">
        <w:rPr>
          <w:sz w:val="22"/>
        </w:rPr>
        <w:t xml:space="preserve"> </w:t>
      </w:r>
      <w:r w:rsidR="003D6539" w:rsidRPr="004663AD">
        <w:rPr>
          <w:sz w:val="22"/>
        </w:rPr>
        <w:t xml:space="preserve">Najlepiej </w:t>
      </w:r>
      <w:r w:rsidR="003D6539">
        <w:rPr>
          <w:sz w:val="22"/>
        </w:rPr>
        <w:t>ilustruje to skok o</w:t>
      </w:r>
      <w:r w:rsidR="003D6539" w:rsidRPr="004663AD">
        <w:rPr>
          <w:sz w:val="22"/>
        </w:rPr>
        <w:t xml:space="preserve"> 126,3</w:t>
      </w:r>
      <w:r w:rsidR="001F00D3">
        <w:rPr>
          <w:sz w:val="22"/>
        </w:rPr>
        <w:t xml:space="preserve"> proc.</w:t>
      </w:r>
      <w:r w:rsidR="003D6539" w:rsidRPr="004663AD">
        <w:rPr>
          <w:sz w:val="22"/>
        </w:rPr>
        <w:t xml:space="preserve"> nowych kredytów ratalnych w najniższym przedziale kwotowym, czyli do 1 tys. zł. To dowód na rosnącą popularność płatności odroczonych w e-commerce</w:t>
      </w:r>
      <w:r w:rsidR="00CD124A">
        <w:rPr>
          <w:sz w:val="22"/>
        </w:rPr>
        <w:t>. Z tej formy płatności za zakupy</w:t>
      </w:r>
      <w:r>
        <w:rPr>
          <w:sz w:val="22"/>
        </w:rPr>
        <w:t xml:space="preserve"> w przeważającej liczbie korzystają </w:t>
      </w:r>
      <w:r w:rsidRPr="007817E8">
        <w:rPr>
          <w:sz w:val="22"/>
        </w:rPr>
        <w:t>kobiety (ok. 60</w:t>
      </w:r>
      <w:r>
        <w:rPr>
          <w:sz w:val="22"/>
        </w:rPr>
        <w:t xml:space="preserve"> proc.)</w:t>
      </w:r>
      <w:r w:rsidRPr="007817E8">
        <w:rPr>
          <w:sz w:val="22"/>
        </w:rPr>
        <w:t xml:space="preserve"> i osoby w wieku do 44 lat (75</w:t>
      </w:r>
      <w:r>
        <w:rPr>
          <w:sz w:val="22"/>
        </w:rPr>
        <w:t xml:space="preserve"> proc.). P</w:t>
      </w:r>
      <w:r w:rsidRPr="007817E8">
        <w:rPr>
          <w:sz w:val="22"/>
        </w:rPr>
        <w:t>rawie 80</w:t>
      </w:r>
      <w:r>
        <w:rPr>
          <w:sz w:val="22"/>
        </w:rPr>
        <w:t xml:space="preserve"> proc.</w:t>
      </w:r>
      <w:r w:rsidRPr="007817E8">
        <w:rPr>
          <w:sz w:val="22"/>
        </w:rPr>
        <w:t xml:space="preserve"> transakcji BNPL </w:t>
      </w:r>
      <w:r w:rsidR="001541D7">
        <w:rPr>
          <w:sz w:val="22"/>
        </w:rPr>
        <w:t>to</w:t>
      </w:r>
      <w:r w:rsidRPr="007817E8">
        <w:rPr>
          <w:sz w:val="22"/>
        </w:rPr>
        <w:t xml:space="preserve"> kwot</w:t>
      </w:r>
      <w:r w:rsidR="001541D7">
        <w:rPr>
          <w:sz w:val="22"/>
        </w:rPr>
        <w:t>y</w:t>
      </w:r>
      <w:r w:rsidRPr="007817E8">
        <w:rPr>
          <w:sz w:val="22"/>
        </w:rPr>
        <w:t xml:space="preserve"> do 200 zł</w:t>
      </w:r>
      <w:r>
        <w:rPr>
          <w:sz w:val="22"/>
        </w:rPr>
        <w:t>.</w:t>
      </w:r>
    </w:p>
    <w:p w14:paraId="1E8C684B" w14:textId="77777777" w:rsidR="007817E8" w:rsidRDefault="007817E8" w:rsidP="003D6539">
      <w:pPr>
        <w:jc w:val="both"/>
        <w:rPr>
          <w:sz w:val="22"/>
        </w:rPr>
      </w:pPr>
    </w:p>
    <w:p w14:paraId="2EE07AE1" w14:textId="77777777" w:rsidR="007817E8" w:rsidRDefault="007817E8" w:rsidP="007817E8">
      <w:pPr>
        <w:jc w:val="both"/>
        <w:rPr>
          <w:sz w:val="22"/>
        </w:rPr>
      </w:pPr>
      <w:r w:rsidRPr="007817E8">
        <w:rPr>
          <w:sz w:val="22"/>
        </w:rPr>
        <w:t xml:space="preserve">W 2024 roku </w:t>
      </w:r>
      <w:r>
        <w:rPr>
          <w:sz w:val="22"/>
        </w:rPr>
        <w:t>można oczekiwać</w:t>
      </w:r>
      <w:r w:rsidRPr="007817E8">
        <w:rPr>
          <w:sz w:val="22"/>
        </w:rPr>
        <w:t xml:space="preserve"> dalszych wzrostów na rynku kredytów ratalnych oraz pożyczek celowych. </w:t>
      </w:r>
    </w:p>
    <w:p w14:paraId="22A86B74" w14:textId="77777777" w:rsidR="00632D79" w:rsidRDefault="00632D79" w:rsidP="007817E8">
      <w:pPr>
        <w:jc w:val="both"/>
        <w:rPr>
          <w:sz w:val="22"/>
        </w:rPr>
      </w:pPr>
    </w:p>
    <w:p w14:paraId="3F4C4E30" w14:textId="241729BD" w:rsidR="007817E8" w:rsidRDefault="007817E8" w:rsidP="007817E8">
      <w:pPr>
        <w:jc w:val="both"/>
        <w:rPr>
          <w:sz w:val="22"/>
        </w:rPr>
      </w:pPr>
      <w:r>
        <w:rPr>
          <w:sz w:val="22"/>
        </w:rPr>
        <w:t xml:space="preserve">- </w:t>
      </w:r>
      <w:r w:rsidRPr="007817E8">
        <w:rPr>
          <w:i/>
          <w:iCs/>
          <w:sz w:val="22"/>
        </w:rPr>
        <w:t>Szacujemy, że wartość akcji kredytowej w segmencie kredytów ratalnych w 2024 roku wyniesie 27,5 mld zł, co będzie oznaczało wzrost o 20 proc. w porównaniu z 2023 rokiem. Prognozujemy również dalszy wzrost</w:t>
      </w:r>
      <w:r w:rsidR="00E12333">
        <w:rPr>
          <w:i/>
          <w:iCs/>
          <w:sz w:val="22"/>
        </w:rPr>
        <w:t xml:space="preserve"> </w:t>
      </w:r>
      <w:r w:rsidRPr="007817E8">
        <w:rPr>
          <w:i/>
          <w:iCs/>
          <w:sz w:val="22"/>
        </w:rPr>
        <w:t>pożyczek celowych</w:t>
      </w:r>
      <w:r w:rsidR="00CF4E1C">
        <w:rPr>
          <w:i/>
          <w:iCs/>
          <w:sz w:val="22"/>
        </w:rPr>
        <w:t xml:space="preserve"> </w:t>
      </w:r>
      <w:r w:rsidR="00E12333">
        <w:rPr>
          <w:i/>
          <w:iCs/>
          <w:sz w:val="22"/>
        </w:rPr>
        <w:t>do kwoty</w:t>
      </w:r>
      <w:r w:rsidRPr="007817E8">
        <w:rPr>
          <w:i/>
          <w:iCs/>
          <w:sz w:val="22"/>
        </w:rPr>
        <w:t xml:space="preserve"> 6,3 mld zł, tj. </w:t>
      </w:r>
      <w:r w:rsidR="009D3365">
        <w:rPr>
          <w:i/>
          <w:iCs/>
          <w:sz w:val="22"/>
        </w:rPr>
        <w:t>56</w:t>
      </w:r>
      <w:r w:rsidRPr="007817E8">
        <w:rPr>
          <w:i/>
          <w:iCs/>
          <w:sz w:val="22"/>
        </w:rPr>
        <w:t xml:space="preserve"> proc. więcej niż w 2023 roku. Do wzrostu wartości akcji kredytowej w segmencie kredytów ratalnych i pożyczek celowych przyczynią się rosnące wynagrodzenia, nadal niski poziom bezrobocia, jak również utrzymująca się popularność odroczonych płatności, czyli BNPL</w:t>
      </w:r>
      <w:r>
        <w:rPr>
          <w:sz w:val="22"/>
        </w:rPr>
        <w:t xml:space="preserve"> – mówi Prezes BIK. </w:t>
      </w:r>
    </w:p>
    <w:p w14:paraId="245B7FA8" w14:textId="77777777" w:rsidR="007817E8" w:rsidRDefault="007817E8" w:rsidP="003D6539">
      <w:pPr>
        <w:jc w:val="both"/>
        <w:rPr>
          <w:sz w:val="22"/>
        </w:rPr>
      </w:pPr>
    </w:p>
    <w:p w14:paraId="38BD5245" w14:textId="6D921201" w:rsidR="00602D2D" w:rsidRPr="00602D2D" w:rsidRDefault="00A66EF3" w:rsidP="00602D2D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Niższe zainteresowanie k</w:t>
      </w:r>
      <w:r w:rsidR="00602D2D" w:rsidRPr="00602D2D">
        <w:rPr>
          <w:b/>
          <w:bCs/>
          <w:sz w:val="22"/>
        </w:rPr>
        <w:t>redyt</w:t>
      </w:r>
      <w:r>
        <w:rPr>
          <w:b/>
          <w:bCs/>
          <w:sz w:val="22"/>
        </w:rPr>
        <w:t xml:space="preserve">em gotówkowym i </w:t>
      </w:r>
      <w:r w:rsidR="00282C58">
        <w:rPr>
          <w:b/>
          <w:bCs/>
          <w:sz w:val="22"/>
        </w:rPr>
        <w:t>pożyczk</w:t>
      </w:r>
      <w:r>
        <w:rPr>
          <w:b/>
          <w:bCs/>
          <w:sz w:val="22"/>
        </w:rPr>
        <w:t>ą</w:t>
      </w:r>
      <w:r w:rsidR="00282C58">
        <w:rPr>
          <w:b/>
          <w:bCs/>
          <w:sz w:val="22"/>
        </w:rPr>
        <w:t xml:space="preserve"> </w:t>
      </w:r>
      <w:r w:rsidR="00602D2D" w:rsidRPr="00602D2D">
        <w:rPr>
          <w:b/>
          <w:bCs/>
          <w:sz w:val="22"/>
        </w:rPr>
        <w:t>gotówkow</w:t>
      </w:r>
      <w:r>
        <w:rPr>
          <w:b/>
          <w:bCs/>
          <w:sz w:val="22"/>
        </w:rPr>
        <w:t>ą w porównaniu z kredytem ratalnym i pożyczką celową</w:t>
      </w:r>
    </w:p>
    <w:p w14:paraId="5209E434" w14:textId="77777777" w:rsidR="00602D2D" w:rsidRDefault="00602D2D" w:rsidP="00602D2D">
      <w:pPr>
        <w:jc w:val="both"/>
        <w:rPr>
          <w:b/>
          <w:bCs/>
          <w:sz w:val="22"/>
        </w:rPr>
      </w:pPr>
    </w:p>
    <w:p w14:paraId="5A7BD0BE" w14:textId="3D125FE6" w:rsidR="00C91EBF" w:rsidRDefault="00C91EBF" w:rsidP="00602D2D">
      <w:pPr>
        <w:jc w:val="both"/>
        <w:rPr>
          <w:sz w:val="22"/>
        </w:rPr>
      </w:pPr>
      <w:r w:rsidRPr="00C91EBF">
        <w:rPr>
          <w:sz w:val="22"/>
        </w:rPr>
        <w:t xml:space="preserve">Według danych BIK od stycznia do grudnia </w:t>
      </w:r>
      <w:r>
        <w:rPr>
          <w:sz w:val="22"/>
        </w:rPr>
        <w:t>ubiegłego</w:t>
      </w:r>
      <w:r w:rsidRPr="00C91EBF">
        <w:rPr>
          <w:sz w:val="22"/>
        </w:rPr>
        <w:t xml:space="preserve"> roku liczba nowych kredytów gotówkowych wzrosła o 7,3</w:t>
      </w:r>
      <w:r>
        <w:rPr>
          <w:sz w:val="22"/>
        </w:rPr>
        <w:t xml:space="preserve"> proc.</w:t>
      </w:r>
      <w:r w:rsidRPr="00C91EBF">
        <w:rPr>
          <w:sz w:val="22"/>
        </w:rPr>
        <w:t>, a ich wartość o 13,7</w:t>
      </w:r>
      <w:r>
        <w:rPr>
          <w:sz w:val="22"/>
        </w:rPr>
        <w:t xml:space="preserve"> proc.</w:t>
      </w:r>
      <w:r w:rsidRPr="00C91EBF">
        <w:rPr>
          <w:sz w:val="22"/>
        </w:rPr>
        <w:t xml:space="preserve"> Wartość nowo udzielonych kredytów gotówkowych w 2023 roku wyniosła 73,8 mld zł</w:t>
      </w:r>
      <w:r>
        <w:rPr>
          <w:sz w:val="22"/>
        </w:rPr>
        <w:t xml:space="preserve">. </w:t>
      </w:r>
    </w:p>
    <w:p w14:paraId="0D446D25" w14:textId="77777777" w:rsidR="00AF3F22" w:rsidRDefault="00AF3F22" w:rsidP="00602D2D">
      <w:pPr>
        <w:jc w:val="both"/>
        <w:rPr>
          <w:sz w:val="22"/>
        </w:rPr>
      </w:pPr>
    </w:p>
    <w:p w14:paraId="246E1F37" w14:textId="736F2E2B" w:rsidR="00AF3F22" w:rsidRPr="00AF3F22" w:rsidRDefault="00AF3F22" w:rsidP="00AF3F22">
      <w:pPr>
        <w:jc w:val="both"/>
        <w:rPr>
          <w:sz w:val="22"/>
        </w:rPr>
      </w:pPr>
      <w:r w:rsidRPr="00AF3F22">
        <w:rPr>
          <w:sz w:val="22"/>
        </w:rPr>
        <w:t>W 2023 roku prawie połowa (49,1</w:t>
      </w:r>
      <w:r w:rsidR="00444F67">
        <w:rPr>
          <w:sz w:val="22"/>
        </w:rPr>
        <w:t xml:space="preserve"> proc.</w:t>
      </w:r>
      <w:r w:rsidRPr="00AF3F22">
        <w:rPr>
          <w:sz w:val="22"/>
        </w:rPr>
        <w:t>) wartości udzielonych kredytów gotówkowych dotyczyła kredytów powyżej 50 tys. zł, a tylko 19,1</w:t>
      </w:r>
      <w:r w:rsidR="00444F67">
        <w:rPr>
          <w:sz w:val="22"/>
        </w:rPr>
        <w:t xml:space="preserve"> proc.</w:t>
      </w:r>
      <w:r w:rsidRPr="00AF3F22">
        <w:rPr>
          <w:sz w:val="22"/>
        </w:rPr>
        <w:t xml:space="preserve"> kredytów w przedziale 30-50 tys. zł</w:t>
      </w:r>
      <w:r>
        <w:rPr>
          <w:sz w:val="22"/>
        </w:rPr>
        <w:t xml:space="preserve">. </w:t>
      </w:r>
      <w:r w:rsidRPr="00AF3F22">
        <w:rPr>
          <w:sz w:val="22"/>
        </w:rPr>
        <w:t>Jednym z głównych powodów zaciągania kredytów gotówkowych na wysokie kwoty była konsolidacj</w:t>
      </w:r>
      <w:r w:rsidR="00395740">
        <w:rPr>
          <w:sz w:val="22"/>
        </w:rPr>
        <w:t>a</w:t>
      </w:r>
      <w:r w:rsidRPr="00AF3F22">
        <w:rPr>
          <w:sz w:val="22"/>
        </w:rPr>
        <w:t xml:space="preserve"> innych zobowiązań. Spadek liczby kredytobiorców i konsolidacje wpły</w:t>
      </w:r>
      <w:r w:rsidR="00AC30B1">
        <w:rPr>
          <w:sz w:val="22"/>
        </w:rPr>
        <w:t xml:space="preserve">nęły na </w:t>
      </w:r>
      <w:r w:rsidRPr="00AF3F22">
        <w:rPr>
          <w:sz w:val="22"/>
        </w:rPr>
        <w:t xml:space="preserve">to, że dynamika liczby </w:t>
      </w:r>
      <w:r w:rsidR="00AC30B1">
        <w:rPr>
          <w:sz w:val="22"/>
        </w:rPr>
        <w:t>udzielonych kredytów jest dużo niższa od ich w</w:t>
      </w:r>
      <w:r w:rsidRPr="00AF3F22">
        <w:rPr>
          <w:sz w:val="22"/>
        </w:rPr>
        <w:t>artości</w:t>
      </w:r>
      <w:r w:rsidR="00AC30B1">
        <w:rPr>
          <w:sz w:val="22"/>
        </w:rPr>
        <w:t>.</w:t>
      </w:r>
    </w:p>
    <w:p w14:paraId="2FB044DE" w14:textId="77777777" w:rsidR="00AF3F22" w:rsidRPr="00AF3F22" w:rsidRDefault="00AF3F22" w:rsidP="00AF3F22">
      <w:pPr>
        <w:jc w:val="both"/>
        <w:rPr>
          <w:sz w:val="22"/>
        </w:rPr>
      </w:pPr>
    </w:p>
    <w:p w14:paraId="206FB3CB" w14:textId="2B8056B2" w:rsidR="00AF3F22" w:rsidRDefault="00AF3F22" w:rsidP="00AF3F22">
      <w:pPr>
        <w:jc w:val="both"/>
        <w:rPr>
          <w:sz w:val="22"/>
        </w:rPr>
      </w:pPr>
      <w:r>
        <w:rPr>
          <w:sz w:val="22"/>
        </w:rPr>
        <w:t>D</w:t>
      </w:r>
      <w:r w:rsidRPr="00AF3F22">
        <w:rPr>
          <w:sz w:val="22"/>
        </w:rPr>
        <w:t xml:space="preserve">la bankowego rynku kredytów gotówkowych </w:t>
      </w:r>
      <w:r w:rsidR="006F71F9">
        <w:rPr>
          <w:sz w:val="22"/>
        </w:rPr>
        <w:t xml:space="preserve">w bazie BIK </w:t>
      </w:r>
      <w:r w:rsidRPr="00AF3F22">
        <w:rPr>
          <w:sz w:val="22"/>
        </w:rPr>
        <w:t xml:space="preserve">pojawiła się silna konkurencja ze strony </w:t>
      </w:r>
      <w:proofErr w:type="spellStart"/>
      <w:r w:rsidRPr="00AF3F22">
        <w:rPr>
          <w:sz w:val="22"/>
        </w:rPr>
        <w:t>pozabankowych</w:t>
      </w:r>
      <w:proofErr w:type="spellEnd"/>
      <w:r w:rsidRPr="00AF3F22">
        <w:rPr>
          <w:sz w:val="22"/>
        </w:rPr>
        <w:t xml:space="preserve"> pożyczek gotówkowych, których udzielono na kwotę ponad 30</w:t>
      </w:r>
      <w:r>
        <w:rPr>
          <w:sz w:val="22"/>
        </w:rPr>
        <w:t xml:space="preserve"> proc.</w:t>
      </w:r>
      <w:r w:rsidRPr="00AF3F22">
        <w:rPr>
          <w:sz w:val="22"/>
        </w:rPr>
        <w:t xml:space="preserve"> wyższą niż w </w:t>
      </w:r>
      <w:r w:rsidRPr="00AF3F22">
        <w:rPr>
          <w:sz w:val="22"/>
        </w:rPr>
        <w:lastRenderedPageBreak/>
        <w:t xml:space="preserve">2022 roku. </w:t>
      </w:r>
      <w:r w:rsidR="00A02D5F">
        <w:rPr>
          <w:sz w:val="22"/>
        </w:rPr>
        <w:t xml:space="preserve">To efekt </w:t>
      </w:r>
      <w:r w:rsidR="00280951">
        <w:rPr>
          <w:sz w:val="22"/>
        </w:rPr>
        <w:t xml:space="preserve">czynników rynkowych, jak również wynik </w:t>
      </w:r>
      <w:r w:rsidR="00A02D5F" w:rsidRPr="007817E8">
        <w:rPr>
          <w:sz w:val="22"/>
        </w:rPr>
        <w:t>objęcia w maju 2023 roku raportowaniem wszystkich firm pożyczkowych</w:t>
      </w:r>
      <w:r w:rsidR="00280951">
        <w:rPr>
          <w:sz w:val="22"/>
        </w:rPr>
        <w:t>.</w:t>
      </w:r>
    </w:p>
    <w:p w14:paraId="71BE86FB" w14:textId="77777777" w:rsidR="00A02D5F" w:rsidRPr="00AF3F22" w:rsidRDefault="00A02D5F" w:rsidP="00AF3F22">
      <w:pPr>
        <w:jc w:val="both"/>
        <w:rPr>
          <w:sz w:val="22"/>
        </w:rPr>
      </w:pPr>
    </w:p>
    <w:p w14:paraId="6A1A0E50" w14:textId="021730DD" w:rsidR="00AF3F22" w:rsidRDefault="004365E5" w:rsidP="00AF3F22">
      <w:pPr>
        <w:jc w:val="both"/>
        <w:rPr>
          <w:sz w:val="22"/>
        </w:rPr>
      </w:pPr>
      <w:r>
        <w:rPr>
          <w:sz w:val="22"/>
        </w:rPr>
        <w:t xml:space="preserve">- </w:t>
      </w:r>
      <w:r w:rsidR="00AF3F22" w:rsidRPr="004365E5">
        <w:rPr>
          <w:i/>
          <w:iCs/>
          <w:sz w:val="22"/>
        </w:rPr>
        <w:t>W 2024 roku szacuje</w:t>
      </w:r>
      <w:r w:rsidRPr="004365E5">
        <w:rPr>
          <w:i/>
          <w:iCs/>
          <w:sz w:val="22"/>
        </w:rPr>
        <w:t>my</w:t>
      </w:r>
      <w:r w:rsidR="00AF3F22" w:rsidRPr="004365E5">
        <w:rPr>
          <w:i/>
          <w:iCs/>
          <w:sz w:val="22"/>
        </w:rPr>
        <w:t xml:space="preserve"> dalszy wzrost zainteresowania kredytami gotówkowymi oraz pożyczkami gotówkowymi, zwłaszcza w kontekście rosnących potrzeb gospodarstw domowych w wyniku nadal podwyższonej inflacji</w:t>
      </w:r>
      <w:r w:rsidR="00AC71D1">
        <w:rPr>
          <w:i/>
          <w:iCs/>
          <w:sz w:val="22"/>
        </w:rPr>
        <w:t xml:space="preserve">. </w:t>
      </w:r>
      <w:r w:rsidR="00FC6FF7">
        <w:rPr>
          <w:i/>
          <w:iCs/>
          <w:sz w:val="22"/>
        </w:rPr>
        <w:t>A wyższa zdolność kredytowa zachęci do zaciągania kredytów gotówkowych</w:t>
      </w:r>
      <w:r w:rsidRPr="004365E5">
        <w:rPr>
          <w:i/>
          <w:iCs/>
          <w:sz w:val="22"/>
        </w:rPr>
        <w:t xml:space="preserve">, </w:t>
      </w:r>
      <w:r w:rsidR="00AF3F22" w:rsidRPr="004365E5">
        <w:rPr>
          <w:i/>
          <w:iCs/>
          <w:sz w:val="22"/>
        </w:rPr>
        <w:t xml:space="preserve">np. </w:t>
      </w:r>
      <w:r w:rsidRPr="004365E5">
        <w:rPr>
          <w:i/>
          <w:iCs/>
          <w:sz w:val="22"/>
        </w:rPr>
        <w:t xml:space="preserve">na </w:t>
      </w:r>
      <w:r w:rsidR="00AF3F22" w:rsidRPr="004365E5">
        <w:rPr>
          <w:i/>
          <w:iCs/>
          <w:sz w:val="22"/>
        </w:rPr>
        <w:t>remonty nieruchomości. Szacuje</w:t>
      </w:r>
      <w:r w:rsidR="00414342">
        <w:rPr>
          <w:i/>
          <w:iCs/>
          <w:sz w:val="22"/>
        </w:rPr>
        <w:t>my</w:t>
      </w:r>
      <w:r w:rsidR="00AF3F22" w:rsidRPr="004365E5">
        <w:rPr>
          <w:i/>
          <w:iCs/>
          <w:sz w:val="22"/>
        </w:rPr>
        <w:t>, że wartość sprzedaży kredytów gotówkowych w 2024 roku wyniesie 81,2 mld zł, co oznacza wzrost o 10</w:t>
      </w:r>
      <w:r w:rsidRPr="004365E5">
        <w:rPr>
          <w:i/>
          <w:iCs/>
          <w:sz w:val="22"/>
        </w:rPr>
        <w:t xml:space="preserve"> proc.</w:t>
      </w:r>
      <w:r w:rsidR="00AF3F22" w:rsidRPr="004365E5">
        <w:rPr>
          <w:i/>
          <w:iCs/>
          <w:sz w:val="22"/>
        </w:rPr>
        <w:t xml:space="preserve"> w porównaniu z 2023 rokiem</w:t>
      </w:r>
      <w:r w:rsidRPr="00CB0B5D">
        <w:rPr>
          <w:i/>
          <w:iCs/>
          <w:sz w:val="22"/>
        </w:rPr>
        <w:t xml:space="preserve">, a pożyczek gotówkowych </w:t>
      </w:r>
      <w:r>
        <w:rPr>
          <w:i/>
          <w:iCs/>
          <w:sz w:val="22"/>
        </w:rPr>
        <w:t xml:space="preserve">- </w:t>
      </w:r>
      <w:r w:rsidRPr="00CB0B5D">
        <w:rPr>
          <w:i/>
          <w:iCs/>
          <w:sz w:val="22"/>
        </w:rPr>
        <w:t>na kwotę 12,0 mld zł, tj. o 19 proc. więcej r/r.</w:t>
      </w:r>
      <w:r>
        <w:rPr>
          <w:sz w:val="22"/>
        </w:rPr>
        <w:t xml:space="preserve">  – prognozuje Mariusz Cholewa.</w:t>
      </w:r>
    </w:p>
    <w:p w14:paraId="328946E4" w14:textId="77777777" w:rsidR="00282C58" w:rsidRDefault="00282C58" w:rsidP="00602D2D">
      <w:pPr>
        <w:jc w:val="both"/>
        <w:rPr>
          <w:sz w:val="22"/>
        </w:rPr>
      </w:pPr>
    </w:p>
    <w:p w14:paraId="095E6052" w14:textId="2FC6B994" w:rsidR="00235092" w:rsidRPr="00980CDA" w:rsidRDefault="00235092" w:rsidP="00235092">
      <w:pPr>
        <w:jc w:val="both"/>
        <w:rPr>
          <w:rFonts w:cstheme="minorHAnsi"/>
          <w:b/>
          <w:bCs/>
          <w:sz w:val="22"/>
        </w:rPr>
      </w:pPr>
      <w:r>
        <w:rPr>
          <w:rFonts w:cstheme="minorHAnsi"/>
          <w:b/>
          <w:bCs/>
          <w:sz w:val="22"/>
        </w:rPr>
        <w:t>J</w:t>
      </w:r>
      <w:r w:rsidRPr="00980CDA">
        <w:rPr>
          <w:rFonts w:cstheme="minorHAnsi"/>
          <w:b/>
          <w:bCs/>
          <w:sz w:val="22"/>
        </w:rPr>
        <w:t>akość kredytów klientów indywidualnych</w:t>
      </w:r>
      <w:r>
        <w:rPr>
          <w:rFonts w:cstheme="minorHAnsi"/>
          <w:b/>
          <w:bCs/>
          <w:sz w:val="22"/>
        </w:rPr>
        <w:t xml:space="preserve"> nadal na bezpiecznym poziomie</w:t>
      </w:r>
      <w:r w:rsidRPr="00980CDA">
        <w:rPr>
          <w:rFonts w:cstheme="minorHAnsi"/>
          <w:b/>
          <w:bCs/>
          <w:sz w:val="22"/>
        </w:rPr>
        <w:t xml:space="preserve"> </w:t>
      </w:r>
    </w:p>
    <w:p w14:paraId="265EB09D" w14:textId="77777777" w:rsidR="003D6539" w:rsidRDefault="003D6539" w:rsidP="00602D2D">
      <w:pPr>
        <w:jc w:val="both"/>
        <w:rPr>
          <w:sz w:val="22"/>
        </w:rPr>
      </w:pPr>
    </w:p>
    <w:p w14:paraId="6D66B8B0" w14:textId="3496CEEE" w:rsidR="009D0ED1" w:rsidRPr="009D0ED1" w:rsidRDefault="009D0ED1" w:rsidP="009D0ED1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P</w:t>
      </w:r>
      <w:r w:rsidRPr="009D0ED1">
        <w:rPr>
          <w:rFonts w:cstheme="minorHAnsi"/>
          <w:sz w:val="22"/>
        </w:rPr>
        <w:t xml:space="preserve">oziom jakości wszystkich spłacanych kredytów i pożyczek osób indywidualnych </w:t>
      </w:r>
      <w:r w:rsidR="00906D8A">
        <w:rPr>
          <w:rFonts w:cstheme="minorHAnsi"/>
          <w:sz w:val="22"/>
        </w:rPr>
        <w:t>pozostaje</w:t>
      </w:r>
      <w:r>
        <w:rPr>
          <w:rFonts w:cstheme="minorHAnsi"/>
          <w:sz w:val="22"/>
        </w:rPr>
        <w:t xml:space="preserve"> </w:t>
      </w:r>
      <w:r w:rsidRPr="009D0ED1">
        <w:rPr>
          <w:rFonts w:cstheme="minorHAnsi"/>
          <w:sz w:val="22"/>
        </w:rPr>
        <w:t xml:space="preserve">na </w:t>
      </w:r>
      <w:r w:rsidR="007232CB">
        <w:rPr>
          <w:rFonts w:cstheme="minorHAnsi"/>
          <w:sz w:val="22"/>
        </w:rPr>
        <w:t xml:space="preserve">stabilnym </w:t>
      </w:r>
      <w:r w:rsidRPr="009D0ED1">
        <w:rPr>
          <w:rFonts w:cstheme="minorHAnsi"/>
          <w:sz w:val="22"/>
        </w:rPr>
        <w:t>bezpiecznym poziomie</w:t>
      </w:r>
      <w:r>
        <w:rPr>
          <w:rFonts w:cstheme="minorHAnsi"/>
          <w:sz w:val="22"/>
        </w:rPr>
        <w:t>. U</w:t>
      </w:r>
      <w:r w:rsidRPr="009D0ED1">
        <w:rPr>
          <w:rFonts w:cstheme="minorHAnsi"/>
          <w:sz w:val="22"/>
        </w:rPr>
        <w:t>trzym</w:t>
      </w:r>
      <w:r>
        <w:rPr>
          <w:rFonts w:cstheme="minorHAnsi"/>
          <w:sz w:val="22"/>
        </w:rPr>
        <w:t xml:space="preserve">ujące </w:t>
      </w:r>
      <w:r w:rsidRPr="009D0ED1">
        <w:rPr>
          <w:rFonts w:cstheme="minorHAnsi"/>
          <w:sz w:val="22"/>
        </w:rPr>
        <w:t>się wysokie stopy procentowe</w:t>
      </w:r>
      <w:r>
        <w:rPr>
          <w:rFonts w:cstheme="minorHAnsi"/>
          <w:sz w:val="22"/>
        </w:rPr>
        <w:t xml:space="preserve"> w 2023 roku</w:t>
      </w:r>
      <w:r w:rsidRPr="009D0ED1">
        <w:rPr>
          <w:rFonts w:cstheme="minorHAnsi"/>
          <w:sz w:val="22"/>
        </w:rPr>
        <w:t>, nie sprzyjał</w:t>
      </w:r>
      <w:r>
        <w:rPr>
          <w:rFonts w:cstheme="minorHAnsi"/>
          <w:sz w:val="22"/>
        </w:rPr>
        <w:t>y</w:t>
      </w:r>
      <w:r w:rsidRPr="009D0ED1">
        <w:rPr>
          <w:rFonts w:cstheme="minorHAnsi"/>
          <w:sz w:val="22"/>
        </w:rPr>
        <w:t xml:space="preserve"> poprawie jakości obsługi kredytów przez gospodarstwa domowe</w:t>
      </w:r>
      <w:r>
        <w:rPr>
          <w:rFonts w:cstheme="minorHAnsi"/>
          <w:sz w:val="22"/>
        </w:rPr>
        <w:t>.</w:t>
      </w:r>
    </w:p>
    <w:p w14:paraId="18C828EF" w14:textId="77777777" w:rsidR="009D0ED1" w:rsidRPr="009D0ED1" w:rsidRDefault="009D0ED1" w:rsidP="009D0ED1">
      <w:pPr>
        <w:jc w:val="both"/>
        <w:rPr>
          <w:rFonts w:cstheme="minorHAnsi"/>
          <w:sz w:val="22"/>
        </w:rPr>
      </w:pPr>
    </w:p>
    <w:p w14:paraId="51D70901" w14:textId="4C07286C" w:rsidR="009D0ED1" w:rsidRPr="009D0ED1" w:rsidRDefault="009D0ED1" w:rsidP="009D0ED1">
      <w:pPr>
        <w:jc w:val="both"/>
        <w:rPr>
          <w:rFonts w:cstheme="minorHAnsi"/>
          <w:sz w:val="22"/>
        </w:rPr>
      </w:pPr>
      <w:r w:rsidRPr="009D0ED1">
        <w:rPr>
          <w:rFonts w:cstheme="minorHAnsi"/>
          <w:sz w:val="22"/>
        </w:rPr>
        <w:t xml:space="preserve">Najgorzej </w:t>
      </w:r>
      <w:r>
        <w:rPr>
          <w:rFonts w:cstheme="minorHAnsi"/>
          <w:sz w:val="22"/>
        </w:rPr>
        <w:t>kredytobiorcy</w:t>
      </w:r>
      <w:r w:rsidRPr="009D0ED1">
        <w:rPr>
          <w:rFonts w:cstheme="minorHAnsi"/>
          <w:sz w:val="22"/>
        </w:rPr>
        <w:t xml:space="preserve"> radz</w:t>
      </w:r>
      <w:r>
        <w:rPr>
          <w:rFonts w:cstheme="minorHAnsi"/>
          <w:sz w:val="22"/>
        </w:rPr>
        <w:t>ili</w:t>
      </w:r>
      <w:r w:rsidRPr="009D0ED1">
        <w:rPr>
          <w:rFonts w:cstheme="minorHAnsi"/>
          <w:sz w:val="22"/>
        </w:rPr>
        <w:t xml:space="preserve"> sobie z terminową spłatą pożyczek </w:t>
      </w:r>
      <w:proofErr w:type="spellStart"/>
      <w:r w:rsidRPr="009D0ED1">
        <w:rPr>
          <w:rFonts w:cstheme="minorHAnsi"/>
          <w:sz w:val="22"/>
        </w:rPr>
        <w:t>pozabankowych</w:t>
      </w:r>
      <w:proofErr w:type="spellEnd"/>
      <w:r w:rsidRPr="009D0ED1">
        <w:rPr>
          <w:rFonts w:cstheme="minorHAnsi"/>
          <w:sz w:val="22"/>
        </w:rPr>
        <w:t xml:space="preserve">. </w:t>
      </w:r>
      <w:r>
        <w:rPr>
          <w:rFonts w:cstheme="minorHAnsi"/>
          <w:sz w:val="22"/>
        </w:rPr>
        <w:t>Ich s</w:t>
      </w:r>
      <w:r w:rsidRPr="009D0ED1">
        <w:rPr>
          <w:rFonts w:cstheme="minorHAnsi"/>
          <w:sz w:val="22"/>
        </w:rPr>
        <w:t xml:space="preserve">zkodowość na koniec grudnia 2023 roku wyniosła </w:t>
      </w:r>
      <w:r w:rsidRPr="009E3DE3">
        <w:rPr>
          <w:rFonts w:cstheme="minorHAnsi"/>
          <w:sz w:val="22"/>
        </w:rPr>
        <w:t>2</w:t>
      </w:r>
      <w:r w:rsidR="009D3365" w:rsidRPr="009E3DE3">
        <w:rPr>
          <w:rFonts w:cstheme="minorHAnsi"/>
          <w:sz w:val="22"/>
        </w:rPr>
        <w:t>3,8</w:t>
      </w:r>
      <w:r w:rsidRPr="009E3DE3">
        <w:rPr>
          <w:rFonts w:cstheme="minorHAnsi"/>
          <w:sz w:val="22"/>
        </w:rPr>
        <w:t xml:space="preserve"> proc., co oznacza wzrost o </w:t>
      </w:r>
      <w:r w:rsidR="009D3365" w:rsidRPr="009E3DE3">
        <w:rPr>
          <w:rFonts w:cstheme="minorHAnsi"/>
          <w:sz w:val="22"/>
        </w:rPr>
        <w:t>2,7</w:t>
      </w:r>
      <w:r w:rsidRPr="009E3DE3">
        <w:rPr>
          <w:rFonts w:cstheme="minorHAnsi"/>
          <w:sz w:val="22"/>
        </w:rPr>
        <w:t xml:space="preserve"> </w:t>
      </w:r>
      <w:proofErr w:type="spellStart"/>
      <w:r w:rsidRPr="009E3DE3">
        <w:rPr>
          <w:rFonts w:cstheme="minorHAnsi"/>
          <w:sz w:val="22"/>
        </w:rPr>
        <w:t>p.p</w:t>
      </w:r>
      <w:proofErr w:type="spellEnd"/>
      <w:r w:rsidRPr="009E3DE3">
        <w:rPr>
          <w:rFonts w:cstheme="minorHAnsi"/>
          <w:sz w:val="22"/>
        </w:rPr>
        <w:t>. w porównaniu z grudniem 2022 roku.</w:t>
      </w:r>
    </w:p>
    <w:p w14:paraId="41813D56" w14:textId="77777777" w:rsidR="009D0ED1" w:rsidRPr="009D0ED1" w:rsidRDefault="009D0ED1" w:rsidP="009D0ED1">
      <w:pPr>
        <w:jc w:val="both"/>
        <w:rPr>
          <w:rFonts w:cstheme="minorHAnsi"/>
          <w:sz w:val="22"/>
        </w:rPr>
      </w:pPr>
    </w:p>
    <w:p w14:paraId="161ADB25" w14:textId="2B407100" w:rsidR="009D0ED1" w:rsidRPr="009D0ED1" w:rsidRDefault="009D0ED1" w:rsidP="009D0ED1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Spośród wszystkich</w:t>
      </w:r>
      <w:r w:rsidRPr="009D0ED1">
        <w:rPr>
          <w:rFonts w:cstheme="minorHAnsi"/>
          <w:sz w:val="22"/>
        </w:rPr>
        <w:t xml:space="preserve"> produktów kredytowych najgorzej spłacane były kredyty gotówkowe</w:t>
      </w:r>
      <w:r w:rsidR="002E0063">
        <w:rPr>
          <w:rFonts w:cstheme="minorHAnsi"/>
          <w:sz w:val="22"/>
        </w:rPr>
        <w:t>, a istotny wpływ na to miały kredyty na wysokie kwoty.  Warto jednak dodać, że k</w:t>
      </w:r>
      <w:r w:rsidR="002E0063" w:rsidRPr="009D0ED1">
        <w:rPr>
          <w:rFonts w:cstheme="minorHAnsi"/>
          <w:sz w:val="22"/>
        </w:rPr>
        <w:t xml:space="preserve">redyty gotówkowe udzielone w </w:t>
      </w:r>
      <w:r w:rsidR="002E0063">
        <w:rPr>
          <w:rFonts w:cstheme="minorHAnsi"/>
          <w:sz w:val="22"/>
        </w:rPr>
        <w:t xml:space="preserve">ub. roku </w:t>
      </w:r>
      <w:r w:rsidR="002E0063" w:rsidRPr="009D0ED1">
        <w:rPr>
          <w:rFonts w:cstheme="minorHAnsi"/>
          <w:sz w:val="22"/>
        </w:rPr>
        <w:t xml:space="preserve">były spłacane lepiej niż te udzielone w 2022 roku, </w:t>
      </w:r>
      <w:r w:rsidR="002E0063">
        <w:rPr>
          <w:rFonts w:cstheme="minorHAnsi"/>
          <w:sz w:val="22"/>
        </w:rPr>
        <w:t xml:space="preserve">jednak </w:t>
      </w:r>
      <w:r w:rsidR="002E0063" w:rsidRPr="009D0ED1">
        <w:rPr>
          <w:rFonts w:cstheme="minorHAnsi"/>
          <w:sz w:val="22"/>
        </w:rPr>
        <w:t>gorzej niż kredyty udzielone we wcześniejszych latach</w:t>
      </w:r>
      <w:r w:rsidR="002E0063">
        <w:rPr>
          <w:rFonts w:cstheme="minorHAnsi"/>
          <w:sz w:val="22"/>
        </w:rPr>
        <w:t>. U</w:t>
      </w:r>
      <w:r w:rsidRPr="009D0ED1">
        <w:rPr>
          <w:rFonts w:cstheme="minorHAnsi"/>
          <w:sz w:val="22"/>
        </w:rPr>
        <w:t xml:space="preserve">dział </w:t>
      </w:r>
      <w:r>
        <w:rPr>
          <w:rFonts w:cstheme="minorHAnsi"/>
          <w:sz w:val="22"/>
        </w:rPr>
        <w:t xml:space="preserve">opóźnionych </w:t>
      </w:r>
      <w:r w:rsidR="002E0063" w:rsidRPr="009D0ED1">
        <w:rPr>
          <w:rFonts w:cstheme="minorHAnsi"/>
          <w:sz w:val="22"/>
        </w:rPr>
        <w:t xml:space="preserve">kredytów </w:t>
      </w:r>
      <w:r w:rsidR="002E0063">
        <w:rPr>
          <w:rFonts w:cstheme="minorHAnsi"/>
          <w:sz w:val="22"/>
        </w:rPr>
        <w:t xml:space="preserve">gotówkowych </w:t>
      </w:r>
      <w:r>
        <w:rPr>
          <w:rFonts w:cstheme="minorHAnsi"/>
          <w:sz w:val="22"/>
        </w:rPr>
        <w:t xml:space="preserve">pow. 90 dni </w:t>
      </w:r>
      <w:r w:rsidRPr="009D0ED1">
        <w:rPr>
          <w:rFonts w:cstheme="minorHAnsi"/>
          <w:sz w:val="22"/>
        </w:rPr>
        <w:t xml:space="preserve">wyniósł </w:t>
      </w:r>
      <w:r>
        <w:rPr>
          <w:rFonts w:cstheme="minorHAnsi"/>
          <w:sz w:val="22"/>
        </w:rPr>
        <w:t xml:space="preserve">na koniec grudnia 2023 r. </w:t>
      </w:r>
      <w:r w:rsidRPr="009D0ED1">
        <w:rPr>
          <w:rFonts w:cstheme="minorHAnsi"/>
          <w:sz w:val="22"/>
        </w:rPr>
        <w:t>1</w:t>
      </w:r>
      <w:r w:rsidR="009D3365">
        <w:rPr>
          <w:rFonts w:cstheme="minorHAnsi"/>
          <w:sz w:val="22"/>
        </w:rPr>
        <w:t>0,6</w:t>
      </w:r>
      <w:r>
        <w:rPr>
          <w:rFonts w:cstheme="minorHAnsi"/>
          <w:sz w:val="22"/>
        </w:rPr>
        <w:t xml:space="preserve"> proc.,</w:t>
      </w:r>
      <w:r w:rsidRPr="009D0ED1">
        <w:rPr>
          <w:rFonts w:cstheme="minorHAnsi"/>
          <w:sz w:val="22"/>
        </w:rPr>
        <w:t xml:space="preserve"> co oznacza </w:t>
      </w:r>
      <w:r w:rsidR="009D3365">
        <w:rPr>
          <w:rFonts w:cstheme="minorHAnsi"/>
          <w:sz w:val="22"/>
        </w:rPr>
        <w:t>spadek</w:t>
      </w:r>
      <w:r w:rsidR="009D3365" w:rsidRPr="009D0ED1">
        <w:rPr>
          <w:rFonts w:cstheme="minorHAnsi"/>
          <w:sz w:val="22"/>
        </w:rPr>
        <w:t xml:space="preserve"> </w:t>
      </w:r>
      <w:r w:rsidRPr="009D0ED1">
        <w:rPr>
          <w:rFonts w:cstheme="minorHAnsi"/>
          <w:sz w:val="22"/>
        </w:rPr>
        <w:t>o 0,</w:t>
      </w:r>
      <w:r w:rsidR="009D3365">
        <w:rPr>
          <w:rFonts w:cstheme="minorHAnsi"/>
          <w:sz w:val="22"/>
        </w:rPr>
        <w:t>3</w:t>
      </w:r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p.p</w:t>
      </w:r>
      <w:proofErr w:type="spellEnd"/>
      <w:r>
        <w:rPr>
          <w:rFonts w:cstheme="minorHAnsi"/>
          <w:sz w:val="22"/>
        </w:rPr>
        <w:t xml:space="preserve">. r/r. </w:t>
      </w:r>
    </w:p>
    <w:p w14:paraId="1F55D82F" w14:textId="77777777" w:rsidR="009D0ED1" w:rsidRPr="009D0ED1" w:rsidRDefault="009D0ED1" w:rsidP="009D0ED1">
      <w:pPr>
        <w:jc w:val="both"/>
        <w:rPr>
          <w:rFonts w:cstheme="minorHAnsi"/>
          <w:sz w:val="22"/>
        </w:rPr>
      </w:pPr>
    </w:p>
    <w:p w14:paraId="3B535053" w14:textId="2E3081FF" w:rsidR="009D0ED1" w:rsidRPr="009D0ED1" w:rsidRDefault="00DD3D68" w:rsidP="009D0ED1">
      <w:pPr>
        <w:jc w:val="both"/>
        <w:rPr>
          <w:rFonts w:cstheme="minorHAnsi"/>
          <w:sz w:val="22"/>
        </w:rPr>
      </w:pPr>
      <w:r w:rsidRPr="00846B95">
        <w:rPr>
          <w:rFonts w:cstheme="minorHAnsi"/>
          <w:sz w:val="22"/>
        </w:rPr>
        <w:t xml:space="preserve">Stabilna sytuacja </w:t>
      </w:r>
      <w:r>
        <w:rPr>
          <w:rFonts w:cstheme="minorHAnsi"/>
          <w:sz w:val="22"/>
        </w:rPr>
        <w:t xml:space="preserve">w zakresie </w:t>
      </w:r>
      <w:r w:rsidRPr="00846B95">
        <w:rPr>
          <w:rFonts w:cstheme="minorHAnsi"/>
          <w:sz w:val="22"/>
        </w:rPr>
        <w:t>jakości występuje w kredytach ratalnych.</w:t>
      </w:r>
      <w:r>
        <w:rPr>
          <w:rFonts w:cstheme="minorHAnsi"/>
          <w:sz w:val="22"/>
        </w:rPr>
        <w:t xml:space="preserve"> </w:t>
      </w:r>
      <w:r w:rsidRPr="00846B95">
        <w:rPr>
          <w:rFonts w:cstheme="minorHAnsi"/>
          <w:sz w:val="22"/>
        </w:rPr>
        <w:t xml:space="preserve">Korzystają z nich wiarygodni kredytobiorcy, poziom szkodowości tego produktu </w:t>
      </w:r>
      <w:r w:rsidR="009D0ED1" w:rsidRPr="009D0ED1">
        <w:rPr>
          <w:rFonts w:cstheme="minorHAnsi"/>
          <w:sz w:val="22"/>
        </w:rPr>
        <w:t>pogorszył się</w:t>
      </w:r>
      <w:r>
        <w:rPr>
          <w:rFonts w:cstheme="minorHAnsi"/>
          <w:sz w:val="22"/>
        </w:rPr>
        <w:t xml:space="preserve"> tylko</w:t>
      </w:r>
      <w:r w:rsidR="009D0ED1" w:rsidRPr="009D0ED1">
        <w:rPr>
          <w:rFonts w:cstheme="minorHAnsi"/>
          <w:sz w:val="22"/>
        </w:rPr>
        <w:t xml:space="preserve"> o 0,</w:t>
      </w:r>
      <w:r w:rsidR="009D3365">
        <w:rPr>
          <w:rFonts w:cstheme="minorHAnsi"/>
          <w:sz w:val="22"/>
        </w:rPr>
        <w:t>2</w:t>
      </w:r>
      <w:r w:rsidR="009D0ED1" w:rsidRPr="009D0ED1">
        <w:rPr>
          <w:rFonts w:cstheme="minorHAnsi"/>
          <w:sz w:val="22"/>
        </w:rPr>
        <w:t xml:space="preserve"> punktu procentowego</w:t>
      </w:r>
      <w:r>
        <w:rPr>
          <w:rFonts w:cstheme="minorHAnsi"/>
          <w:sz w:val="22"/>
        </w:rPr>
        <w:t>. N</w:t>
      </w:r>
      <w:r w:rsidR="009D0ED1" w:rsidRPr="009D0ED1">
        <w:rPr>
          <w:rFonts w:cstheme="minorHAnsi"/>
          <w:sz w:val="22"/>
        </w:rPr>
        <w:t>a koniec grudnia 2023 roku udział kredytów przeterminowanych powyżej 90 dni wynosił 7,</w:t>
      </w:r>
      <w:r w:rsidR="009D3365">
        <w:rPr>
          <w:rFonts w:cstheme="minorHAnsi"/>
          <w:sz w:val="22"/>
        </w:rPr>
        <w:t>0</w:t>
      </w:r>
      <w:r w:rsidR="00F67006">
        <w:rPr>
          <w:rFonts w:cstheme="minorHAnsi"/>
          <w:sz w:val="22"/>
        </w:rPr>
        <w:t xml:space="preserve"> </w:t>
      </w:r>
      <w:r w:rsidR="001F00D3">
        <w:rPr>
          <w:rFonts w:cstheme="minorHAnsi"/>
          <w:sz w:val="22"/>
        </w:rPr>
        <w:t>proc</w:t>
      </w:r>
      <w:r>
        <w:rPr>
          <w:rFonts w:cstheme="minorHAnsi"/>
          <w:sz w:val="22"/>
        </w:rPr>
        <w:t>.</w:t>
      </w:r>
    </w:p>
    <w:p w14:paraId="063D6469" w14:textId="77777777" w:rsidR="009D0ED1" w:rsidRPr="009D0ED1" w:rsidRDefault="009D0ED1" w:rsidP="009D0ED1">
      <w:pPr>
        <w:jc w:val="both"/>
        <w:rPr>
          <w:rFonts w:cstheme="minorHAnsi"/>
          <w:sz w:val="22"/>
        </w:rPr>
      </w:pPr>
    </w:p>
    <w:p w14:paraId="7C41C4F7" w14:textId="6058F5C7" w:rsidR="009D0ED1" w:rsidRPr="009D0ED1" w:rsidRDefault="002E0063" w:rsidP="009D0ED1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Z</w:t>
      </w:r>
      <w:r w:rsidR="009D0ED1" w:rsidRPr="009D0ED1">
        <w:rPr>
          <w:rFonts w:cstheme="minorHAnsi"/>
          <w:sz w:val="22"/>
        </w:rPr>
        <w:t xml:space="preserve"> terminową spłatą</w:t>
      </w:r>
      <w:r>
        <w:rPr>
          <w:rFonts w:cstheme="minorHAnsi"/>
          <w:sz w:val="22"/>
        </w:rPr>
        <w:t xml:space="preserve"> nadal najlepiej radzą sobie kredytobiorcy mieszkaniowi. </w:t>
      </w:r>
      <w:r w:rsidR="009D0ED1" w:rsidRPr="009D0ED1">
        <w:rPr>
          <w:rFonts w:cstheme="minorHAnsi"/>
          <w:sz w:val="22"/>
        </w:rPr>
        <w:t>W ich przypadku wskaźnik udziału kredytów przeterminowanych wyniósł 4,</w:t>
      </w:r>
      <w:r w:rsidR="009D3365">
        <w:rPr>
          <w:rFonts w:cstheme="minorHAnsi"/>
          <w:sz w:val="22"/>
        </w:rPr>
        <w:t>2</w:t>
      </w:r>
      <w:r>
        <w:rPr>
          <w:rFonts w:cstheme="minorHAnsi"/>
          <w:sz w:val="22"/>
        </w:rPr>
        <w:t xml:space="preserve"> proc.</w:t>
      </w:r>
      <w:r w:rsidR="009D0ED1" w:rsidRPr="009D0ED1">
        <w:rPr>
          <w:rFonts w:cstheme="minorHAnsi"/>
          <w:sz w:val="22"/>
        </w:rPr>
        <w:t xml:space="preserve"> na koniec grudnia 2023 roku, co oznacza wzrost o 0,</w:t>
      </w:r>
      <w:r w:rsidR="009D3365">
        <w:rPr>
          <w:rFonts w:cstheme="minorHAnsi"/>
          <w:sz w:val="22"/>
        </w:rPr>
        <w:t>8</w:t>
      </w:r>
      <w:r w:rsidR="009D0ED1" w:rsidRPr="009D0ED1">
        <w:rPr>
          <w:rFonts w:cstheme="minorHAnsi"/>
          <w:sz w:val="22"/>
        </w:rPr>
        <w:t xml:space="preserve"> punktu procentowego w ciągu 12 miesięcy.</w:t>
      </w:r>
    </w:p>
    <w:p w14:paraId="39C69E79" w14:textId="77777777" w:rsidR="00632D79" w:rsidRDefault="00632D79" w:rsidP="009D0ED1">
      <w:pPr>
        <w:jc w:val="both"/>
        <w:rPr>
          <w:rFonts w:cstheme="minorHAnsi"/>
          <w:sz w:val="22"/>
        </w:rPr>
      </w:pPr>
    </w:p>
    <w:p w14:paraId="4277F9BF" w14:textId="2496CC47" w:rsidR="009D0ED1" w:rsidRPr="009D0ED1" w:rsidRDefault="009D0ED1" w:rsidP="009D0ED1">
      <w:pPr>
        <w:jc w:val="both"/>
        <w:rPr>
          <w:rFonts w:cstheme="minorHAnsi"/>
          <w:sz w:val="22"/>
        </w:rPr>
      </w:pPr>
      <w:r w:rsidRPr="009D0ED1">
        <w:rPr>
          <w:rFonts w:cstheme="minorHAnsi"/>
          <w:sz w:val="22"/>
        </w:rPr>
        <w:t xml:space="preserve">Głównym czynnikiem pogorszenia jakości obsługi kredytów mieszkaniowych są kredyty indeksowane i denominowane </w:t>
      </w:r>
      <w:r w:rsidR="00414342">
        <w:rPr>
          <w:rFonts w:cstheme="minorHAnsi"/>
          <w:sz w:val="22"/>
        </w:rPr>
        <w:t>we</w:t>
      </w:r>
      <w:r w:rsidR="00414342" w:rsidRPr="009D0ED1">
        <w:rPr>
          <w:rFonts w:cstheme="minorHAnsi"/>
          <w:sz w:val="22"/>
        </w:rPr>
        <w:t xml:space="preserve"> </w:t>
      </w:r>
      <w:r w:rsidRPr="009D0ED1">
        <w:rPr>
          <w:rFonts w:cstheme="minorHAnsi"/>
          <w:sz w:val="22"/>
        </w:rPr>
        <w:t>frank</w:t>
      </w:r>
      <w:r w:rsidR="00414342">
        <w:rPr>
          <w:rFonts w:cstheme="minorHAnsi"/>
          <w:sz w:val="22"/>
        </w:rPr>
        <w:t>u</w:t>
      </w:r>
      <w:r w:rsidRPr="009D0ED1">
        <w:rPr>
          <w:rFonts w:cstheme="minorHAnsi"/>
          <w:sz w:val="22"/>
        </w:rPr>
        <w:t xml:space="preserve"> </w:t>
      </w:r>
      <w:r w:rsidR="00414342" w:rsidRPr="009D0ED1">
        <w:rPr>
          <w:rFonts w:cstheme="minorHAnsi"/>
          <w:sz w:val="22"/>
        </w:rPr>
        <w:t>szwajcarski</w:t>
      </w:r>
      <w:r w:rsidR="00414342">
        <w:rPr>
          <w:rFonts w:cstheme="minorHAnsi"/>
          <w:sz w:val="22"/>
        </w:rPr>
        <w:t>m</w:t>
      </w:r>
      <w:r w:rsidRPr="009D0ED1">
        <w:rPr>
          <w:rFonts w:cstheme="minorHAnsi"/>
          <w:sz w:val="22"/>
        </w:rPr>
        <w:t xml:space="preserve">. </w:t>
      </w:r>
      <w:r w:rsidR="00DF3279" w:rsidRPr="009D0ED1">
        <w:rPr>
          <w:rFonts w:cstheme="minorHAnsi"/>
          <w:sz w:val="22"/>
        </w:rPr>
        <w:t>Ich szkodowość wynosi już 10,4</w:t>
      </w:r>
      <w:r w:rsidR="00DF3279">
        <w:rPr>
          <w:rFonts w:cstheme="minorHAnsi"/>
          <w:sz w:val="22"/>
        </w:rPr>
        <w:t xml:space="preserve"> proc. </w:t>
      </w:r>
      <w:r w:rsidR="00DF3279" w:rsidRPr="009D0ED1">
        <w:rPr>
          <w:rFonts w:cstheme="minorHAnsi"/>
          <w:sz w:val="22"/>
        </w:rPr>
        <w:t>wartości kredytów frankowych będących w spłacie. W przypadku kredytów złotówkowych wskaźnik ten wynosi 3,2</w:t>
      </w:r>
      <w:r w:rsidR="00DF3279">
        <w:rPr>
          <w:rFonts w:cstheme="minorHAnsi"/>
          <w:sz w:val="22"/>
        </w:rPr>
        <w:t xml:space="preserve"> proc. Nadal nieuregulowane </w:t>
      </w:r>
      <w:r w:rsidR="00DF3279" w:rsidRPr="009D0ED1">
        <w:rPr>
          <w:rFonts w:cstheme="minorHAnsi"/>
          <w:sz w:val="22"/>
        </w:rPr>
        <w:t>kwestie prawne</w:t>
      </w:r>
      <w:r w:rsidR="00DF3279">
        <w:rPr>
          <w:rFonts w:cstheme="minorHAnsi"/>
          <w:sz w:val="22"/>
        </w:rPr>
        <w:t xml:space="preserve"> dotyczące kredytów frankowych,</w:t>
      </w:r>
      <w:r w:rsidR="00DF3279" w:rsidRPr="009D0ED1">
        <w:rPr>
          <w:rFonts w:cstheme="minorHAnsi"/>
          <w:sz w:val="22"/>
        </w:rPr>
        <w:t xml:space="preserve"> </w:t>
      </w:r>
      <w:r w:rsidR="00DF3279">
        <w:rPr>
          <w:rFonts w:cstheme="minorHAnsi"/>
          <w:sz w:val="22"/>
        </w:rPr>
        <w:t xml:space="preserve">wpływają na </w:t>
      </w:r>
      <w:r w:rsidR="00DF3279" w:rsidRPr="009D0ED1">
        <w:rPr>
          <w:rFonts w:cstheme="minorHAnsi"/>
          <w:sz w:val="22"/>
        </w:rPr>
        <w:t xml:space="preserve">zróżnicowanie jakości obsługi </w:t>
      </w:r>
      <w:r w:rsidR="00DF3279">
        <w:rPr>
          <w:rFonts w:cstheme="minorHAnsi"/>
          <w:sz w:val="22"/>
        </w:rPr>
        <w:t xml:space="preserve">w tym segmencie kredytowym. </w:t>
      </w:r>
    </w:p>
    <w:p w14:paraId="0FB4E95C" w14:textId="77777777" w:rsidR="009D0ED1" w:rsidRPr="009D0ED1" w:rsidRDefault="009D0ED1" w:rsidP="009D0ED1">
      <w:pPr>
        <w:jc w:val="both"/>
        <w:rPr>
          <w:rFonts w:cstheme="minorHAnsi"/>
          <w:sz w:val="22"/>
        </w:rPr>
      </w:pPr>
    </w:p>
    <w:p w14:paraId="50C6119C" w14:textId="6E1A3AB3" w:rsidR="00162ED9" w:rsidRDefault="00300D45" w:rsidP="00300D45">
      <w:pPr>
        <w:jc w:val="both"/>
        <w:rPr>
          <w:sz w:val="22"/>
        </w:rPr>
      </w:pPr>
      <w:r>
        <w:rPr>
          <w:sz w:val="22"/>
        </w:rPr>
        <w:t xml:space="preserve">Dodatkowo, na jakość portfela </w:t>
      </w:r>
      <w:r w:rsidR="00602D2D" w:rsidRPr="00602D2D">
        <w:rPr>
          <w:sz w:val="22"/>
        </w:rPr>
        <w:t>złotowych</w:t>
      </w:r>
      <w:r>
        <w:rPr>
          <w:sz w:val="22"/>
        </w:rPr>
        <w:t xml:space="preserve"> </w:t>
      </w:r>
      <w:r w:rsidR="00162ED9">
        <w:rPr>
          <w:sz w:val="22"/>
        </w:rPr>
        <w:t xml:space="preserve">kredytów mieszkaniowych wpływ </w:t>
      </w:r>
      <w:r>
        <w:rPr>
          <w:sz w:val="22"/>
        </w:rPr>
        <w:t xml:space="preserve">miały </w:t>
      </w:r>
      <w:r w:rsidR="00602D2D" w:rsidRPr="00602D2D">
        <w:rPr>
          <w:sz w:val="22"/>
        </w:rPr>
        <w:t>wakacj</w:t>
      </w:r>
      <w:r>
        <w:rPr>
          <w:sz w:val="22"/>
        </w:rPr>
        <w:t>e</w:t>
      </w:r>
      <w:r w:rsidR="00602D2D" w:rsidRPr="00602D2D">
        <w:rPr>
          <w:sz w:val="22"/>
        </w:rPr>
        <w:t xml:space="preserve"> kredytow</w:t>
      </w:r>
      <w:r>
        <w:rPr>
          <w:sz w:val="22"/>
        </w:rPr>
        <w:t>e</w:t>
      </w:r>
      <w:r w:rsidR="00162ED9">
        <w:rPr>
          <w:sz w:val="22"/>
        </w:rPr>
        <w:t xml:space="preserve">. </w:t>
      </w:r>
      <w:r w:rsidR="00162ED9" w:rsidRPr="00162ED9">
        <w:rPr>
          <w:sz w:val="22"/>
        </w:rPr>
        <w:t xml:space="preserve">Według </w:t>
      </w:r>
      <w:r w:rsidR="00162ED9">
        <w:rPr>
          <w:sz w:val="22"/>
        </w:rPr>
        <w:t>danych BIK</w:t>
      </w:r>
      <w:r w:rsidR="00162ED9" w:rsidRPr="00162ED9">
        <w:rPr>
          <w:sz w:val="22"/>
        </w:rPr>
        <w:t xml:space="preserve">, </w:t>
      </w:r>
      <w:r w:rsidR="009D3365">
        <w:rPr>
          <w:sz w:val="22"/>
        </w:rPr>
        <w:t>w całym okresie ich funkcjonowania</w:t>
      </w:r>
      <w:r w:rsidR="00414342">
        <w:rPr>
          <w:sz w:val="22"/>
        </w:rPr>
        <w:t>,</w:t>
      </w:r>
      <w:r w:rsidR="009D3365">
        <w:rPr>
          <w:sz w:val="22"/>
        </w:rPr>
        <w:t xml:space="preserve"> wakacje </w:t>
      </w:r>
      <w:r w:rsidR="00162ED9" w:rsidRPr="00162ED9">
        <w:rPr>
          <w:sz w:val="22"/>
        </w:rPr>
        <w:t>obję</w:t>
      </w:r>
      <w:r w:rsidR="00162ED9">
        <w:rPr>
          <w:sz w:val="22"/>
        </w:rPr>
        <w:t>ły</w:t>
      </w:r>
      <w:r w:rsidR="00162ED9" w:rsidRPr="00162ED9">
        <w:rPr>
          <w:sz w:val="22"/>
        </w:rPr>
        <w:t xml:space="preserve"> 1,157 miliona rachunków </w:t>
      </w:r>
      <w:r w:rsidR="00162ED9" w:rsidRPr="00162ED9">
        <w:rPr>
          <w:sz w:val="22"/>
        </w:rPr>
        <w:lastRenderedPageBreak/>
        <w:t>kredytowych na kwotę 286 miliardów złotych</w:t>
      </w:r>
      <w:r w:rsidR="00162ED9">
        <w:rPr>
          <w:sz w:val="22"/>
        </w:rPr>
        <w:t xml:space="preserve">. </w:t>
      </w:r>
      <w:r w:rsidR="00162ED9" w:rsidRPr="00162ED9">
        <w:rPr>
          <w:sz w:val="22"/>
        </w:rPr>
        <w:t>Wakacje kredytowe wpłynęły na jakość portfela kredytów złotowych, ograniczając możliwy wzrost szkodowości kredytów złotówkowych udzielonych przed czerwcem 2022 roku</w:t>
      </w:r>
      <w:r w:rsidR="00162ED9">
        <w:rPr>
          <w:sz w:val="22"/>
        </w:rPr>
        <w:t>.</w:t>
      </w:r>
    </w:p>
    <w:p w14:paraId="6FC54699" w14:textId="77777777" w:rsidR="00632D79" w:rsidRDefault="00632D79" w:rsidP="00C7269D">
      <w:pPr>
        <w:jc w:val="both"/>
        <w:rPr>
          <w:rFonts w:cstheme="minorHAnsi"/>
          <w:sz w:val="22"/>
        </w:rPr>
      </w:pPr>
    </w:p>
    <w:p w14:paraId="7EFB6C89" w14:textId="5BA2CAA7" w:rsidR="00191EFE" w:rsidRDefault="00C7269D" w:rsidP="00191EFE">
      <w:pPr>
        <w:jc w:val="both"/>
        <w:rPr>
          <w:sz w:val="22"/>
        </w:rPr>
      </w:pPr>
      <w:r>
        <w:rPr>
          <w:sz w:val="22"/>
        </w:rPr>
        <w:t xml:space="preserve">Profil kredytobiorcy, </w:t>
      </w:r>
      <w:r w:rsidR="00191EFE">
        <w:rPr>
          <w:sz w:val="22"/>
        </w:rPr>
        <w:t>korzysta</w:t>
      </w:r>
      <w:r>
        <w:rPr>
          <w:sz w:val="22"/>
        </w:rPr>
        <w:t xml:space="preserve">jącego </w:t>
      </w:r>
      <w:r w:rsidR="00191EFE">
        <w:rPr>
          <w:sz w:val="22"/>
        </w:rPr>
        <w:t>z wakacji kredytowych</w:t>
      </w:r>
    </w:p>
    <w:p w14:paraId="40536DA9" w14:textId="77777777" w:rsidR="00C7269D" w:rsidRDefault="00C7269D" w:rsidP="00191EFE">
      <w:pPr>
        <w:jc w:val="both"/>
        <w:rPr>
          <w:sz w:val="22"/>
        </w:rPr>
      </w:pPr>
    </w:p>
    <w:p w14:paraId="657DCF50" w14:textId="5892BF32" w:rsidR="00A86EE9" w:rsidRDefault="00191EFE" w:rsidP="00191EFE">
      <w:pPr>
        <w:jc w:val="both"/>
        <w:rPr>
          <w:sz w:val="22"/>
        </w:rPr>
      </w:pPr>
      <w:r>
        <w:rPr>
          <w:sz w:val="22"/>
        </w:rPr>
        <w:t>Wa</w:t>
      </w:r>
      <w:r w:rsidRPr="00191EFE">
        <w:rPr>
          <w:sz w:val="22"/>
        </w:rPr>
        <w:t>kacje kredytowe były bardziej popularne wśród młodych kredytobiorców zamieszkujących większe miasta. Najwięcej osób korzystających z wakacji kredytowych to osoby w wieku 25-34 lat, wśród których 82,2</w:t>
      </w:r>
      <w:r w:rsidR="00C7269D">
        <w:rPr>
          <w:sz w:val="22"/>
        </w:rPr>
        <w:t xml:space="preserve"> proc. </w:t>
      </w:r>
      <w:r w:rsidRPr="00191EFE">
        <w:rPr>
          <w:sz w:val="22"/>
        </w:rPr>
        <w:t xml:space="preserve">uprawnionych skorzystało z tej </w:t>
      </w:r>
      <w:proofErr w:type="spellStart"/>
      <w:r w:rsidR="00A86EE9">
        <w:rPr>
          <w:sz w:val="22"/>
        </w:rPr>
        <w:t>możliwości</w:t>
      </w:r>
      <w:r w:rsidR="00C7269D">
        <w:rPr>
          <w:sz w:val="22"/>
        </w:rPr>
        <w:t>.W</w:t>
      </w:r>
      <w:proofErr w:type="spellEnd"/>
      <w:r w:rsidR="00C7269D">
        <w:rPr>
          <w:sz w:val="22"/>
        </w:rPr>
        <w:t xml:space="preserve"> grupie osób za</w:t>
      </w:r>
      <w:r w:rsidRPr="00191EFE">
        <w:rPr>
          <w:sz w:val="22"/>
        </w:rPr>
        <w:t>mieszkujących miasta pow</w:t>
      </w:r>
      <w:r w:rsidR="009D3365">
        <w:rPr>
          <w:sz w:val="22"/>
        </w:rPr>
        <w:t>yżej</w:t>
      </w:r>
      <w:r w:rsidRPr="00191EFE">
        <w:rPr>
          <w:sz w:val="22"/>
        </w:rPr>
        <w:t xml:space="preserve"> 500 tysięcy</w:t>
      </w:r>
      <w:r w:rsidR="009D3365">
        <w:rPr>
          <w:sz w:val="22"/>
        </w:rPr>
        <w:t xml:space="preserve"> mieszkańców</w:t>
      </w:r>
      <w:r w:rsidRPr="00191EFE">
        <w:rPr>
          <w:sz w:val="22"/>
        </w:rPr>
        <w:t>, z wakacji kredytowych skorzystało 78,4</w:t>
      </w:r>
      <w:r w:rsidR="00C7269D">
        <w:rPr>
          <w:sz w:val="22"/>
        </w:rPr>
        <w:t xml:space="preserve"> proc.</w:t>
      </w:r>
      <w:r w:rsidRPr="00191EFE">
        <w:rPr>
          <w:sz w:val="22"/>
        </w:rPr>
        <w:t xml:space="preserve"> uprawnionych</w:t>
      </w:r>
      <w:r w:rsidR="00C7269D">
        <w:rPr>
          <w:sz w:val="22"/>
        </w:rPr>
        <w:t>.</w:t>
      </w:r>
      <w:r w:rsidR="001C3783">
        <w:rPr>
          <w:sz w:val="22"/>
        </w:rPr>
        <w:t xml:space="preserve"> </w:t>
      </w:r>
      <w:r w:rsidRPr="00191EFE">
        <w:rPr>
          <w:sz w:val="22"/>
        </w:rPr>
        <w:t xml:space="preserve">Wakacje kredytowe dotyczyły kredytów wysokokwotowych zaciąganych </w:t>
      </w:r>
      <w:r w:rsidR="00C7269D">
        <w:rPr>
          <w:sz w:val="22"/>
        </w:rPr>
        <w:t xml:space="preserve">głównie w </w:t>
      </w:r>
      <w:r w:rsidRPr="00191EFE">
        <w:rPr>
          <w:sz w:val="22"/>
        </w:rPr>
        <w:t xml:space="preserve">okresie niskich stóp procentowych. </w:t>
      </w:r>
      <w:r w:rsidR="00C7269D">
        <w:rPr>
          <w:sz w:val="22"/>
        </w:rPr>
        <w:t xml:space="preserve">Aż 82 proc. kredytów z lat </w:t>
      </w:r>
      <w:r w:rsidRPr="00191EFE">
        <w:rPr>
          <w:sz w:val="22"/>
        </w:rPr>
        <w:t xml:space="preserve">2020-2021 zostało objętych </w:t>
      </w:r>
      <w:r w:rsidR="00C7269D">
        <w:rPr>
          <w:sz w:val="22"/>
        </w:rPr>
        <w:t>„</w:t>
      </w:r>
      <w:r w:rsidRPr="00191EFE">
        <w:rPr>
          <w:sz w:val="22"/>
        </w:rPr>
        <w:t>wakacjami</w:t>
      </w:r>
      <w:r w:rsidR="00C7269D">
        <w:rPr>
          <w:sz w:val="22"/>
        </w:rPr>
        <w:t xml:space="preserve">”. </w:t>
      </w:r>
      <w:r w:rsidR="001C3783">
        <w:rPr>
          <w:sz w:val="22"/>
        </w:rPr>
        <w:t xml:space="preserve"> </w:t>
      </w:r>
      <w:r w:rsidR="00A86EE9">
        <w:rPr>
          <w:sz w:val="22"/>
        </w:rPr>
        <w:t xml:space="preserve">Warto dodać, że osoby, które skorzystały z wakacji kredytowych, zaciągnęły </w:t>
      </w:r>
      <w:r w:rsidR="0048455C">
        <w:rPr>
          <w:sz w:val="22"/>
        </w:rPr>
        <w:t xml:space="preserve">w 2023 r. 24 mld zł </w:t>
      </w:r>
      <w:r w:rsidR="00A86EE9">
        <w:rPr>
          <w:sz w:val="22"/>
        </w:rPr>
        <w:t>nowych kredytów i pożyczek</w:t>
      </w:r>
      <w:r w:rsidR="0048455C">
        <w:rPr>
          <w:sz w:val="22"/>
        </w:rPr>
        <w:t>.</w:t>
      </w:r>
      <w:r w:rsidR="00A86EE9">
        <w:rPr>
          <w:sz w:val="22"/>
        </w:rPr>
        <w:t xml:space="preserve"> </w:t>
      </w:r>
    </w:p>
    <w:p w14:paraId="7268AC8C" w14:textId="77777777" w:rsidR="006470E9" w:rsidRDefault="006470E9" w:rsidP="00191EFE">
      <w:pPr>
        <w:jc w:val="both"/>
        <w:rPr>
          <w:sz w:val="22"/>
        </w:rPr>
      </w:pPr>
    </w:p>
    <w:p w14:paraId="0B13527B" w14:textId="2A4439E4" w:rsidR="006470E9" w:rsidRDefault="006470E9" w:rsidP="006470E9">
      <w:pPr>
        <w:jc w:val="both"/>
        <w:rPr>
          <w:rFonts w:cstheme="minorHAnsi"/>
          <w:sz w:val="22"/>
        </w:rPr>
      </w:pPr>
      <w:r w:rsidRPr="00980CDA">
        <w:rPr>
          <w:rFonts w:cstheme="minorHAnsi"/>
          <w:sz w:val="22"/>
        </w:rPr>
        <w:t>Udział wartościowy kredytów przeterminowanych pow</w:t>
      </w:r>
      <w:r>
        <w:rPr>
          <w:rFonts w:cstheme="minorHAnsi"/>
          <w:sz w:val="22"/>
        </w:rPr>
        <w:t>yżej</w:t>
      </w:r>
      <w:r w:rsidRPr="00980CDA">
        <w:rPr>
          <w:rFonts w:cstheme="minorHAnsi"/>
          <w:sz w:val="22"/>
        </w:rPr>
        <w:t xml:space="preserve"> 90 dni, w relacji do wartości wszystkich czynnych kredytów (czyli wskaźnik NPL</w:t>
      </w:r>
      <w:r w:rsidR="00C937AE">
        <w:rPr>
          <w:rFonts w:cstheme="minorHAnsi"/>
          <w:sz w:val="22"/>
        </w:rPr>
        <w:t xml:space="preserve">, Non Performing </w:t>
      </w:r>
      <w:proofErr w:type="spellStart"/>
      <w:r w:rsidR="00C937AE">
        <w:rPr>
          <w:rFonts w:cstheme="minorHAnsi"/>
          <w:sz w:val="22"/>
        </w:rPr>
        <w:t>Loans</w:t>
      </w:r>
      <w:proofErr w:type="spellEnd"/>
      <w:r w:rsidRPr="00980CDA">
        <w:rPr>
          <w:rFonts w:cstheme="minorHAnsi"/>
          <w:sz w:val="22"/>
        </w:rPr>
        <w:t xml:space="preserve">) wyniósł </w:t>
      </w:r>
      <w:r>
        <w:rPr>
          <w:rFonts w:cstheme="minorHAnsi"/>
          <w:sz w:val="22"/>
        </w:rPr>
        <w:t xml:space="preserve">dla całego portfela kredytów </w:t>
      </w:r>
      <w:r w:rsidRPr="00980CDA">
        <w:rPr>
          <w:rFonts w:cstheme="minorHAnsi"/>
          <w:sz w:val="22"/>
        </w:rPr>
        <w:t>na koniec grudnia 202</w:t>
      </w:r>
      <w:r>
        <w:rPr>
          <w:rFonts w:cstheme="minorHAnsi"/>
          <w:sz w:val="22"/>
        </w:rPr>
        <w:t>3</w:t>
      </w:r>
      <w:r w:rsidRPr="00980CDA">
        <w:rPr>
          <w:rFonts w:cstheme="minorHAnsi"/>
          <w:sz w:val="22"/>
        </w:rPr>
        <w:t xml:space="preserve"> r.</w:t>
      </w:r>
      <w:r>
        <w:rPr>
          <w:rFonts w:cstheme="minorHAnsi"/>
          <w:sz w:val="22"/>
        </w:rPr>
        <w:t xml:space="preserve">5,9 </w:t>
      </w:r>
      <w:r w:rsidRPr="00DD3D68">
        <w:rPr>
          <w:rFonts w:cstheme="minorHAnsi"/>
          <w:sz w:val="22"/>
        </w:rPr>
        <w:t xml:space="preserve"> proc</w:t>
      </w:r>
      <w:r w:rsidRPr="00980CDA">
        <w:rPr>
          <w:rFonts w:cstheme="minorHAnsi"/>
          <w:sz w:val="22"/>
        </w:rPr>
        <w:t>. (</w:t>
      </w:r>
      <w:r>
        <w:rPr>
          <w:rFonts w:cstheme="minorHAnsi"/>
          <w:sz w:val="22"/>
        </w:rPr>
        <w:t xml:space="preserve">to więcej </w:t>
      </w:r>
      <w:r w:rsidRPr="00DD3D68">
        <w:rPr>
          <w:rFonts w:cstheme="minorHAnsi"/>
          <w:sz w:val="22"/>
        </w:rPr>
        <w:t xml:space="preserve">o 0,6 </w:t>
      </w:r>
      <w:proofErr w:type="spellStart"/>
      <w:r w:rsidRPr="00DD3D68">
        <w:rPr>
          <w:rFonts w:cstheme="minorHAnsi"/>
          <w:sz w:val="22"/>
        </w:rPr>
        <w:t>p.p</w:t>
      </w:r>
      <w:proofErr w:type="spellEnd"/>
      <w:r w:rsidRPr="00DD3D68">
        <w:rPr>
          <w:rFonts w:cstheme="minorHAnsi"/>
          <w:sz w:val="22"/>
        </w:rPr>
        <w:t>. niż w grudniu 2022 r</w:t>
      </w:r>
      <w:r w:rsidRPr="00980CDA">
        <w:rPr>
          <w:rFonts w:cstheme="minorHAnsi"/>
          <w:sz w:val="22"/>
        </w:rPr>
        <w:t>).</w:t>
      </w:r>
    </w:p>
    <w:p w14:paraId="3EFA2D3A" w14:textId="77777777" w:rsidR="00191EFE" w:rsidRDefault="00191EFE" w:rsidP="00300D45">
      <w:pPr>
        <w:jc w:val="both"/>
        <w:rPr>
          <w:sz w:val="22"/>
        </w:rPr>
      </w:pPr>
    </w:p>
    <w:p w14:paraId="2CE34176" w14:textId="77777777" w:rsidR="005F74B8" w:rsidRDefault="005F74B8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B5FDB02" w14:textId="5DF21C7E" w:rsidR="00FB22EA" w:rsidRPr="00D61CB3" w:rsidRDefault="00FB22EA" w:rsidP="00FB22EA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1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1"/>
      <w:r w:rsidRPr="00D61CB3">
        <w:rPr>
          <w:rFonts w:cstheme="minorHAnsi"/>
          <w:color w:val="595959"/>
          <w:sz w:val="16"/>
          <w:szCs w:val="16"/>
        </w:rPr>
        <w:t xml:space="preserve">, udostępniając bezpieczny system wymiany informacji kredytowych i gospodarczych oraz nowatorskie rozwiązania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antyfraudowe</w:t>
      </w:r>
      <w:proofErr w:type="spellEnd"/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9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0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1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antyfraudowe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w portfolio BIK to: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Antyfraudowa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BIK,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Blockchain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Cyber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Fraud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Detection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oraz nowo budowana Platforma Biometrii Behawioralnej. BIK aktywnie  wspiera innowacje, </w:t>
      </w:r>
      <w:r w:rsidRPr="00D61CB3">
        <w:rPr>
          <w:rFonts w:cstheme="minorHAnsi"/>
          <w:color w:val="595959"/>
          <w:sz w:val="16"/>
          <w:szCs w:val="16"/>
        </w:rPr>
        <w:t xml:space="preserve">adresowane do przedsiębiorców z sektora finansów, a także innych segmentów rynku, startupów,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fintechów</w:t>
      </w:r>
      <w:proofErr w:type="spellEnd"/>
      <w:r w:rsidRPr="00D61CB3">
        <w:rPr>
          <w:rFonts w:cstheme="minorHAnsi"/>
          <w:color w:val="595959"/>
          <w:sz w:val="16"/>
          <w:szCs w:val="16"/>
        </w:rPr>
        <w:t xml:space="preserve">.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pozabankowych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>. Baza BIK zawiera informacje o 1</w:t>
      </w:r>
      <w:r w:rsidR="000A5B95">
        <w:rPr>
          <w:rFonts w:cstheme="minorHAnsi"/>
          <w:bCs/>
          <w:color w:val="595959"/>
          <w:sz w:val="16"/>
          <w:szCs w:val="16"/>
        </w:rPr>
        <w:t>77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rachunków należących do 25 mln klientów indywidualnych oraz </w:t>
      </w:r>
      <w:r w:rsidR="000A5B95">
        <w:rPr>
          <w:rFonts w:cstheme="minorHAnsi"/>
          <w:bCs/>
          <w:color w:val="595959"/>
          <w:sz w:val="16"/>
          <w:szCs w:val="16"/>
        </w:rPr>
        <w:t>5,5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firm, w tym o </w:t>
      </w:r>
      <w:r w:rsidR="000A5B95">
        <w:rPr>
          <w:rFonts w:cstheme="minorHAnsi"/>
          <w:bCs/>
          <w:color w:val="595959"/>
          <w:sz w:val="16"/>
          <w:szCs w:val="16"/>
        </w:rPr>
        <w:t>1,8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tys.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mikroprzedsiębiorców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prowadzących działalność gospodarczą. BIK posiada najwyższe kompetencje w zakresie </w:t>
      </w:r>
      <w:hyperlink r:id="rId12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2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2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13A5D52E" w14:textId="77777777" w:rsidR="001A18BA" w:rsidRPr="001A18BA" w:rsidRDefault="001A18BA" w:rsidP="001A18BA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5BEFFC68" w14:textId="77777777" w:rsidR="001A18BA" w:rsidRPr="001A18BA" w:rsidRDefault="001A18BA" w:rsidP="001A18BA">
      <w:pPr>
        <w:jc w:val="both"/>
        <w:rPr>
          <w:rFonts w:cstheme="minorHAnsi"/>
          <w:b/>
          <w:color w:val="595959"/>
          <w:sz w:val="16"/>
          <w:szCs w:val="16"/>
        </w:rPr>
      </w:pPr>
      <w:r w:rsidRPr="001A18BA">
        <w:rPr>
          <w:rFonts w:cstheme="minorHAnsi"/>
          <w:b/>
          <w:color w:val="595959"/>
          <w:sz w:val="16"/>
          <w:szCs w:val="16"/>
        </w:rPr>
        <w:t>Kontakt dla mediów:</w:t>
      </w:r>
    </w:p>
    <w:p w14:paraId="20B3128D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Aleksandra Stankiewicz-Billewicz</w:t>
      </w:r>
    </w:p>
    <w:p w14:paraId="10DB6CDD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 xml:space="preserve">Biuro prasowe BIK </w:t>
      </w:r>
    </w:p>
    <w:p w14:paraId="4CEC1242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tel.:     + 48 22 348 4131</w:t>
      </w:r>
    </w:p>
    <w:p w14:paraId="17853BC1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kom.:  + 48 512 164 131</w:t>
      </w:r>
    </w:p>
    <w:p w14:paraId="6D52236B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 xml:space="preserve">aleksandra.stankiewicz-billewicz@bik.pl </w:t>
      </w:r>
    </w:p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E53739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07DD" w14:textId="77777777" w:rsidR="00D178EF" w:rsidRDefault="00D178EF" w:rsidP="00866834">
      <w:r>
        <w:separator/>
      </w:r>
    </w:p>
    <w:p w14:paraId="451D630E" w14:textId="77777777" w:rsidR="00D178EF" w:rsidRDefault="00D178EF"/>
  </w:endnote>
  <w:endnote w:type="continuationSeparator" w:id="0">
    <w:p w14:paraId="7AF617CB" w14:textId="77777777" w:rsidR="00D178EF" w:rsidRDefault="00D178EF" w:rsidP="00866834">
      <w:r>
        <w:continuationSeparator/>
      </w:r>
    </w:p>
    <w:p w14:paraId="4DFBB471" w14:textId="77777777" w:rsidR="00D178EF" w:rsidRDefault="00D17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9262" w14:textId="77777777" w:rsidR="001A18BA" w:rsidRDefault="001A18BA" w:rsidP="001A18BA">
    <w:pPr>
      <w:pStyle w:val="BIK-Stopka"/>
      <w:rPr>
        <w:sz w:val="13"/>
        <w:szCs w:val="13"/>
      </w:rPr>
    </w:pPr>
    <w:r>
      <w:rPr>
        <w:sz w:val="13"/>
        <w:szCs w:val="13"/>
      </w:rPr>
      <w:t xml:space="preserve">Klauzula informacyjna: </w:t>
    </w:r>
  </w:p>
  <w:p w14:paraId="2BF4FC4B" w14:textId="01DD3DD5" w:rsidR="001A18BA" w:rsidRPr="001A18BA" w:rsidRDefault="001A18BA" w:rsidP="001A18BA">
    <w:pPr>
      <w:pStyle w:val="BIK-Stopka"/>
      <w:jc w:val="both"/>
      <w:rPr>
        <w:sz w:val="13"/>
        <w:szCs w:val="13"/>
      </w:rPr>
    </w:pPr>
    <w:r w:rsidRPr="001A18BA">
      <w:rPr>
        <w:sz w:val="13"/>
        <w:szCs w:val="13"/>
      </w:rPr>
      <w:t>Informacje statystyczne przedstawione w materiale wynikają z aktualnego stanu bazy danych BIK, która opiera się na danych przekazywanych BIK przez instytucje finansowe. Dane gromadzone</w:t>
    </w:r>
    <w:r>
      <w:rPr>
        <w:sz w:val="13"/>
        <w:szCs w:val="13"/>
      </w:rPr>
      <w:t xml:space="preserve"> </w:t>
    </w:r>
    <w:r w:rsidRPr="001A18BA">
      <w:rPr>
        <w:sz w:val="13"/>
        <w:szCs w:val="13"/>
      </w:rPr>
      <w:t>w bazie BIK mogą być przedmiotem aktualizacji przez instytucje finansowe, które są ich właścicielami. BIK zastrzega, że taka aktualizacja może obejmować również dane historyczne, objęte</w:t>
    </w:r>
    <w:r>
      <w:rPr>
        <w:sz w:val="13"/>
        <w:szCs w:val="13"/>
      </w:rPr>
      <w:t xml:space="preserve"> </w:t>
    </w:r>
    <w:r w:rsidRPr="001A18BA">
      <w:rPr>
        <w:sz w:val="13"/>
        <w:szCs w:val="13"/>
      </w:rPr>
      <w:t xml:space="preserve">już publikowanymi informacjami, co może spowodować zmianę wartości danych historycznych. BIK dokłada wszelkiej staranności, by dane BIK używane do przygotowania opracowania, były kompletne i aktualne, jednakże nie ponosi żadnej odpowiedzialności za decyzje biznesowe podejmowane na podstawie niniejszych informacji. </w:t>
    </w:r>
  </w:p>
  <w:p w14:paraId="69784DDC" w14:textId="2F913D2A" w:rsidR="00996627" w:rsidRPr="00725618" w:rsidRDefault="00996627" w:rsidP="001A18BA">
    <w:pPr>
      <w:pStyle w:val="BIK-Stopka"/>
      <w:jc w:val="both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D7891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D7891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5807" w14:textId="77777777" w:rsidR="00D178EF" w:rsidRDefault="00D178EF" w:rsidP="00866834">
      <w:r>
        <w:separator/>
      </w:r>
    </w:p>
    <w:p w14:paraId="655CDFE1" w14:textId="77777777" w:rsidR="00D178EF" w:rsidRDefault="00D178EF"/>
  </w:footnote>
  <w:footnote w:type="continuationSeparator" w:id="0">
    <w:p w14:paraId="6E8BC7A1" w14:textId="77777777" w:rsidR="00D178EF" w:rsidRDefault="00D178EF" w:rsidP="00866834">
      <w:r>
        <w:continuationSeparator/>
      </w:r>
    </w:p>
    <w:p w14:paraId="03766793" w14:textId="77777777" w:rsidR="00D178EF" w:rsidRDefault="00D178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4144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09244E"/>
    <w:multiLevelType w:val="hybridMultilevel"/>
    <w:tmpl w:val="F786695E"/>
    <w:lvl w:ilvl="0" w:tplc="58868518">
      <w:numFmt w:val="bullet"/>
      <w:lvlText w:val="•"/>
      <w:lvlJc w:val="left"/>
      <w:pPr>
        <w:ind w:left="1068" w:hanging="708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A330E1"/>
    <w:multiLevelType w:val="hybridMultilevel"/>
    <w:tmpl w:val="32A67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3325">
    <w:abstractNumId w:val="9"/>
  </w:num>
  <w:num w:numId="2" w16cid:durableId="1528063078">
    <w:abstractNumId w:val="8"/>
  </w:num>
  <w:num w:numId="3" w16cid:durableId="848523292">
    <w:abstractNumId w:val="3"/>
  </w:num>
  <w:num w:numId="4" w16cid:durableId="342778653">
    <w:abstractNumId w:val="2"/>
  </w:num>
  <w:num w:numId="5" w16cid:durableId="23559305">
    <w:abstractNumId w:val="1"/>
  </w:num>
  <w:num w:numId="6" w16cid:durableId="372002419">
    <w:abstractNumId w:val="0"/>
  </w:num>
  <w:num w:numId="7" w16cid:durableId="942566613">
    <w:abstractNumId w:val="7"/>
  </w:num>
  <w:num w:numId="8" w16cid:durableId="1593009547">
    <w:abstractNumId w:val="6"/>
  </w:num>
  <w:num w:numId="9" w16cid:durableId="96876301">
    <w:abstractNumId w:val="5"/>
  </w:num>
  <w:num w:numId="10" w16cid:durableId="1563833334">
    <w:abstractNumId w:val="4"/>
  </w:num>
  <w:num w:numId="11" w16cid:durableId="958341419">
    <w:abstractNumId w:val="14"/>
  </w:num>
  <w:num w:numId="12" w16cid:durableId="403070983">
    <w:abstractNumId w:val="11"/>
  </w:num>
  <w:num w:numId="13" w16cid:durableId="1161504403">
    <w:abstractNumId w:val="13"/>
  </w:num>
  <w:num w:numId="14" w16cid:durableId="1019501084">
    <w:abstractNumId w:val="10"/>
  </w:num>
  <w:num w:numId="15" w16cid:durableId="4734508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005BF"/>
    <w:rsid w:val="000009DC"/>
    <w:rsid w:val="00010682"/>
    <w:rsid w:val="0001284E"/>
    <w:rsid w:val="000133E5"/>
    <w:rsid w:val="0001644B"/>
    <w:rsid w:val="00016952"/>
    <w:rsid w:val="00021E4C"/>
    <w:rsid w:val="00024264"/>
    <w:rsid w:val="0002470B"/>
    <w:rsid w:val="00036506"/>
    <w:rsid w:val="00040397"/>
    <w:rsid w:val="000407B1"/>
    <w:rsid w:val="00041E7C"/>
    <w:rsid w:val="0004368A"/>
    <w:rsid w:val="00051AF1"/>
    <w:rsid w:val="00052165"/>
    <w:rsid w:val="00060730"/>
    <w:rsid w:val="000640C1"/>
    <w:rsid w:val="00070141"/>
    <w:rsid w:val="00070438"/>
    <w:rsid w:val="000708E9"/>
    <w:rsid w:val="00071530"/>
    <w:rsid w:val="00072440"/>
    <w:rsid w:val="00072781"/>
    <w:rsid w:val="000754FA"/>
    <w:rsid w:val="00075B2B"/>
    <w:rsid w:val="00077647"/>
    <w:rsid w:val="000818D8"/>
    <w:rsid w:val="000937E2"/>
    <w:rsid w:val="000A5B95"/>
    <w:rsid w:val="000A6D78"/>
    <w:rsid w:val="000B0755"/>
    <w:rsid w:val="000C0316"/>
    <w:rsid w:val="000D073E"/>
    <w:rsid w:val="000D2245"/>
    <w:rsid w:val="000D253F"/>
    <w:rsid w:val="000D5993"/>
    <w:rsid w:val="000D7AD5"/>
    <w:rsid w:val="000E3C74"/>
    <w:rsid w:val="000F6269"/>
    <w:rsid w:val="00100DEE"/>
    <w:rsid w:val="00102C68"/>
    <w:rsid w:val="0010407D"/>
    <w:rsid w:val="00107065"/>
    <w:rsid w:val="001102F7"/>
    <w:rsid w:val="001149A6"/>
    <w:rsid w:val="001216FF"/>
    <w:rsid w:val="00125901"/>
    <w:rsid w:val="001266A3"/>
    <w:rsid w:val="0013027F"/>
    <w:rsid w:val="001336D3"/>
    <w:rsid w:val="001354FA"/>
    <w:rsid w:val="00135732"/>
    <w:rsid w:val="00135F83"/>
    <w:rsid w:val="001374D3"/>
    <w:rsid w:val="00140130"/>
    <w:rsid w:val="0014528E"/>
    <w:rsid w:val="001541D7"/>
    <w:rsid w:val="00160DCE"/>
    <w:rsid w:val="00162D9C"/>
    <w:rsid w:val="00162ED9"/>
    <w:rsid w:val="001661AF"/>
    <w:rsid w:val="00166EB1"/>
    <w:rsid w:val="001718BB"/>
    <w:rsid w:val="00171AC4"/>
    <w:rsid w:val="0017730C"/>
    <w:rsid w:val="00180CCF"/>
    <w:rsid w:val="00183759"/>
    <w:rsid w:val="001844DA"/>
    <w:rsid w:val="00184906"/>
    <w:rsid w:val="00185BCB"/>
    <w:rsid w:val="001872A7"/>
    <w:rsid w:val="00191EFE"/>
    <w:rsid w:val="00192AD1"/>
    <w:rsid w:val="00193AB4"/>
    <w:rsid w:val="00194C6A"/>
    <w:rsid w:val="001A01EF"/>
    <w:rsid w:val="001A1682"/>
    <w:rsid w:val="001A18BA"/>
    <w:rsid w:val="001A2655"/>
    <w:rsid w:val="001A37E7"/>
    <w:rsid w:val="001B043C"/>
    <w:rsid w:val="001B3E2D"/>
    <w:rsid w:val="001C3783"/>
    <w:rsid w:val="001D0DED"/>
    <w:rsid w:val="001D10A7"/>
    <w:rsid w:val="001D1404"/>
    <w:rsid w:val="001D253F"/>
    <w:rsid w:val="001D3412"/>
    <w:rsid w:val="001D3DB9"/>
    <w:rsid w:val="001D3DE7"/>
    <w:rsid w:val="001E4E47"/>
    <w:rsid w:val="001E57A3"/>
    <w:rsid w:val="001F00D3"/>
    <w:rsid w:val="001F597F"/>
    <w:rsid w:val="001F5B54"/>
    <w:rsid w:val="001F6BED"/>
    <w:rsid w:val="002105B8"/>
    <w:rsid w:val="002130E1"/>
    <w:rsid w:val="0022264D"/>
    <w:rsid w:val="002269FF"/>
    <w:rsid w:val="00231524"/>
    <w:rsid w:val="00232CF8"/>
    <w:rsid w:val="00234075"/>
    <w:rsid w:val="00234904"/>
    <w:rsid w:val="00235092"/>
    <w:rsid w:val="0023511B"/>
    <w:rsid w:val="002436C3"/>
    <w:rsid w:val="00250E18"/>
    <w:rsid w:val="00251A65"/>
    <w:rsid w:val="00251D5F"/>
    <w:rsid w:val="00255007"/>
    <w:rsid w:val="00262CC2"/>
    <w:rsid w:val="00263BB5"/>
    <w:rsid w:val="00271B37"/>
    <w:rsid w:val="00280951"/>
    <w:rsid w:val="00281392"/>
    <w:rsid w:val="00282C58"/>
    <w:rsid w:val="0028713B"/>
    <w:rsid w:val="0029160F"/>
    <w:rsid w:val="002959B1"/>
    <w:rsid w:val="0029653B"/>
    <w:rsid w:val="002971C2"/>
    <w:rsid w:val="002A63FD"/>
    <w:rsid w:val="002B3EAC"/>
    <w:rsid w:val="002B3FE4"/>
    <w:rsid w:val="002B5BF2"/>
    <w:rsid w:val="002C3CDB"/>
    <w:rsid w:val="002D190A"/>
    <w:rsid w:val="002D1CE5"/>
    <w:rsid w:val="002D48BE"/>
    <w:rsid w:val="002D4B49"/>
    <w:rsid w:val="002D745D"/>
    <w:rsid w:val="002E0063"/>
    <w:rsid w:val="002E2235"/>
    <w:rsid w:val="002E358A"/>
    <w:rsid w:val="002E3E55"/>
    <w:rsid w:val="002E68B9"/>
    <w:rsid w:val="002E7473"/>
    <w:rsid w:val="002F1502"/>
    <w:rsid w:val="002F2D97"/>
    <w:rsid w:val="002F39DD"/>
    <w:rsid w:val="002F4540"/>
    <w:rsid w:val="002F7017"/>
    <w:rsid w:val="00300D45"/>
    <w:rsid w:val="00300DB3"/>
    <w:rsid w:val="003010B3"/>
    <w:rsid w:val="00301E1C"/>
    <w:rsid w:val="003074BA"/>
    <w:rsid w:val="003148C2"/>
    <w:rsid w:val="00315358"/>
    <w:rsid w:val="0031648A"/>
    <w:rsid w:val="00325875"/>
    <w:rsid w:val="00330995"/>
    <w:rsid w:val="00331554"/>
    <w:rsid w:val="00331748"/>
    <w:rsid w:val="00335F9F"/>
    <w:rsid w:val="00336BCC"/>
    <w:rsid w:val="003446F2"/>
    <w:rsid w:val="00345D3B"/>
    <w:rsid w:val="00346C00"/>
    <w:rsid w:val="003541EB"/>
    <w:rsid w:val="003542C9"/>
    <w:rsid w:val="0035767A"/>
    <w:rsid w:val="0035787B"/>
    <w:rsid w:val="00363C82"/>
    <w:rsid w:val="00364977"/>
    <w:rsid w:val="00364F0D"/>
    <w:rsid w:val="00367755"/>
    <w:rsid w:val="00372135"/>
    <w:rsid w:val="003733E1"/>
    <w:rsid w:val="00374C08"/>
    <w:rsid w:val="003839D6"/>
    <w:rsid w:val="00384B86"/>
    <w:rsid w:val="003853CC"/>
    <w:rsid w:val="003868E5"/>
    <w:rsid w:val="00387C34"/>
    <w:rsid w:val="00393A63"/>
    <w:rsid w:val="003947E9"/>
    <w:rsid w:val="00395740"/>
    <w:rsid w:val="003A00D0"/>
    <w:rsid w:val="003A1A09"/>
    <w:rsid w:val="003A460F"/>
    <w:rsid w:val="003A6B00"/>
    <w:rsid w:val="003C0F79"/>
    <w:rsid w:val="003C5672"/>
    <w:rsid w:val="003C79A3"/>
    <w:rsid w:val="003D13A1"/>
    <w:rsid w:val="003D2D7E"/>
    <w:rsid w:val="003D6539"/>
    <w:rsid w:val="003E4927"/>
    <w:rsid w:val="003E7376"/>
    <w:rsid w:val="003F4BA3"/>
    <w:rsid w:val="003F64AF"/>
    <w:rsid w:val="00401362"/>
    <w:rsid w:val="00401B32"/>
    <w:rsid w:val="00413DA9"/>
    <w:rsid w:val="00414342"/>
    <w:rsid w:val="00414487"/>
    <w:rsid w:val="004146A9"/>
    <w:rsid w:val="0041689E"/>
    <w:rsid w:val="004216FB"/>
    <w:rsid w:val="00421FA2"/>
    <w:rsid w:val="004335ED"/>
    <w:rsid w:val="00434F0B"/>
    <w:rsid w:val="004365E5"/>
    <w:rsid w:val="00444F67"/>
    <w:rsid w:val="004463B6"/>
    <w:rsid w:val="004478B7"/>
    <w:rsid w:val="00451F91"/>
    <w:rsid w:val="004563EB"/>
    <w:rsid w:val="00457C3A"/>
    <w:rsid w:val="004613BB"/>
    <w:rsid w:val="00464740"/>
    <w:rsid w:val="004663AD"/>
    <w:rsid w:val="00474DF1"/>
    <w:rsid w:val="004767B5"/>
    <w:rsid w:val="00481CFA"/>
    <w:rsid w:val="0048408C"/>
    <w:rsid w:val="0048455C"/>
    <w:rsid w:val="00490399"/>
    <w:rsid w:val="004A2397"/>
    <w:rsid w:val="004A24E7"/>
    <w:rsid w:val="004A39F3"/>
    <w:rsid w:val="004B18C0"/>
    <w:rsid w:val="004B4400"/>
    <w:rsid w:val="004B751C"/>
    <w:rsid w:val="004C17A7"/>
    <w:rsid w:val="004C4026"/>
    <w:rsid w:val="004C44D3"/>
    <w:rsid w:val="004C4C22"/>
    <w:rsid w:val="004D6267"/>
    <w:rsid w:val="004D68FB"/>
    <w:rsid w:val="004E7CE1"/>
    <w:rsid w:val="004F00FD"/>
    <w:rsid w:val="004F5805"/>
    <w:rsid w:val="004F5815"/>
    <w:rsid w:val="005000C3"/>
    <w:rsid w:val="0050297C"/>
    <w:rsid w:val="00503E29"/>
    <w:rsid w:val="00507F2B"/>
    <w:rsid w:val="0051176F"/>
    <w:rsid w:val="00513DC6"/>
    <w:rsid w:val="0052170A"/>
    <w:rsid w:val="00526CDD"/>
    <w:rsid w:val="00533908"/>
    <w:rsid w:val="005377DC"/>
    <w:rsid w:val="00540014"/>
    <w:rsid w:val="00541CDA"/>
    <w:rsid w:val="00541DBA"/>
    <w:rsid w:val="00543371"/>
    <w:rsid w:val="00543D89"/>
    <w:rsid w:val="005450F2"/>
    <w:rsid w:val="005468AD"/>
    <w:rsid w:val="00546FD6"/>
    <w:rsid w:val="0055409A"/>
    <w:rsid w:val="00572764"/>
    <w:rsid w:val="00581414"/>
    <w:rsid w:val="005842F8"/>
    <w:rsid w:val="00584732"/>
    <w:rsid w:val="00590159"/>
    <w:rsid w:val="00597A45"/>
    <w:rsid w:val="005A0390"/>
    <w:rsid w:val="005A0391"/>
    <w:rsid w:val="005A0EEF"/>
    <w:rsid w:val="005A3102"/>
    <w:rsid w:val="005A5F6D"/>
    <w:rsid w:val="005A65ED"/>
    <w:rsid w:val="005C0301"/>
    <w:rsid w:val="005C0F42"/>
    <w:rsid w:val="005C7BF8"/>
    <w:rsid w:val="005D030A"/>
    <w:rsid w:val="005D1495"/>
    <w:rsid w:val="005D7891"/>
    <w:rsid w:val="005F0A9A"/>
    <w:rsid w:val="005F17E6"/>
    <w:rsid w:val="005F1C55"/>
    <w:rsid w:val="005F680C"/>
    <w:rsid w:val="005F74B8"/>
    <w:rsid w:val="00600D13"/>
    <w:rsid w:val="00602D2D"/>
    <w:rsid w:val="006059D5"/>
    <w:rsid w:val="00607C77"/>
    <w:rsid w:val="00610A4A"/>
    <w:rsid w:val="0061285D"/>
    <w:rsid w:val="00613BB5"/>
    <w:rsid w:val="00615AC6"/>
    <w:rsid w:val="00620D7B"/>
    <w:rsid w:val="00625B1C"/>
    <w:rsid w:val="00632D79"/>
    <w:rsid w:val="00636328"/>
    <w:rsid w:val="00637C84"/>
    <w:rsid w:val="00644A0E"/>
    <w:rsid w:val="006470E9"/>
    <w:rsid w:val="0065021F"/>
    <w:rsid w:val="0065153E"/>
    <w:rsid w:val="00651B79"/>
    <w:rsid w:val="00652510"/>
    <w:rsid w:val="00652B03"/>
    <w:rsid w:val="0065792E"/>
    <w:rsid w:val="00657B6A"/>
    <w:rsid w:val="0066025B"/>
    <w:rsid w:val="00661E64"/>
    <w:rsid w:val="00662269"/>
    <w:rsid w:val="00662894"/>
    <w:rsid w:val="006642EF"/>
    <w:rsid w:val="00666192"/>
    <w:rsid w:val="00673B10"/>
    <w:rsid w:val="00674254"/>
    <w:rsid w:val="006747BD"/>
    <w:rsid w:val="0068438B"/>
    <w:rsid w:val="006846F3"/>
    <w:rsid w:val="006852E5"/>
    <w:rsid w:val="00685450"/>
    <w:rsid w:val="006920D7"/>
    <w:rsid w:val="006934B7"/>
    <w:rsid w:val="006937DD"/>
    <w:rsid w:val="0069491D"/>
    <w:rsid w:val="006A2C5F"/>
    <w:rsid w:val="006A65EC"/>
    <w:rsid w:val="006A6B2C"/>
    <w:rsid w:val="006B4242"/>
    <w:rsid w:val="006B7D8F"/>
    <w:rsid w:val="006C1DFE"/>
    <w:rsid w:val="006C3E1C"/>
    <w:rsid w:val="006C4F1D"/>
    <w:rsid w:val="006D04FE"/>
    <w:rsid w:val="006D2EFB"/>
    <w:rsid w:val="006D4BD3"/>
    <w:rsid w:val="006D6DE5"/>
    <w:rsid w:val="006E30FE"/>
    <w:rsid w:val="006E34DC"/>
    <w:rsid w:val="006E4D96"/>
    <w:rsid w:val="006E5990"/>
    <w:rsid w:val="006F09D5"/>
    <w:rsid w:val="006F0C4E"/>
    <w:rsid w:val="006F0FA9"/>
    <w:rsid w:val="006F71F9"/>
    <w:rsid w:val="006F72EF"/>
    <w:rsid w:val="006F7E58"/>
    <w:rsid w:val="0070349D"/>
    <w:rsid w:val="0070351A"/>
    <w:rsid w:val="0070408C"/>
    <w:rsid w:val="007042E5"/>
    <w:rsid w:val="007051F8"/>
    <w:rsid w:val="00705F1E"/>
    <w:rsid w:val="00707AD0"/>
    <w:rsid w:val="007128AE"/>
    <w:rsid w:val="00715695"/>
    <w:rsid w:val="0071737D"/>
    <w:rsid w:val="00722908"/>
    <w:rsid w:val="007232CB"/>
    <w:rsid w:val="0072379F"/>
    <w:rsid w:val="00725618"/>
    <w:rsid w:val="00726FE6"/>
    <w:rsid w:val="0073720C"/>
    <w:rsid w:val="00740A11"/>
    <w:rsid w:val="00760AFD"/>
    <w:rsid w:val="00764CC6"/>
    <w:rsid w:val="00766E82"/>
    <w:rsid w:val="007731CA"/>
    <w:rsid w:val="00777163"/>
    <w:rsid w:val="00777AED"/>
    <w:rsid w:val="00780376"/>
    <w:rsid w:val="007817E8"/>
    <w:rsid w:val="00794548"/>
    <w:rsid w:val="00794B24"/>
    <w:rsid w:val="00795992"/>
    <w:rsid w:val="007A002C"/>
    <w:rsid w:val="007A098A"/>
    <w:rsid w:val="007A1B69"/>
    <w:rsid w:val="007A3AAB"/>
    <w:rsid w:val="007B01BF"/>
    <w:rsid w:val="007B1CD7"/>
    <w:rsid w:val="007B50D2"/>
    <w:rsid w:val="007B58FC"/>
    <w:rsid w:val="007D0B3B"/>
    <w:rsid w:val="007D303E"/>
    <w:rsid w:val="007E5C6A"/>
    <w:rsid w:val="007F06DA"/>
    <w:rsid w:val="007F4A0E"/>
    <w:rsid w:val="007F538B"/>
    <w:rsid w:val="00801460"/>
    <w:rsid w:val="008023FE"/>
    <w:rsid w:val="008039F7"/>
    <w:rsid w:val="00805DF6"/>
    <w:rsid w:val="00806733"/>
    <w:rsid w:val="00806C2E"/>
    <w:rsid w:val="008202BA"/>
    <w:rsid w:val="00821F16"/>
    <w:rsid w:val="00825123"/>
    <w:rsid w:val="00827B66"/>
    <w:rsid w:val="008301AA"/>
    <w:rsid w:val="00832D2E"/>
    <w:rsid w:val="00832EFB"/>
    <w:rsid w:val="008350ED"/>
    <w:rsid w:val="00841312"/>
    <w:rsid w:val="00841A2A"/>
    <w:rsid w:val="0084396A"/>
    <w:rsid w:val="00844DBE"/>
    <w:rsid w:val="008456D4"/>
    <w:rsid w:val="00847E9D"/>
    <w:rsid w:val="00852229"/>
    <w:rsid w:val="00853A9D"/>
    <w:rsid w:val="00854B7B"/>
    <w:rsid w:val="00866834"/>
    <w:rsid w:val="0086695E"/>
    <w:rsid w:val="00866BAB"/>
    <w:rsid w:val="008678A4"/>
    <w:rsid w:val="00867CB5"/>
    <w:rsid w:val="0087190D"/>
    <w:rsid w:val="00871C9E"/>
    <w:rsid w:val="00872D28"/>
    <w:rsid w:val="00873CF9"/>
    <w:rsid w:val="00881712"/>
    <w:rsid w:val="008917A1"/>
    <w:rsid w:val="00896DEF"/>
    <w:rsid w:val="00897945"/>
    <w:rsid w:val="008A0898"/>
    <w:rsid w:val="008A3B12"/>
    <w:rsid w:val="008A42FB"/>
    <w:rsid w:val="008A7EA9"/>
    <w:rsid w:val="008B1AA6"/>
    <w:rsid w:val="008B2062"/>
    <w:rsid w:val="008B2D26"/>
    <w:rsid w:val="008B4DBE"/>
    <w:rsid w:val="008C1729"/>
    <w:rsid w:val="008C23C8"/>
    <w:rsid w:val="008C6B5B"/>
    <w:rsid w:val="008C75DD"/>
    <w:rsid w:val="008E04B2"/>
    <w:rsid w:val="008E44F2"/>
    <w:rsid w:val="008E7F40"/>
    <w:rsid w:val="008F209D"/>
    <w:rsid w:val="008F6B32"/>
    <w:rsid w:val="00900FFD"/>
    <w:rsid w:val="00901B53"/>
    <w:rsid w:val="00903E6E"/>
    <w:rsid w:val="00906133"/>
    <w:rsid w:val="00906D8A"/>
    <w:rsid w:val="00910872"/>
    <w:rsid w:val="00912FC5"/>
    <w:rsid w:val="009139B6"/>
    <w:rsid w:val="00914B33"/>
    <w:rsid w:val="0091542F"/>
    <w:rsid w:val="00915481"/>
    <w:rsid w:val="009154F2"/>
    <w:rsid w:val="00917D44"/>
    <w:rsid w:val="00920E46"/>
    <w:rsid w:val="0092387C"/>
    <w:rsid w:val="00931C05"/>
    <w:rsid w:val="00933A79"/>
    <w:rsid w:val="00934659"/>
    <w:rsid w:val="00940E8C"/>
    <w:rsid w:val="00943829"/>
    <w:rsid w:val="00947069"/>
    <w:rsid w:val="00954066"/>
    <w:rsid w:val="00954F60"/>
    <w:rsid w:val="00970D51"/>
    <w:rsid w:val="00974CB7"/>
    <w:rsid w:val="00975E58"/>
    <w:rsid w:val="00976EF6"/>
    <w:rsid w:val="0098250F"/>
    <w:rsid w:val="00996627"/>
    <w:rsid w:val="009A1CEE"/>
    <w:rsid w:val="009B2DE5"/>
    <w:rsid w:val="009B7EF9"/>
    <w:rsid w:val="009C0766"/>
    <w:rsid w:val="009C2A87"/>
    <w:rsid w:val="009C3709"/>
    <w:rsid w:val="009C37AC"/>
    <w:rsid w:val="009C4547"/>
    <w:rsid w:val="009C4AB9"/>
    <w:rsid w:val="009C56EE"/>
    <w:rsid w:val="009C57C4"/>
    <w:rsid w:val="009D0ED1"/>
    <w:rsid w:val="009D2B0D"/>
    <w:rsid w:val="009D3365"/>
    <w:rsid w:val="009D3E46"/>
    <w:rsid w:val="009D4C4D"/>
    <w:rsid w:val="009D6A54"/>
    <w:rsid w:val="009D75D3"/>
    <w:rsid w:val="009E3DE3"/>
    <w:rsid w:val="009E4A7E"/>
    <w:rsid w:val="009F0CC3"/>
    <w:rsid w:val="009F58F8"/>
    <w:rsid w:val="009F5B2B"/>
    <w:rsid w:val="009F64ED"/>
    <w:rsid w:val="00A02D5F"/>
    <w:rsid w:val="00A11066"/>
    <w:rsid w:val="00A11219"/>
    <w:rsid w:val="00A17C24"/>
    <w:rsid w:val="00A26BCA"/>
    <w:rsid w:val="00A3057A"/>
    <w:rsid w:val="00A350A7"/>
    <w:rsid w:val="00A3603B"/>
    <w:rsid w:val="00A36F46"/>
    <w:rsid w:val="00A40551"/>
    <w:rsid w:val="00A4087C"/>
    <w:rsid w:val="00A42522"/>
    <w:rsid w:val="00A4363C"/>
    <w:rsid w:val="00A4507F"/>
    <w:rsid w:val="00A46BE2"/>
    <w:rsid w:val="00A50C8D"/>
    <w:rsid w:val="00A54D32"/>
    <w:rsid w:val="00A5668C"/>
    <w:rsid w:val="00A60509"/>
    <w:rsid w:val="00A612D8"/>
    <w:rsid w:val="00A632C2"/>
    <w:rsid w:val="00A66EF3"/>
    <w:rsid w:val="00A72BE7"/>
    <w:rsid w:val="00A73FDB"/>
    <w:rsid w:val="00A7543E"/>
    <w:rsid w:val="00A77906"/>
    <w:rsid w:val="00A81A69"/>
    <w:rsid w:val="00A82827"/>
    <w:rsid w:val="00A85D65"/>
    <w:rsid w:val="00A86EE9"/>
    <w:rsid w:val="00A87DF9"/>
    <w:rsid w:val="00A87FFE"/>
    <w:rsid w:val="00A90B66"/>
    <w:rsid w:val="00A90FE6"/>
    <w:rsid w:val="00A931CF"/>
    <w:rsid w:val="00A94C25"/>
    <w:rsid w:val="00A95245"/>
    <w:rsid w:val="00AA1576"/>
    <w:rsid w:val="00AA436B"/>
    <w:rsid w:val="00AA46D3"/>
    <w:rsid w:val="00AA4FB6"/>
    <w:rsid w:val="00AB44FD"/>
    <w:rsid w:val="00AB5DDB"/>
    <w:rsid w:val="00AB6344"/>
    <w:rsid w:val="00AB7F02"/>
    <w:rsid w:val="00AC2258"/>
    <w:rsid w:val="00AC30B1"/>
    <w:rsid w:val="00AC71D1"/>
    <w:rsid w:val="00AC7FEC"/>
    <w:rsid w:val="00AD112C"/>
    <w:rsid w:val="00AD3E35"/>
    <w:rsid w:val="00AD44B1"/>
    <w:rsid w:val="00AD5F97"/>
    <w:rsid w:val="00AD63A3"/>
    <w:rsid w:val="00AD7A40"/>
    <w:rsid w:val="00AE025A"/>
    <w:rsid w:val="00AE52EF"/>
    <w:rsid w:val="00AE67A6"/>
    <w:rsid w:val="00AE7784"/>
    <w:rsid w:val="00AE7D12"/>
    <w:rsid w:val="00AF02AD"/>
    <w:rsid w:val="00AF1367"/>
    <w:rsid w:val="00AF3176"/>
    <w:rsid w:val="00AF3F22"/>
    <w:rsid w:val="00B010F5"/>
    <w:rsid w:val="00B0394D"/>
    <w:rsid w:val="00B03CAA"/>
    <w:rsid w:val="00B21D57"/>
    <w:rsid w:val="00B26DDD"/>
    <w:rsid w:val="00B33BB7"/>
    <w:rsid w:val="00B34D24"/>
    <w:rsid w:val="00B35B63"/>
    <w:rsid w:val="00B3797A"/>
    <w:rsid w:val="00B429BF"/>
    <w:rsid w:val="00B50905"/>
    <w:rsid w:val="00B5586F"/>
    <w:rsid w:val="00B55CE9"/>
    <w:rsid w:val="00B56575"/>
    <w:rsid w:val="00B60E67"/>
    <w:rsid w:val="00B61F8A"/>
    <w:rsid w:val="00B64326"/>
    <w:rsid w:val="00B65DDC"/>
    <w:rsid w:val="00B70D20"/>
    <w:rsid w:val="00B72AE1"/>
    <w:rsid w:val="00B72FE3"/>
    <w:rsid w:val="00B85ED1"/>
    <w:rsid w:val="00B90C3F"/>
    <w:rsid w:val="00B913FE"/>
    <w:rsid w:val="00B9459F"/>
    <w:rsid w:val="00B976FD"/>
    <w:rsid w:val="00BA328D"/>
    <w:rsid w:val="00BA71D1"/>
    <w:rsid w:val="00BA759D"/>
    <w:rsid w:val="00BB3391"/>
    <w:rsid w:val="00BB4A80"/>
    <w:rsid w:val="00BB59C6"/>
    <w:rsid w:val="00BB75B6"/>
    <w:rsid w:val="00BC3D55"/>
    <w:rsid w:val="00BC55AC"/>
    <w:rsid w:val="00BC6ABB"/>
    <w:rsid w:val="00BD48A8"/>
    <w:rsid w:val="00BD5534"/>
    <w:rsid w:val="00BD5EA8"/>
    <w:rsid w:val="00BD6260"/>
    <w:rsid w:val="00BD6AE4"/>
    <w:rsid w:val="00BD7203"/>
    <w:rsid w:val="00BE5C9B"/>
    <w:rsid w:val="00BE63C0"/>
    <w:rsid w:val="00BF191F"/>
    <w:rsid w:val="00BF57D3"/>
    <w:rsid w:val="00BF5A36"/>
    <w:rsid w:val="00BF7242"/>
    <w:rsid w:val="00C00D06"/>
    <w:rsid w:val="00C037C2"/>
    <w:rsid w:val="00C06041"/>
    <w:rsid w:val="00C064F2"/>
    <w:rsid w:val="00C158E2"/>
    <w:rsid w:val="00C15FB1"/>
    <w:rsid w:val="00C16C2C"/>
    <w:rsid w:val="00C20C7A"/>
    <w:rsid w:val="00C22D2A"/>
    <w:rsid w:val="00C25E6E"/>
    <w:rsid w:val="00C262DC"/>
    <w:rsid w:val="00C26640"/>
    <w:rsid w:val="00C277A7"/>
    <w:rsid w:val="00C44C19"/>
    <w:rsid w:val="00C45493"/>
    <w:rsid w:val="00C47889"/>
    <w:rsid w:val="00C5064F"/>
    <w:rsid w:val="00C537EB"/>
    <w:rsid w:val="00C57C5D"/>
    <w:rsid w:val="00C63331"/>
    <w:rsid w:val="00C67E3F"/>
    <w:rsid w:val="00C7098E"/>
    <w:rsid w:val="00C72349"/>
    <w:rsid w:val="00C7269D"/>
    <w:rsid w:val="00C73045"/>
    <w:rsid w:val="00C74378"/>
    <w:rsid w:val="00C828B7"/>
    <w:rsid w:val="00C90E1A"/>
    <w:rsid w:val="00C91E78"/>
    <w:rsid w:val="00C91EBF"/>
    <w:rsid w:val="00C937AE"/>
    <w:rsid w:val="00C95510"/>
    <w:rsid w:val="00CA4F16"/>
    <w:rsid w:val="00CA59D7"/>
    <w:rsid w:val="00CB0B5D"/>
    <w:rsid w:val="00CB1B22"/>
    <w:rsid w:val="00CC4824"/>
    <w:rsid w:val="00CD113F"/>
    <w:rsid w:val="00CD124A"/>
    <w:rsid w:val="00CD1C41"/>
    <w:rsid w:val="00CD3939"/>
    <w:rsid w:val="00CD4BA3"/>
    <w:rsid w:val="00CD5A3C"/>
    <w:rsid w:val="00CD667C"/>
    <w:rsid w:val="00CE03AC"/>
    <w:rsid w:val="00CE2690"/>
    <w:rsid w:val="00CE2B17"/>
    <w:rsid w:val="00CF012F"/>
    <w:rsid w:val="00CF02CB"/>
    <w:rsid w:val="00CF3E86"/>
    <w:rsid w:val="00CF4E1C"/>
    <w:rsid w:val="00CF51E1"/>
    <w:rsid w:val="00CF77EA"/>
    <w:rsid w:val="00CF7ECD"/>
    <w:rsid w:val="00D0029A"/>
    <w:rsid w:val="00D005B3"/>
    <w:rsid w:val="00D00A17"/>
    <w:rsid w:val="00D0425E"/>
    <w:rsid w:val="00D051D1"/>
    <w:rsid w:val="00D06D36"/>
    <w:rsid w:val="00D1358D"/>
    <w:rsid w:val="00D141CD"/>
    <w:rsid w:val="00D16362"/>
    <w:rsid w:val="00D178EF"/>
    <w:rsid w:val="00D17C4A"/>
    <w:rsid w:val="00D2211E"/>
    <w:rsid w:val="00D23E01"/>
    <w:rsid w:val="00D244E2"/>
    <w:rsid w:val="00D32992"/>
    <w:rsid w:val="00D33797"/>
    <w:rsid w:val="00D37160"/>
    <w:rsid w:val="00D3773A"/>
    <w:rsid w:val="00D40690"/>
    <w:rsid w:val="00D4141B"/>
    <w:rsid w:val="00D419D9"/>
    <w:rsid w:val="00D42905"/>
    <w:rsid w:val="00D446D7"/>
    <w:rsid w:val="00D44783"/>
    <w:rsid w:val="00D46C47"/>
    <w:rsid w:val="00D47A49"/>
    <w:rsid w:val="00D50C00"/>
    <w:rsid w:val="00D51E64"/>
    <w:rsid w:val="00D628F5"/>
    <w:rsid w:val="00D6359F"/>
    <w:rsid w:val="00D64E2F"/>
    <w:rsid w:val="00D74831"/>
    <w:rsid w:val="00D772CF"/>
    <w:rsid w:val="00D85799"/>
    <w:rsid w:val="00D92A09"/>
    <w:rsid w:val="00DA1902"/>
    <w:rsid w:val="00DA5874"/>
    <w:rsid w:val="00DA6E81"/>
    <w:rsid w:val="00DA7420"/>
    <w:rsid w:val="00DB31DE"/>
    <w:rsid w:val="00DB54EC"/>
    <w:rsid w:val="00DC698D"/>
    <w:rsid w:val="00DD3C67"/>
    <w:rsid w:val="00DD3D68"/>
    <w:rsid w:val="00DD60D6"/>
    <w:rsid w:val="00DD7138"/>
    <w:rsid w:val="00DD77D2"/>
    <w:rsid w:val="00DE08B4"/>
    <w:rsid w:val="00DE2663"/>
    <w:rsid w:val="00DE42E7"/>
    <w:rsid w:val="00DF3279"/>
    <w:rsid w:val="00DF4A60"/>
    <w:rsid w:val="00DF5AFA"/>
    <w:rsid w:val="00E03125"/>
    <w:rsid w:val="00E075DC"/>
    <w:rsid w:val="00E07D82"/>
    <w:rsid w:val="00E10FC5"/>
    <w:rsid w:val="00E11802"/>
    <w:rsid w:val="00E12333"/>
    <w:rsid w:val="00E12C1A"/>
    <w:rsid w:val="00E12E34"/>
    <w:rsid w:val="00E134A6"/>
    <w:rsid w:val="00E14964"/>
    <w:rsid w:val="00E17E67"/>
    <w:rsid w:val="00E20CD9"/>
    <w:rsid w:val="00E224F9"/>
    <w:rsid w:val="00E23BC8"/>
    <w:rsid w:val="00E26B59"/>
    <w:rsid w:val="00E27B83"/>
    <w:rsid w:val="00E339B5"/>
    <w:rsid w:val="00E52776"/>
    <w:rsid w:val="00E53739"/>
    <w:rsid w:val="00E54531"/>
    <w:rsid w:val="00E57F49"/>
    <w:rsid w:val="00E72CC9"/>
    <w:rsid w:val="00E8069E"/>
    <w:rsid w:val="00E81E48"/>
    <w:rsid w:val="00E856DC"/>
    <w:rsid w:val="00E86529"/>
    <w:rsid w:val="00E86BFC"/>
    <w:rsid w:val="00E86ED1"/>
    <w:rsid w:val="00E87BB7"/>
    <w:rsid w:val="00E917B1"/>
    <w:rsid w:val="00EA3A41"/>
    <w:rsid w:val="00EA59EB"/>
    <w:rsid w:val="00EC7B6F"/>
    <w:rsid w:val="00ED19FF"/>
    <w:rsid w:val="00ED34ED"/>
    <w:rsid w:val="00ED7FBF"/>
    <w:rsid w:val="00EE176C"/>
    <w:rsid w:val="00EE493C"/>
    <w:rsid w:val="00EF146F"/>
    <w:rsid w:val="00EF3CDE"/>
    <w:rsid w:val="00F00416"/>
    <w:rsid w:val="00F00843"/>
    <w:rsid w:val="00F009BC"/>
    <w:rsid w:val="00F03CB7"/>
    <w:rsid w:val="00F04772"/>
    <w:rsid w:val="00F12476"/>
    <w:rsid w:val="00F13DDF"/>
    <w:rsid w:val="00F21E8C"/>
    <w:rsid w:val="00F25E87"/>
    <w:rsid w:val="00F26ECD"/>
    <w:rsid w:val="00F323D1"/>
    <w:rsid w:val="00F33E9B"/>
    <w:rsid w:val="00F4777B"/>
    <w:rsid w:val="00F526E5"/>
    <w:rsid w:val="00F5768D"/>
    <w:rsid w:val="00F57BDE"/>
    <w:rsid w:val="00F63136"/>
    <w:rsid w:val="00F67006"/>
    <w:rsid w:val="00F7489A"/>
    <w:rsid w:val="00F82D3F"/>
    <w:rsid w:val="00F84D27"/>
    <w:rsid w:val="00F85535"/>
    <w:rsid w:val="00F915B6"/>
    <w:rsid w:val="00F92565"/>
    <w:rsid w:val="00FA5C24"/>
    <w:rsid w:val="00FB0C02"/>
    <w:rsid w:val="00FB1A13"/>
    <w:rsid w:val="00FB22EA"/>
    <w:rsid w:val="00FB31CA"/>
    <w:rsid w:val="00FC494D"/>
    <w:rsid w:val="00FC6FF7"/>
    <w:rsid w:val="00FD52BA"/>
    <w:rsid w:val="00FE0A9E"/>
    <w:rsid w:val="00FE23DD"/>
    <w:rsid w:val="00FE301C"/>
    <w:rsid w:val="00FE4771"/>
    <w:rsid w:val="00FE6E01"/>
    <w:rsid w:val="00FF6EC4"/>
    <w:rsid w:val="00FF7672"/>
    <w:rsid w:val="00FF783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56A0A1BC-FB1D-4527-BD38-EDB0EEC4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after="0" w:line="240" w:lineRule="auto"/>
    </w:pPr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5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B54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4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7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1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3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3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0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62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1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3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66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edia.bik.pl/analizy-rynkow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k.pl/klienci-indywidualni/alerty-bik?utm_source=gazeta.pl&amp;utm_medium=artykul&amp;utm_campaign=alerty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bik.pl/moj-bi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bik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C25827CA-5AD7-4777-ACD6-C5B16CCF1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2056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9</cp:revision>
  <cp:lastPrinted>2024-01-29T16:24:00Z</cp:lastPrinted>
  <dcterms:created xsi:type="dcterms:W3CDTF">2024-01-29T13:16:00Z</dcterms:created>
  <dcterms:modified xsi:type="dcterms:W3CDTF">2024-01-29T16:24:00Z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2023-05-08T09:24:20Z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695b65da-6dc7-4e5e-947e-ddfde63eaf08</vt:lpwstr>
  </property>
  <property fmtid="{D5CDD505-2E9C-101B-9397-08002B2CF9AE}" pid="13" name="MSIP_Label_1391a466-f120-4668-a5e5-7af4d8a99d82_ContentBits">
    <vt:lpwstr>2</vt:lpwstr>
  </property>
</Properties>
</file>