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2135AC">
      <w:pPr>
        <w:jc w:val="both"/>
        <w:rPr>
          <w:rFonts w:cstheme="minorHAnsi"/>
        </w:rPr>
      </w:pPr>
    </w:p>
    <w:p w14:paraId="663C3D59" w14:textId="06659C65" w:rsidR="00E750D3" w:rsidRPr="00E750D3" w:rsidRDefault="00D6746D" w:rsidP="00E750D3">
      <w:pPr>
        <w:spacing w:after="160" w:line="259" w:lineRule="auto"/>
        <w:jc w:val="right"/>
        <w:rPr>
          <w:rFonts w:cstheme="minorHAnsi"/>
        </w:rPr>
      </w:pPr>
      <w:r>
        <w:rPr>
          <w:rFonts w:cstheme="minorHAnsi"/>
        </w:rPr>
        <w:t>30</w:t>
      </w:r>
      <w:r w:rsidR="00E750D3" w:rsidRPr="00E750D3">
        <w:rPr>
          <w:rFonts w:cstheme="minorHAnsi"/>
        </w:rPr>
        <w:t>.01.2024</w:t>
      </w:r>
    </w:p>
    <w:p w14:paraId="1C83CB30" w14:textId="77777777" w:rsidR="00E750D3" w:rsidRDefault="00E750D3" w:rsidP="00E750D3">
      <w:pPr>
        <w:spacing w:after="160" w:line="259" w:lineRule="auto"/>
        <w:jc w:val="both"/>
        <w:rPr>
          <w:rFonts w:cstheme="minorHAnsi"/>
          <w:b/>
          <w:bCs/>
        </w:rPr>
      </w:pPr>
    </w:p>
    <w:p w14:paraId="5568FFC5" w14:textId="300A76FE" w:rsidR="00E750D3" w:rsidRPr="00E750D3" w:rsidRDefault="00E750D3" w:rsidP="00E750D3">
      <w:pPr>
        <w:spacing w:after="160" w:line="259" w:lineRule="auto"/>
        <w:jc w:val="both"/>
        <w:rPr>
          <w:rFonts w:cstheme="minorHAnsi"/>
          <w:b/>
          <w:bCs/>
          <w:sz w:val="24"/>
          <w:szCs w:val="24"/>
        </w:rPr>
      </w:pPr>
      <w:r w:rsidRPr="00E750D3">
        <w:rPr>
          <w:rFonts w:cstheme="minorHAnsi"/>
          <w:b/>
          <w:bCs/>
          <w:sz w:val="24"/>
          <w:szCs w:val="24"/>
        </w:rPr>
        <w:t xml:space="preserve">23,8 mln dni zwolnienia lekarskiego z powodu zaburzeń psychicznych – pracownicy potrzebują holistycznej opieki </w:t>
      </w:r>
    </w:p>
    <w:p w14:paraId="22B649E2" w14:textId="77777777" w:rsidR="00E750D3" w:rsidRDefault="00E750D3" w:rsidP="00E750D3">
      <w:pPr>
        <w:spacing w:after="160" w:line="259" w:lineRule="auto"/>
        <w:jc w:val="both"/>
        <w:rPr>
          <w:rFonts w:cstheme="minorHAnsi"/>
          <w:b/>
          <w:bCs/>
        </w:rPr>
      </w:pPr>
    </w:p>
    <w:p w14:paraId="4CE544C5" w14:textId="625594EA" w:rsidR="002E7F39" w:rsidRPr="00E750D3" w:rsidRDefault="002E7F39" w:rsidP="00E750D3">
      <w:pPr>
        <w:spacing w:after="160" w:line="259" w:lineRule="auto"/>
        <w:jc w:val="both"/>
        <w:rPr>
          <w:rFonts w:cstheme="minorHAnsi"/>
          <w:b/>
          <w:bCs/>
        </w:rPr>
      </w:pPr>
      <w:r w:rsidRPr="00E750D3">
        <w:rPr>
          <w:rFonts w:cstheme="minorHAnsi"/>
          <w:b/>
          <w:bCs/>
        </w:rPr>
        <w:t xml:space="preserve">Tylko w roku 2022 wystawiono prawie 1,3 mln zwolnień lekarskich </w:t>
      </w:r>
      <w:r w:rsidRPr="00E750D3">
        <w:rPr>
          <w:rFonts w:eastAsia="Times New Roman" w:cstheme="minorHAnsi"/>
          <w:b/>
          <w:bCs/>
          <w:lang w:eastAsia="pl-PL"/>
        </w:rPr>
        <w:t xml:space="preserve">z powodu zaburzeń psychicznych i zaburzeń zachowania, co przełożyło się na 23,8 mln dni absencji chorobowej. Kompleksowe podejście do </w:t>
      </w:r>
      <w:r w:rsidR="00E750D3">
        <w:rPr>
          <w:rFonts w:eastAsia="Times New Roman" w:cstheme="minorHAnsi"/>
          <w:b/>
          <w:bCs/>
          <w:lang w:eastAsia="pl-PL"/>
        </w:rPr>
        <w:t>bezpieczeństwa pracowników</w:t>
      </w:r>
      <w:r w:rsidRPr="00E750D3">
        <w:rPr>
          <w:rFonts w:eastAsia="Times New Roman" w:cstheme="minorHAnsi"/>
          <w:b/>
          <w:bCs/>
          <w:lang w:eastAsia="pl-PL"/>
        </w:rPr>
        <w:t xml:space="preserve">, uwzględniające </w:t>
      </w:r>
      <w:r w:rsidRPr="00E750D3">
        <w:rPr>
          <w:rFonts w:cstheme="minorHAnsi"/>
          <w:b/>
          <w:bCs/>
        </w:rPr>
        <w:t>aspekty związane z zapewnieniem wsparcia psychologicznego, budowaniem zdrowej kultury organizacyjnej oraz promocją dobrych praktyk z zakresu bezpieczeństwa jest korzystne nie tylko dla pracownika, ale również dla pracodawcy</w:t>
      </w:r>
      <w:r>
        <w:rPr>
          <w:rFonts w:cstheme="minorHAnsi"/>
          <w:b/>
          <w:bCs/>
        </w:rPr>
        <w:t xml:space="preserve"> – wskazują eksperci W&amp;W Consulting.</w:t>
      </w:r>
    </w:p>
    <w:p w14:paraId="69B345EB" w14:textId="20EA1910" w:rsidR="00E750D3" w:rsidRPr="00E750D3" w:rsidRDefault="00E750D3" w:rsidP="00E750D3">
      <w:pPr>
        <w:spacing w:after="160" w:line="259" w:lineRule="auto"/>
        <w:rPr>
          <w:b/>
          <w:bCs/>
        </w:rPr>
      </w:pPr>
      <w:r>
        <w:rPr>
          <w:b/>
          <w:bCs/>
        </w:rPr>
        <w:t>Bezpieczeństwo</w:t>
      </w:r>
      <w:r w:rsidRPr="00E750D3">
        <w:rPr>
          <w:b/>
          <w:bCs/>
        </w:rPr>
        <w:t xml:space="preserve"> to narzędzie dla pracodawcy, a nie tylko prawny obowiązek</w:t>
      </w:r>
    </w:p>
    <w:p w14:paraId="212A75E1" w14:textId="63B07058" w:rsidR="00C456BA" w:rsidRPr="00C456BA" w:rsidRDefault="00C456BA" w:rsidP="00C456BA">
      <w:pPr>
        <w:spacing w:after="160" w:line="259" w:lineRule="auto"/>
        <w:jc w:val="both"/>
      </w:pPr>
      <w:r w:rsidRPr="00C456BA">
        <w:t xml:space="preserve">Holistyczne podejście do </w:t>
      </w:r>
      <w:r w:rsidR="00101DB7">
        <w:t>bezpieczeństwa pracy</w:t>
      </w:r>
      <w:r w:rsidRPr="00C456BA">
        <w:t xml:space="preserve"> </w:t>
      </w:r>
      <w:r>
        <w:t>s</w:t>
      </w:r>
      <w:r w:rsidRPr="00C456BA">
        <w:t>tanowi kluczową innowację, podkreślając</w:t>
      </w:r>
      <w:r>
        <w:t>ą</w:t>
      </w:r>
      <w:r w:rsidRPr="00C456BA">
        <w:t xml:space="preserve"> potrzebę kompleksowej opieki nad pracownikami. </w:t>
      </w:r>
      <w:r w:rsidR="002E7F39" w:rsidRPr="00E750D3">
        <w:t>Chociaż wynika to oczywiście z prawnego obowiązku, to stanowi jednocześnie strategiczne narzędzie, doskonale wpisujące się w aktualne trendy HR i pełniące rolę fundamentu efektywnej organizacji.</w:t>
      </w:r>
      <w:r w:rsidR="002E7F39">
        <w:rPr>
          <w:b/>
          <w:bCs/>
        </w:rPr>
        <w:t xml:space="preserve"> </w:t>
      </w:r>
      <w:r w:rsidRPr="00C456BA">
        <w:t xml:space="preserve">W takim podejściu </w:t>
      </w:r>
      <w:r w:rsidR="00C9171D">
        <w:t>bezpieczeństwo</w:t>
      </w:r>
      <w:r w:rsidRPr="00C456BA">
        <w:t xml:space="preserve"> przestaje być jedynie serią przepisów i procedur, stając się integralną częścią strategii organizacyjnej. Całokształt działań związanych z </w:t>
      </w:r>
      <w:r w:rsidR="00C9171D">
        <w:t>bezpieczeństwem pracy</w:t>
      </w:r>
      <w:r w:rsidRPr="00C456BA">
        <w:t xml:space="preserve"> obejmuje nie tylko aspekty fizyczne, takie jak eliminacja zagrożeń czy dostarczanie środków ochrony osobistej, ale również aspekty psychospołeczne.</w:t>
      </w:r>
    </w:p>
    <w:p w14:paraId="16035008" w14:textId="18AAED04" w:rsidR="00C456BA" w:rsidRDefault="00C456BA" w:rsidP="00C456BA">
      <w:pPr>
        <w:spacing w:after="160" w:line="259" w:lineRule="auto"/>
        <w:jc w:val="both"/>
      </w:pPr>
      <w:r>
        <w:t xml:space="preserve">- </w:t>
      </w:r>
      <w:r w:rsidRPr="00C456BA">
        <w:rPr>
          <w:i/>
          <w:iCs/>
        </w:rPr>
        <w:t xml:space="preserve">Wprowadzenie kompleksowego podejścia do bezpieczeństwa i higieny pracy, to nie tylko spełnienie wymogów prawnych, ale także strategiczna inwestycja w kapitał ludzki. Organizacje, które aktywnie angażują się w zapewnienie holistycznej opieki nad pracownikami, zyskują nie tylko lojalność zatrudnionych, ale również zwiększają efektywność swoich zespołów. Kompleksowość działań z zakresu </w:t>
      </w:r>
      <w:r w:rsidR="00C9171D">
        <w:rPr>
          <w:i/>
          <w:iCs/>
        </w:rPr>
        <w:t>bezpieczeństwa</w:t>
      </w:r>
      <w:r w:rsidRPr="00C456BA">
        <w:rPr>
          <w:i/>
          <w:iCs/>
        </w:rPr>
        <w:t xml:space="preserve"> staje się kluczowym elementem w budowaniu organizacji, gdzie pracownik czuje się nie tylko bezpieczny, ale także doceniony. W takim podejściu BHP przestaje być jedynie serią przepisów i procedur, stając się integralną częścią strategii organizacyjnej</w:t>
      </w:r>
      <w:r w:rsidR="003636E8">
        <w:rPr>
          <w:i/>
          <w:iCs/>
        </w:rPr>
        <w:t xml:space="preserve"> </w:t>
      </w:r>
      <w:r>
        <w:t xml:space="preserve">– mówi Magdalena Włastowska, Ekspert ds. rozwoju biznesu W&amp;W Consulting. </w:t>
      </w:r>
    </w:p>
    <w:p w14:paraId="1DCE649A" w14:textId="226E872F" w:rsidR="00C9171D" w:rsidRPr="00C456BA" w:rsidRDefault="00C9171D" w:rsidP="00C9171D">
      <w:pPr>
        <w:spacing w:after="160" w:line="259" w:lineRule="auto"/>
        <w:jc w:val="both"/>
      </w:pPr>
      <w:r w:rsidRPr="00C456BA">
        <w:t>Aktualnie obok filozofii work-life balance pojawia się zbliżona, a jednak różna work-life integration. O ile ta pierwsza zakłada podział życia na dwie strefy, ta druga stawia bardziej na przenikanie się tych światów. To drugie podejście coraz częściej pojawia się w</w:t>
      </w:r>
      <w:r w:rsidR="002E7F39">
        <w:t xml:space="preserve"> wyniku</w:t>
      </w:r>
      <w:r w:rsidRPr="00C456BA">
        <w:t xml:space="preserve"> wprowadzeni</w:t>
      </w:r>
      <w:r w:rsidR="002E7F39">
        <w:t>a</w:t>
      </w:r>
      <w:r w:rsidRPr="00C456BA">
        <w:t xml:space="preserve"> pracy zdalnej i hybrydowej. Holistyczne podejście do </w:t>
      </w:r>
      <w:r w:rsidR="003636E8">
        <w:t>bezpieczeństwa pracy</w:t>
      </w:r>
      <w:r w:rsidRPr="00C456BA">
        <w:t xml:space="preserve"> uwzględnia</w:t>
      </w:r>
      <w:r w:rsidR="002E7F39">
        <w:t>ć powinno</w:t>
      </w:r>
      <w:r w:rsidRPr="00C456BA">
        <w:t xml:space="preserve"> także aspekty związane z zapewnieniem wsparcia psychologicznego, budowaniem zdrowej kultury organizacyjnej oraz promocją dobrych praktyk z zakresu bezpieczeństwa, które są wykorzystywane zarówno w środowisku pracy jak i w życiu prywatnym. </w:t>
      </w:r>
    </w:p>
    <w:p w14:paraId="5F129919" w14:textId="4527E2FA" w:rsidR="00C456BA" w:rsidRPr="00C456BA" w:rsidRDefault="003636E8" w:rsidP="00C456BA">
      <w:pPr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Bezpieczeństwo pod kontrolą </w:t>
      </w:r>
    </w:p>
    <w:p w14:paraId="67884080" w14:textId="11366462" w:rsidR="00C456BA" w:rsidRPr="00C456BA" w:rsidRDefault="00C9171D" w:rsidP="00C456BA">
      <w:pPr>
        <w:spacing w:after="160" w:line="259" w:lineRule="auto"/>
        <w:jc w:val="both"/>
      </w:pPr>
      <w:r>
        <w:t xml:space="preserve">- </w:t>
      </w:r>
      <w:r w:rsidR="00C456BA" w:rsidRPr="00C456BA">
        <w:rPr>
          <w:i/>
          <w:iCs/>
        </w:rPr>
        <w:t>Firmy są zobowiązane do przestrzegania przepisów BHP, gwarantując tym samym warunki pracy zgodne z obowiązującymi przepisami. W świetle tych kwestii, warto zaznaczyć, że Państwowa Inspekcja Pracy</w:t>
      </w:r>
      <w:r w:rsidRPr="00C9171D">
        <w:rPr>
          <w:i/>
          <w:iCs/>
        </w:rPr>
        <w:t xml:space="preserve"> </w:t>
      </w:r>
      <w:r w:rsidR="00C456BA" w:rsidRPr="00C456BA">
        <w:rPr>
          <w:i/>
          <w:iCs/>
        </w:rPr>
        <w:t xml:space="preserve">planuje przeprowadzić aż 60 tysięcy kontroli w roku 2024. To ambitny plan działań prewencyjnych, który obejmuje różnorodne podmioty, takie jak pracodawcy, przedsiębiorcy i inni uczestnicy środowiska zawodowego. Centralnie koordynowane działania PIP mają na celu skuteczne </w:t>
      </w:r>
      <w:r w:rsidR="00C456BA" w:rsidRPr="00C456BA">
        <w:rPr>
          <w:i/>
          <w:iCs/>
        </w:rPr>
        <w:lastRenderedPageBreak/>
        <w:t>nadzorowanie i egzekwowanie przepisów dotyczących bezpieczeństwa i higieny pracy we wszystkich obszarach działalności gospodarczej, zapewniając tym samym ochronę pracowników oraz zgodność z obowiązującym prawem</w:t>
      </w:r>
      <w:r>
        <w:t xml:space="preserve"> – dodaje Magdalena Włastowska.</w:t>
      </w:r>
    </w:p>
    <w:p w14:paraId="711F6855" w14:textId="1E134F54" w:rsidR="00C456BA" w:rsidRPr="00C456BA" w:rsidRDefault="00C456BA" w:rsidP="00C456BA">
      <w:pPr>
        <w:spacing w:after="160" w:line="259" w:lineRule="auto"/>
        <w:jc w:val="both"/>
      </w:pPr>
      <w:r w:rsidRPr="00C456BA">
        <w:t xml:space="preserve">Kompleksowa obsługa </w:t>
      </w:r>
      <w:r w:rsidR="00C9171D">
        <w:t>b</w:t>
      </w:r>
      <w:r w:rsidRPr="00C456BA">
        <w:t xml:space="preserve">ezpieczeństwa i </w:t>
      </w:r>
      <w:r w:rsidR="00C9171D">
        <w:t>h</w:t>
      </w:r>
      <w:r w:rsidRPr="00C456BA">
        <w:t xml:space="preserve">igieny </w:t>
      </w:r>
      <w:r w:rsidR="00C9171D">
        <w:t>p</w:t>
      </w:r>
      <w:r w:rsidRPr="00C456BA">
        <w:t xml:space="preserve">racy staje się </w:t>
      </w:r>
      <w:r w:rsidR="00C9171D">
        <w:t xml:space="preserve">więc </w:t>
      </w:r>
      <w:r w:rsidRPr="00C456BA">
        <w:t xml:space="preserve">nieodłącznym elementem strategii HR na rok 2024. Spełnianie prawnego obowiązku to jedynie punkt wyjścia – firma, która inwestuje w BHP, inwestuje także w zrównoważony rozwój pracowników i pozytywną kulturę organizacyjną. W dobie dynamicznych zmian biznesowych, organizacje, które traktują BHP jako strategiczne narzędzie, są lepiej przygotowane do wyzwań i osiągają wyższą efektywność. </w:t>
      </w:r>
    </w:p>
    <w:p w14:paraId="196EEF63" w14:textId="016A2886" w:rsidR="00A53043" w:rsidRDefault="00A53043" w:rsidP="002135AC">
      <w:pPr>
        <w:spacing w:after="0"/>
        <w:jc w:val="both"/>
        <w:rPr>
          <w:rFonts w:cstheme="minorHAnsi"/>
          <w:b/>
        </w:rPr>
      </w:pPr>
    </w:p>
    <w:p w14:paraId="4E3CF787" w14:textId="77777777" w:rsidR="005F257B" w:rsidRPr="005F257B" w:rsidRDefault="005F257B" w:rsidP="005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F0DC66" w14:textId="77777777" w:rsidR="005F257B" w:rsidRPr="005F257B" w:rsidRDefault="005F257B" w:rsidP="005F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A24A2" w14:textId="77777777" w:rsidR="005F257B" w:rsidRPr="005F257B" w:rsidRDefault="005F257B" w:rsidP="002135AC">
      <w:pPr>
        <w:spacing w:after="0"/>
        <w:jc w:val="both"/>
        <w:rPr>
          <w:rFonts w:cstheme="minorHAnsi"/>
          <w:bCs/>
        </w:rPr>
      </w:pPr>
    </w:p>
    <w:p w14:paraId="32A86044" w14:textId="77777777" w:rsidR="005F257B" w:rsidRDefault="005F257B" w:rsidP="002135AC">
      <w:pPr>
        <w:spacing w:after="0"/>
        <w:jc w:val="both"/>
        <w:rPr>
          <w:rFonts w:cstheme="minorHAnsi"/>
          <w:b/>
        </w:rPr>
      </w:pPr>
    </w:p>
    <w:p w14:paraId="60A14E95" w14:textId="77777777" w:rsidR="00C456BA" w:rsidRPr="00876552" w:rsidRDefault="00C456BA" w:rsidP="002135AC">
      <w:pPr>
        <w:spacing w:after="0"/>
        <w:jc w:val="both"/>
        <w:rPr>
          <w:rFonts w:cstheme="minorHAnsi"/>
          <w:b/>
        </w:rPr>
      </w:pPr>
    </w:p>
    <w:p w14:paraId="056C38E1" w14:textId="2E8E0552" w:rsidR="00D15927" w:rsidRPr="00876552" w:rsidRDefault="00D15927" w:rsidP="002135AC">
      <w:pPr>
        <w:spacing w:after="0"/>
        <w:jc w:val="both"/>
        <w:rPr>
          <w:rFonts w:cstheme="minorHAnsi"/>
          <w:b/>
        </w:rPr>
      </w:pPr>
      <w:r w:rsidRPr="00876552">
        <w:rPr>
          <w:rFonts w:cstheme="minorHAnsi"/>
          <w:b/>
        </w:rPr>
        <w:t>Kontakt dla mediów:</w:t>
      </w:r>
    </w:p>
    <w:p w14:paraId="23CEC431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Danuta Cabaj</w:t>
      </w:r>
    </w:p>
    <w:p w14:paraId="4E4944F8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e-mail:danuta.cabaj@mslgroup.com</w:t>
      </w:r>
    </w:p>
    <w:p w14:paraId="6BE7CEA2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M: +48 666 813 052</w:t>
      </w:r>
    </w:p>
    <w:p w14:paraId="36EF1650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</w:p>
    <w:p w14:paraId="324174C2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1428F39F" w14:textId="77777777" w:rsidR="00D15927" w:rsidRPr="00876552" w:rsidRDefault="00D15927" w:rsidP="002135AC">
      <w:pPr>
        <w:spacing w:after="0"/>
        <w:jc w:val="both"/>
        <w:textAlignment w:val="center"/>
        <w:rPr>
          <w:rFonts w:eastAsiaTheme="minorEastAsia" w:cstheme="minorHAnsi"/>
          <w:color w:val="000000" w:themeColor="text1"/>
          <w:kern w:val="24"/>
          <w:lang w:eastAsia="pl-PL"/>
        </w:rPr>
      </w:pPr>
    </w:p>
    <w:p w14:paraId="56368A80" w14:textId="77777777" w:rsidR="00D15927" w:rsidRPr="00876552" w:rsidRDefault="00D15927" w:rsidP="002135AC">
      <w:pPr>
        <w:jc w:val="both"/>
        <w:rPr>
          <w:rFonts w:cstheme="minorHAnsi"/>
        </w:rPr>
      </w:pPr>
    </w:p>
    <w:sectPr w:rsidR="00D15927" w:rsidRPr="00876552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49E6" w14:textId="77777777" w:rsidR="00A816AE" w:rsidRDefault="00A816AE" w:rsidP="00EC6332">
      <w:pPr>
        <w:spacing w:after="0" w:line="240" w:lineRule="auto"/>
      </w:pPr>
      <w:r>
        <w:separator/>
      </w:r>
    </w:p>
  </w:endnote>
  <w:endnote w:type="continuationSeparator" w:id="0">
    <w:p w14:paraId="527711C6" w14:textId="77777777" w:rsidR="00A816AE" w:rsidRDefault="00A816AE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0AE6" w14:textId="77777777" w:rsidR="00A816AE" w:rsidRDefault="00A816AE" w:rsidP="00EC6332">
      <w:pPr>
        <w:spacing w:after="0" w:line="240" w:lineRule="auto"/>
      </w:pPr>
      <w:r>
        <w:separator/>
      </w:r>
    </w:p>
  </w:footnote>
  <w:footnote w:type="continuationSeparator" w:id="0">
    <w:p w14:paraId="77FE3959" w14:textId="77777777" w:rsidR="00A816AE" w:rsidRDefault="00A816AE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D6746D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D6746D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D6746D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5F"/>
    <w:multiLevelType w:val="multilevel"/>
    <w:tmpl w:val="CF2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8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0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4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6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2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8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3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6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8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6"/>
  </w:num>
  <w:num w:numId="2" w16cid:durableId="1518693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7"/>
  </w:num>
  <w:num w:numId="4" w16cid:durableId="282154503">
    <w:abstractNumId w:val="5"/>
  </w:num>
  <w:num w:numId="5" w16cid:durableId="243342468">
    <w:abstractNumId w:val="19"/>
  </w:num>
  <w:num w:numId="6" w16cid:durableId="137113182">
    <w:abstractNumId w:val="8"/>
  </w:num>
  <w:num w:numId="7" w16cid:durableId="456409421">
    <w:abstractNumId w:val="18"/>
  </w:num>
  <w:num w:numId="8" w16cid:durableId="1526362599">
    <w:abstractNumId w:val="26"/>
  </w:num>
  <w:num w:numId="9" w16cid:durableId="1490637302">
    <w:abstractNumId w:val="11"/>
  </w:num>
  <w:num w:numId="10" w16cid:durableId="861896035">
    <w:abstractNumId w:val="6"/>
  </w:num>
  <w:num w:numId="11" w16cid:durableId="704524248">
    <w:abstractNumId w:val="9"/>
  </w:num>
  <w:num w:numId="12" w16cid:durableId="1741369725">
    <w:abstractNumId w:val="27"/>
  </w:num>
  <w:num w:numId="13" w16cid:durableId="153230336">
    <w:abstractNumId w:val="32"/>
  </w:num>
  <w:num w:numId="14" w16cid:durableId="1819805048">
    <w:abstractNumId w:val="7"/>
  </w:num>
  <w:num w:numId="15" w16cid:durableId="772822003">
    <w:abstractNumId w:val="15"/>
  </w:num>
  <w:num w:numId="16" w16cid:durableId="2053114064">
    <w:abstractNumId w:val="1"/>
  </w:num>
  <w:num w:numId="17" w16cid:durableId="1065907673">
    <w:abstractNumId w:val="4"/>
  </w:num>
  <w:num w:numId="18" w16cid:durableId="836310813">
    <w:abstractNumId w:val="35"/>
  </w:num>
  <w:num w:numId="19" w16cid:durableId="1255243284">
    <w:abstractNumId w:val="14"/>
  </w:num>
  <w:num w:numId="20" w16cid:durableId="553664697">
    <w:abstractNumId w:val="37"/>
  </w:num>
  <w:num w:numId="21" w16cid:durableId="561142321">
    <w:abstractNumId w:val="20"/>
  </w:num>
  <w:num w:numId="22" w16cid:durableId="1950896558">
    <w:abstractNumId w:val="13"/>
  </w:num>
  <w:num w:numId="23" w16cid:durableId="1012411498">
    <w:abstractNumId w:val="21"/>
  </w:num>
  <w:num w:numId="24" w16cid:durableId="397746060">
    <w:abstractNumId w:val="39"/>
  </w:num>
  <w:num w:numId="25" w16cid:durableId="538472996">
    <w:abstractNumId w:val="25"/>
  </w:num>
  <w:num w:numId="26" w16cid:durableId="4110026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2"/>
  </w:num>
  <w:num w:numId="30" w16cid:durableId="19058731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9"/>
  </w:num>
  <w:num w:numId="32" w16cid:durableId="1209565073">
    <w:abstractNumId w:val="10"/>
  </w:num>
  <w:num w:numId="33" w16cid:durableId="202981220">
    <w:abstractNumId w:val="3"/>
  </w:num>
  <w:num w:numId="34" w16cid:durableId="375278186">
    <w:abstractNumId w:val="22"/>
  </w:num>
  <w:num w:numId="35" w16cid:durableId="1399089407">
    <w:abstractNumId w:val="23"/>
  </w:num>
  <w:num w:numId="36" w16cid:durableId="1434013801">
    <w:abstractNumId w:val="12"/>
  </w:num>
  <w:num w:numId="37" w16cid:durableId="1011181074">
    <w:abstractNumId w:val="36"/>
  </w:num>
  <w:num w:numId="38" w16cid:durableId="549460098">
    <w:abstractNumId w:val="34"/>
  </w:num>
  <w:num w:numId="39" w16cid:durableId="321087749">
    <w:abstractNumId w:val="24"/>
  </w:num>
  <w:num w:numId="40" w16cid:durableId="76056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55117"/>
    <w:rsid w:val="00065558"/>
    <w:rsid w:val="000714A3"/>
    <w:rsid w:val="00071C7D"/>
    <w:rsid w:val="0007604C"/>
    <w:rsid w:val="00077516"/>
    <w:rsid w:val="0007786A"/>
    <w:rsid w:val="000813BE"/>
    <w:rsid w:val="000849D2"/>
    <w:rsid w:val="000A272B"/>
    <w:rsid w:val="000A673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1DB7"/>
    <w:rsid w:val="00104357"/>
    <w:rsid w:val="00111091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75F47"/>
    <w:rsid w:val="001770A9"/>
    <w:rsid w:val="001817B8"/>
    <w:rsid w:val="001852B8"/>
    <w:rsid w:val="0018719C"/>
    <w:rsid w:val="00190711"/>
    <w:rsid w:val="001928AE"/>
    <w:rsid w:val="00193B47"/>
    <w:rsid w:val="001A109D"/>
    <w:rsid w:val="001A2D87"/>
    <w:rsid w:val="001A703B"/>
    <w:rsid w:val="001B0367"/>
    <w:rsid w:val="001B79BE"/>
    <w:rsid w:val="001C305F"/>
    <w:rsid w:val="001C6AFF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35AC"/>
    <w:rsid w:val="002144BD"/>
    <w:rsid w:val="00226D67"/>
    <w:rsid w:val="0023132B"/>
    <w:rsid w:val="00235C5D"/>
    <w:rsid w:val="00241EE7"/>
    <w:rsid w:val="002437ED"/>
    <w:rsid w:val="00243D13"/>
    <w:rsid w:val="00244489"/>
    <w:rsid w:val="00244FF2"/>
    <w:rsid w:val="00255B5A"/>
    <w:rsid w:val="00270691"/>
    <w:rsid w:val="00276026"/>
    <w:rsid w:val="002811B5"/>
    <w:rsid w:val="00282AE7"/>
    <w:rsid w:val="0029001B"/>
    <w:rsid w:val="00292352"/>
    <w:rsid w:val="00293579"/>
    <w:rsid w:val="002961E6"/>
    <w:rsid w:val="002971B1"/>
    <w:rsid w:val="002A44BA"/>
    <w:rsid w:val="002A4576"/>
    <w:rsid w:val="002A55ED"/>
    <w:rsid w:val="002B0400"/>
    <w:rsid w:val="002B1E64"/>
    <w:rsid w:val="002B349C"/>
    <w:rsid w:val="002B3EB7"/>
    <w:rsid w:val="002B5C62"/>
    <w:rsid w:val="002B64B8"/>
    <w:rsid w:val="002B7BDD"/>
    <w:rsid w:val="002C1FE3"/>
    <w:rsid w:val="002C74DA"/>
    <w:rsid w:val="002D3186"/>
    <w:rsid w:val="002D68EE"/>
    <w:rsid w:val="002D6BC7"/>
    <w:rsid w:val="002E21B3"/>
    <w:rsid w:val="002E2246"/>
    <w:rsid w:val="002E44A6"/>
    <w:rsid w:val="002E7F39"/>
    <w:rsid w:val="002F5555"/>
    <w:rsid w:val="00301956"/>
    <w:rsid w:val="00305583"/>
    <w:rsid w:val="003063E2"/>
    <w:rsid w:val="00322F5D"/>
    <w:rsid w:val="0033192A"/>
    <w:rsid w:val="00333068"/>
    <w:rsid w:val="00336514"/>
    <w:rsid w:val="00341A8E"/>
    <w:rsid w:val="00350B17"/>
    <w:rsid w:val="00350E47"/>
    <w:rsid w:val="00355FA2"/>
    <w:rsid w:val="00360289"/>
    <w:rsid w:val="00360A0D"/>
    <w:rsid w:val="003636E8"/>
    <w:rsid w:val="0036546B"/>
    <w:rsid w:val="003803E1"/>
    <w:rsid w:val="00395117"/>
    <w:rsid w:val="003A7DA0"/>
    <w:rsid w:val="003B538E"/>
    <w:rsid w:val="003C3A4F"/>
    <w:rsid w:val="003F68D2"/>
    <w:rsid w:val="00407DB0"/>
    <w:rsid w:val="00432821"/>
    <w:rsid w:val="00456583"/>
    <w:rsid w:val="004618DE"/>
    <w:rsid w:val="0046207A"/>
    <w:rsid w:val="004729C4"/>
    <w:rsid w:val="00473E8D"/>
    <w:rsid w:val="004765A6"/>
    <w:rsid w:val="00480084"/>
    <w:rsid w:val="00480CEB"/>
    <w:rsid w:val="0048643A"/>
    <w:rsid w:val="00497C86"/>
    <w:rsid w:val="004A31E0"/>
    <w:rsid w:val="004B4567"/>
    <w:rsid w:val="004C4A65"/>
    <w:rsid w:val="004C51FA"/>
    <w:rsid w:val="004D473C"/>
    <w:rsid w:val="004E09BB"/>
    <w:rsid w:val="004E1B63"/>
    <w:rsid w:val="004E1DC8"/>
    <w:rsid w:val="00501E2A"/>
    <w:rsid w:val="0050265B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673A1"/>
    <w:rsid w:val="0057565E"/>
    <w:rsid w:val="0058061B"/>
    <w:rsid w:val="00584649"/>
    <w:rsid w:val="00595848"/>
    <w:rsid w:val="005B57CD"/>
    <w:rsid w:val="005B5FE2"/>
    <w:rsid w:val="005C7188"/>
    <w:rsid w:val="005D0DCA"/>
    <w:rsid w:val="005D29F9"/>
    <w:rsid w:val="005D557E"/>
    <w:rsid w:val="005E7E94"/>
    <w:rsid w:val="005F1201"/>
    <w:rsid w:val="005F257B"/>
    <w:rsid w:val="005F2E98"/>
    <w:rsid w:val="005F652D"/>
    <w:rsid w:val="0060109F"/>
    <w:rsid w:val="00605B75"/>
    <w:rsid w:val="00607BF7"/>
    <w:rsid w:val="00610CBE"/>
    <w:rsid w:val="0061735E"/>
    <w:rsid w:val="006200DA"/>
    <w:rsid w:val="006205A3"/>
    <w:rsid w:val="0062510B"/>
    <w:rsid w:val="00625140"/>
    <w:rsid w:val="00630DB9"/>
    <w:rsid w:val="0063125B"/>
    <w:rsid w:val="00631847"/>
    <w:rsid w:val="0063223F"/>
    <w:rsid w:val="00632765"/>
    <w:rsid w:val="0064116E"/>
    <w:rsid w:val="006421A9"/>
    <w:rsid w:val="00653197"/>
    <w:rsid w:val="0065484F"/>
    <w:rsid w:val="006609D6"/>
    <w:rsid w:val="00662D0A"/>
    <w:rsid w:val="00684F27"/>
    <w:rsid w:val="00685500"/>
    <w:rsid w:val="006B06C1"/>
    <w:rsid w:val="006B07B9"/>
    <w:rsid w:val="006C2DF4"/>
    <w:rsid w:val="006C3036"/>
    <w:rsid w:val="006C40C2"/>
    <w:rsid w:val="006C644B"/>
    <w:rsid w:val="006D6C8B"/>
    <w:rsid w:val="006E043C"/>
    <w:rsid w:val="006E3CFD"/>
    <w:rsid w:val="006E6388"/>
    <w:rsid w:val="006E7B45"/>
    <w:rsid w:val="006F0D22"/>
    <w:rsid w:val="00703D71"/>
    <w:rsid w:val="007053E5"/>
    <w:rsid w:val="007056FB"/>
    <w:rsid w:val="0072130D"/>
    <w:rsid w:val="0072500B"/>
    <w:rsid w:val="007260D3"/>
    <w:rsid w:val="0073399D"/>
    <w:rsid w:val="007371F2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96583"/>
    <w:rsid w:val="007A1A5F"/>
    <w:rsid w:val="007B2887"/>
    <w:rsid w:val="007B322E"/>
    <w:rsid w:val="007B56DA"/>
    <w:rsid w:val="007B5CA7"/>
    <w:rsid w:val="007D66F8"/>
    <w:rsid w:val="007E34E2"/>
    <w:rsid w:val="007E7CF0"/>
    <w:rsid w:val="007F3C1F"/>
    <w:rsid w:val="0081135F"/>
    <w:rsid w:val="008147D0"/>
    <w:rsid w:val="00820935"/>
    <w:rsid w:val="00822FA9"/>
    <w:rsid w:val="00840936"/>
    <w:rsid w:val="008419CF"/>
    <w:rsid w:val="00843DA3"/>
    <w:rsid w:val="008515AD"/>
    <w:rsid w:val="00852B80"/>
    <w:rsid w:val="008551D8"/>
    <w:rsid w:val="00870B35"/>
    <w:rsid w:val="00876552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4B81"/>
    <w:rsid w:val="008E50F5"/>
    <w:rsid w:val="008E7397"/>
    <w:rsid w:val="0090114A"/>
    <w:rsid w:val="00907405"/>
    <w:rsid w:val="00910C04"/>
    <w:rsid w:val="0091213B"/>
    <w:rsid w:val="00914B1B"/>
    <w:rsid w:val="009218BB"/>
    <w:rsid w:val="00923722"/>
    <w:rsid w:val="00927430"/>
    <w:rsid w:val="0094731E"/>
    <w:rsid w:val="00953FCD"/>
    <w:rsid w:val="00960BA6"/>
    <w:rsid w:val="0097332D"/>
    <w:rsid w:val="009758CF"/>
    <w:rsid w:val="00980653"/>
    <w:rsid w:val="00980785"/>
    <w:rsid w:val="009833BF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26134"/>
    <w:rsid w:val="00A40E1C"/>
    <w:rsid w:val="00A51B45"/>
    <w:rsid w:val="00A53043"/>
    <w:rsid w:val="00A61265"/>
    <w:rsid w:val="00A646FF"/>
    <w:rsid w:val="00A67015"/>
    <w:rsid w:val="00A77A44"/>
    <w:rsid w:val="00A816AE"/>
    <w:rsid w:val="00A86D72"/>
    <w:rsid w:val="00A9519E"/>
    <w:rsid w:val="00AA07DE"/>
    <w:rsid w:val="00AA74AE"/>
    <w:rsid w:val="00AB07D2"/>
    <w:rsid w:val="00AB4D1F"/>
    <w:rsid w:val="00AB630B"/>
    <w:rsid w:val="00AD1467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43C3"/>
    <w:rsid w:val="00B37C4A"/>
    <w:rsid w:val="00B51866"/>
    <w:rsid w:val="00B53CD5"/>
    <w:rsid w:val="00B56C5F"/>
    <w:rsid w:val="00B62020"/>
    <w:rsid w:val="00B67A98"/>
    <w:rsid w:val="00B82C93"/>
    <w:rsid w:val="00B90762"/>
    <w:rsid w:val="00BA005F"/>
    <w:rsid w:val="00BA2D8E"/>
    <w:rsid w:val="00BA65E4"/>
    <w:rsid w:val="00BB0671"/>
    <w:rsid w:val="00BB3A93"/>
    <w:rsid w:val="00BB5E49"/>
    <w:rsid w:val="00BB6190"/>
    <w:rsid w:val="00BD0D66"/>
    <w:rsid w:val="00BD1076"/>
    <w:rsid w:val="00BD3EBB"/>
    <w:rsid w:val="00BE0145"/>
    <w:rsid w:val="00BE2E7D"/>
    <w:rsid w:val="00BE7787"/>
    <w:rsid w:val="00BE7FB9"/>
    <w:rsid w:val="00C01329"/>
    <w:rsid w:val="00C017BE"/>
    <w:rsid w:val="00C14014"/>
    <w:rsid w:val="00C20767"/>
    <w:rsid w:val="00C23613"/>
    <w:rsid w:val="00C31381"/>
    <w:rsid w:val="00C422AA"/>
    <w:rsid w:val="00C456BA"/>
    <w:rsid w:val="00C46528"/>
    <w:rsid w:val="00C60ABD"/>
    <w:rsid w:val="00C64A89"/>
    <w:rsid w:val="00C73F2D"/>
    <w:rsid w:val="00C80A27"/>
    <w:rsid w:val="00C9171D"/>
    <w:rsid w:val="00C93E3D"/>
    <w:rsid w:val="00C9497B"/>
    <w:rsid w:val="00CA41D9"/>
    <w:rsid w:val="00CA6092"/>
    <w:rsid w:val="00CB08C0"/>
    <w:rsid w:val="00CB48D1"/>
    <w:rsid w:val="00CB77F8"/>
    <w:rsid w:val="00CC1A1C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61965"/>
    <w:rsid w:val="00D659A2"/>
    <w:rsid w:val="00D6746D"/>
    <w:rsid w:val="00D7241E"/>
    <w:rsid w:val="00D74AF9"/>
    <w:rsid w:val="00D7661C"/>
    <w:rsid w:val="00D77D0C"/>
    <w:rsid w:val="00D81B3E"/>
    <w:rsid w:val="00D85A95"/>
    <w:rsid w:val="00D862A7"/>
    <w:rsid w:val="00D87DAC"/>
    <w:rsid w:val="00D9044C"/>
    <w:rsid w:val="00DA7062"/>
    <w:rsid w:val="00DB30CC"/>
    <w:rsid w:val="00DC1DAF"/>
    <w:rsid w:val="00DC7698"/>
    <w:rsid w:val="00DD6F57"/>
    <w:rsid w:val="00DE6BF8"/>
    <w:rsid w:val="00DF63E9"/>
    <w:rsid w:val="00DF747B"/>
    <w:rsid w:val="00E03CA2"/>
    <w:rsid w:val="00E05244"/>
    <w:rsid w:val="00E0638D"/>
    <w:rsid w:val="00E103AA"/>
    <w:rsid w:val="00E1703C"/>
    <w:rsid w:val="00E17D85"/>
    <w:rsid w:val="00E219E1"/>
    <w:rsid w:val="00E22624"/>
    <w:rsid w:val="00E2551E"/>
    <w:rsid w:val="00E35487"/>
    <w:rsid w:val="00E367C6"/>
    <w:rsid w:val="00E575A4"/>
    <w:rsid w:val="00E7053E"/>
    <w:rsid w:val="00E711E1"/>
    <w:rsid w:val="00E72077"/>
    <w:rsid w:val="00E72903"/>
    <w:rsid w:val="00E73C27"/>
    <w:rsid w:val="00E74A2E"/>
    <w:rsid w:val="00E750D3"/>
    <w:rsid w:val="00E77A67"/>
    <w:rsid w:val="00E80DF1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12048"/>
    <w:rsid w:val="00F22448"/>
    <w:rsid w:val="00F30643"/>
    <w:rsid w:val="00F318BA"/>
    <w:rsid w:val="00F40377"/>
    <w:rsid w:val="00F43A02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05C1"/>
    <w:rsid w:val="00FA2244"/>
    <w:rsid w:val="00FA3DF3"/>
    <w:rsid w:val="00FC0648"/>
    <w:rsid w:val="00FC2F1E"/>
    <w:rsid w:val="00FC630C"/>
    <w:rsid w:val="00FD438F"/>
    <w:rsid w:val="00FD527C"/>
    <w:rsid w:val="00FF1163"/>
    <w:rsid w:val="00FF23BA"/>
    <w:rsid w:val="00FF5632"/>
    <w:rsid w:val="00FF7A11"/>
    <w:rsid w:val="01621382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67A57FD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  <w:style w:type="paragraph" w:customStyle="1" w:styleId="tekstzboku">
    <w:name w:val="tekst z boku"/>
    <w:basedOn w:val="Normalny"/>
    <w:qFormat/>
    <w:rsid w:val="00E367C6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367C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Normalny"/>
    <w:link w:val="OpiswskanikaZnak"/>
    <w:qFormat/>
    <w:rsid w:val="00E367C6"/>
    <w:pPr>
      <w:spacing w:after="0" w:line="240" w:lineRule="auto"/>
    </w:pPr>
    <w:rPr>
      <w:rFonts w:ascii="Fira Sans" w:hAnsi="Fira Sans"/>
      <w:color w:val="FFFFFF" w:themeColor="background1"/>
      <w:sz w:val="20"/>
    </w:rPr>
  </w:style>
  <w:style w:type="character" w:customStyle="1" w:styleId="WartowskanikaZnak">
    <w:name w:val="Wartość wskaźnika Znak"/>
    <w:basedOn w:val="Domylnaczcionkaakapitu"/>
    <w:link w:val="Wartowskanika"/>
    <w:rsid w:val="00E367C6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Normalny"/>
    <w:link w:val="LeadZnak"/>
    <w:qFormat/>
    <w:rsid w:val="00E367C6"/>
    <w:pPr>
      <w:spacing w:before="36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OpiswskanikaZnak">
    <w:name w:val="Opis wskaźnika Znak"/>
    <w:basedOn w:val="Domylnaczcionkaakapitu"/>
    <w:link w:val="Opiswskanika"/>
    <w:rsid w:val="00E367C6"/>
    <w:rPr>
      <w:rFonts w:ascii="Fira Sans" w:hAnsi="Fira Sans"/>
      <w:color w:val="FFFFFF" w:themeColor="background1"/>
      <w:sz w:val="20"/>
    </w:rPr>
  </w:style>
  <w:style w:type="character" w:customStyle="1" w:styleId="LeadZnak">
    <w:name w:val="Lead Znak"/>
    <w:basedOn w:val="Domylnaczcionkaakapitu"/>
    <w:link w:val="Lead"/>
    <w:rsid w:val="00E367C6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wykresu">
    <w:name w:val="Tytuł wykresu"/>
    <w:basedOn w:val="Nagwek1"/>
    <w:link w:val="TytuwykresuZnak"/>
    <w:qFormat/>
    <w:rsid w:val="00E367C6"/>
    <w:pPr>
      <w:keepLines w:val="0"/>
      <w:spacing w:before="360" w:after="120" w:line="360" w:lineRule="auto"/>
      <w:ind w:left="851" w:hanging="851"/>
    </w:pPr>
    <w:rPr>
      <w:rFonts w:ascii="Fira Sans SemiBold" w:eastAsia="Times New Roman" w:hAnsi="Fira Sans SemiBold" w:cs="Times New Roman"/>
      <w:b/>
      <w:bCs/>
      <w:noProof/>
      <w:color w:val="auto"/>
      <w:sz w:val="19"/>
      <w:szCs w:val="24"/>
      <w:lang w:eastAsia="pl-PL"/>
    </w:rPr>
  </w:style>
  <w:style w:type="character" w:customStyle="1" w:styleId="TytuwykresuZnak">
    <w:name w:val="Tytuł wykresu Znak"/>
    <w:basedOn w:val="Domylnaczcionkaakapitu"/>
    <w:link w:val="Tytuwykresu"/>
    <w:rsid w:val="00E367C6"/>
    <w:rPr>
      <w:rFonts w:ascii="Fira Sans SemiBold" w:eastAsia="Times New Roman" w:hAnsi="Fira Sans SemiBold" w:cs="Times New Roman"/>
      <w:b/>
      <w:bCs/>
      <w:noProof/>
      <w:sz w:val="19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E367C6"/>
    <w:pPr>
      <w:spacing w:line="240" w:lineRule="auto"/>
    </w:pPr>
    <w:rPr>
      <w:rFonts w:ascii="Fira Sans" w:hAnsi="Fira Sans"/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http://schemas.microsoft.com/office/infopath/2007/PartnerControls"/>
    <ds:schemaRef ds:uri="aa523ec5-cbbc-4d5f-9643-4ef855cb0569"/>
    <ds:schemaRef ds:uri="0902ce76-2b94-4f28-a436-1a49c979f0c3"/>
  </ds:schemaRefs>
</ds:datastoreItem>
</file>

<file path=customXml/itemProps2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83D96-B41A-4034-ADB0-04FE11FFE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4</cp:revision>
  <dcterms:created xsi:type="dcterms:W3CDTF">2024-01-24T12:50:00Z</dcterms:created>
  <dcterms:modified xsi:type="dcterms:W3CDTF">2024-01-30T09:06:00Z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