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BF23" w14:textId="19EC2590" w:rsidR="008A64A1" w:rsidRPr="00490080" w:rsidRDefault="0087068E" w:rsidP="008A64A1">
      <w:pPr>
        <w:rPr>
          <w:rFonts w:ascii="Verdana" w:eastAsia="Times New Roman" w:hAnsi="Verdana" w:cstheme="minorHAnsi"/>
          <w:b/>
          <w:bCs/>
          <w:kern w:val="0"/>
          <w14:ligatures w14:val="none"/>
        </w:rPr>
      </w:pPr>
      <w:r>
        <w:rPr>
          <w:rFonts w:ascii="Verdana" w:eastAsia="Times New Roman" w:hAnsi="Verdana" w:cstheme="minorHAnsi"/>
          <w:b/>
          <w:bCs/>
          <w:kern w:val="0"/>
          <w14:ligatures w14:val="none"/>
        </w:rPr>
        <w:t>R</w:t>
      </w:r>
      <w:r w:rsidR="00F06B9F">
        <w:rPr>
          <w:rFonts w:ascii="Verdana" w:eastAsia="Times New Roman" w:hAnsi="Verdana" w:cstheme="minorHAnsi"/>
          <w:b/>
          <w:bCs/>
          <w:kern w:val="0"/>
          <w14:ligatures w14:val="none"/>
        </w:rPr>
        <w:t xml:space="preserve">ynek energii a MŚP – </w:t>
      </w:r>
      <w:r w:rsidR="00F06B9F" w:rsidRPr="00490080">
        <w:rPr>
          <w:rFonts w:ascii="Verdana" w:eastAsia="Times New Roman" w:hAnsi="Verdana" w:cstheme="minorHAnsi"/>
          <w:b/>
          <w:bCs/>
          <w:kern w:val="0"/>
          <w14:ligatures w14:val="none"/>
        </w:rPr>
        <w:t xml:space="preserve">podsumowanie </w:t>
      </w:r>
      <w:r w:rsidR="00F06B9F">
        <w:rPr>
          <w:rFonts w:ascii="Verdana" w:eastAsia="Times New Roman" w:hAnsi="Verdana" w:cstheme="minorHAnsi"/>
          <w:b/>
          <w:bCs/>
          <w:kern w:val="0"/>
          <w14:ligatures w14:val="none"/>
        </w:rPr>
        <w:t>2023 r</w:t>
      </w:r>
      <w:r>
        <w:rPr>
          <w:rFonts w:ascii="Verdana" w:eastAsia="Times New Roman" w:hAnsi="Verdana" w:cstheme="minorHAnsi"/>
          <w:b/>
          <w:bCs/>
          <w:kern w:val="0"/>
          <w14:ligatures w14:val="none"/>
        </w:rPr>
        <w:t>oku</w:t>
      </w:r>
      <w:r w:rsidR="00F06B9F">
        <w:rPr>
          <w:rFonts w:ascii="Verdana" w:eastAsia="Times New Roman" w:hAnsi="Verdana" w:cstheme="minorHAnsi"/>
          <w:b/>
          <w:bCs/>
          <w:kern w:val="0"/>
          <w14:ligatures w14:val="none"/>
        </w:rPr>
        <w:t xml:space="preserve"> </w:t>
      </w:r>
      <w:r w:rsidR="008A64A1" w:rsidRPr="00490080">
        <w:rPr>
          <w:rFonts w:ascii="Verdana" w:eastAsia="Times New Roman" w:hAnsi="Verdana" w:cstheme="minorHAnsi"/>
          <w:b/>
          <w:bCs/>
          <w:kern w:val="0"/>
          <w14:ligatures w14:val="none"/>
        </w:rPr>
        <w:t>i wyzwania na 2024</w:t>
      </w:r>
    </w:p>
    <w:p w14:paraId="70DE78C3" w14:textId="77777777" w:rsidR="009618E9" w:rsidRPr="00490080" w:rsidRDefault="009618E9" w:rsidP="008A64A1">
      <w:pPr>
        <w:rPr>
          <w:rFonts w:ascii="Verdana" w:eastAsia="Times New Roman" w:hAnsi="Verdana" w:cstheme="minorHAnsi"/>
          <w:b/>
          <w:bCs/>
          <w:kern w:val="0"/>
          <w:sz w:val="20"/>
          <w:szCs w:val="20"/>
          <w14:ligatures w14:val="none"/>
        </w:rPr>
      </w:pPr>
    </w:p>
    <w:p w14:paraId="23A39ECC" w14:textId="7A0901C7" w:rsidR="009618E9" w:rsidRPr="00490080" w:rsidRDefault="009618E9" w:rsidP="009618E9">
      <w:pPr>
        <w:pStyle w:val="Akapitzlist"/>
        <w:numPr>
          <w:ilvl w:val="0"/>
          <w:numId w:val="6"/>
        </w:numPr>
        <w:rPr>
          <w:rFonts w:ascii="Verdana" w:hAnsi="Verdana" w:cstheme="minorHAnsi"/>
          <w:b/>
          <w:bCs/>
          <w:sz w:val="20"/>
          <w:szCs w:val="20"/>
          <w:lang w:val="pl-PL"/>
        </w:rPr>
      </w:pPr>
      <w:r w:rsidRPr="00490080">
        <w:rPr>
          <w:rFonts w:ascii="Verdana" w:hAnsi="Verdana" w:cstheme="minorHAnsi"/>
          <w:b/>
          <w:bCs/>
          <w:sz w:val="20"/>
          <w:szCs w:val="20"/>
          <w:lang w:val="pl-PL"/>
        </w:rPr>
        <w:t>Zamrożone ceny energii, konieczność szybkiego dostosowania wewnętrznych systemów</w:t>
      </w:r>
      <w:r w:rsidR="00DC7B1B" w:rsidRPr="00490080">
        <w:rPr>
          <w:rFonts w:ascii="Verdana" w:hAnsi="Verdana" w:cstheme="minorHAnsi"/>
          <w:b/>
          <w:bCs/>
          <w:sz w:val="20"/>
          <w:szCs w:val="20"/>
          <w:lang w:val="pl-PL"/>
        </w:rPr>
        <w:t>,</w:t>
      </w:r>
      <w:r w:rsidRPr="00490080">
        <w:rPr>
          <w:rFonts w:ascii="Verdana" w:hAnsi="Verdana" w:cstheme="minorHAnsi"/>
          <w:b/>
          <w:bCs/>
          <w:sz w:val="20"/>
          <w:szCs w:val="20"/>
          <w:lang w:val="pl-PL"/>
        </w:rPr>
        <w:t xml:space="preserve"> wydłużony proces</w:t>
      </w:r>
      <w:r w:rsidR="00DC7B1B" w:rsidRPr="00490080">
        <w:rPr>
          <w:rFonts w:ascii="Verdana" w:hAnsi="Verdana" w:cstheme="minorHAnsi"/>
          <w:b/>
          <w:bCs/>
          <w:sz w:val="20"/>
          <w:szCs w:val="20"/>
          <w:lang w:val="pl-PL"/>
        </w:rPr>
        <w:t xml:space="preserve"> decyzyjny u klientów – </w:t>
      </w:r>
      <w:r w:rsidR="002B01CB">
        <w:rPr>
          <w:rFonts w:ascii="Verdana" w:hAnsi="Verdana" w:cstheme="minorHAnsi"/>
          <w:b/>
          <w:bCs/>
          <w:sz w:val="20"/>
          <w:szCs w:val="20"/>
          <w:lang w:val="pl-PL"/>
        </w:rPr>
        <w:t xml:space="preserve">właśnie </w:t>
      </w:r>
      <w:r w:rsidR="00DC7B1B" w:rsidRPr="00490080">
        <w:rPr>
          <w:rFonts w:ascii="Verdana" w:hAnsi="Verdana" w:cstheme="minorHAnsi"/>
          <w:b/>
          <w:bCs/>
          <w:sz w:val="20"/>
          <w:szCs w:val="20"/>
          <w:lang w:val="pl-PL"/>
        </w:rPr>
        <w:t>z takimi wyzwaniami mierzyły się spółki obrotu w ubiegłym roku.</w:t>
      </w:r>
    </w:p>
    <w:p w14:paraId="316CFEA7" w14:textId="34212391" w:rsidR="00DC7B1B" w:rsidRPr="00B5201B" w:rsidRDefault="00DC7B1B" w:rsidP="009618E9">
      <w:pPr>
        <w:pStyle w:val="Akapitzlist"/>
        <w:numPr>
          <w:ilvl w:val="0"/>
          <w:numId w:val="6"/>
        </w:numPr>
        <w:rPr>
          <w:rFonts w:ascii="Verdana" w:hAnsi="Verdana" w:cstheme="minorHAnsi"/>
          <w:b/>
          <w:bCs/>
          <w:sz w:val="20"/>
          <w:szCs w:val="20"/>
          <w:lang w:val="pl-PL"/>
        </w:rPr>
      </w:pPr>
      <w:r w:rsidRPr="00490080">
        <w:rPr>
          <w:rFonts w:ascii="Verdana" w:hAnsi="Verdana" w:cstheme="minorHAnsi"/>
          <w:b/>
          <w:bCs/>
          <w:sz w:val="20"/>
          <w:szCs w:val="20"/>
          <w:lang w:val="pl-PL"/>
        </w:rPr>
        <w:t xml:space="preserve">Pierwsze trzy kwartały </w:t>
      </w:r>
      <w:r w:rsidR="002B01CB">
        <w:rPr>
          <w:rFonts w:ascii="Verdana" w:hAnsi="Verdana" w:cstheme="minorHAnsi"/>
          <w:b/>
          <w:bCs/>
          <w:sz w:val="20"/>
          <w:szCs w:val="20"/>
          <w:lang w:val="pl-PL"/>
        </w:rPr>
        <w:t xml:space="preserve">2023 r. </w:t>
      </w:r>
      <w:r w:rsidR="0078507C" w:rsidRPr="00490080">
        <w:rPr>
          <w:rFonts w:ascii="Verdana" w:hAnsi="Verdana" w:cstheme="minorHAnsi"/>
          <w:b/>
          <w:bCs/>
          <w:sz w:val="20"/>
          <w:szCs w:val="20"/>
          <w:lang w:val="pl-PL"/>
        </w:rPr>
        <w:t>rynek</w:t>
      </w:r>
      <w:r w:rsidRPr="00490080">
        <w:rPr>
          <w:rFonts w:ascii="Verdana" w:hAnsi="Verdana" w:cstheme="minorHAnsi"/>
          <w:b/>
          <w:bCs/>
          <w:sz w:val="20"/>
          <w:szCs w:val="20"/>
          <w:lang w:val="pl-PL"/>
        </w:rPr>
        <w:t xml:space="preserve"> nie by</w:t>
      </w:r>
      <w:r w:rsidR="0078507C" w:rsidRPr="00490080">
        <w:rPr>
          <w:rFonts w:ascii="Verdana" w:hAnsi="Verdana" w:cstheme="minorHAnsi"/>
          <w:b/>
          <w:bCs/>
          <w:sz w:val="20"/>
          <w:szCs w:val="20"/>
          <w:lang w:val="pl-PL"/>
        </w:rPr>
        <w:t>ł</w:t>
      </w:r>
      <w:r w:rsidRPr="00490080">
        <w:rPr>
          <w:rFonts w:ascii="Verdana" w:hAnsi="Verdana" w:cstheme="minorHAnsi"/>
          <w:b/>
          <w:bCs/>
          <w:sz w:val="20"/>
          <w:szCs w:val="20"/>
          <w:lang w:val="pl-PL"/>
        </w:rPr>
        <w:t xml:space="preserve"> w stanie </w:t>
      </w:r>
      <w:r w:rsidR="0078507C" w:rsidRPr="00490080">
        <w:rPr>
          <w:rFonts w:ascii="Verdana" w:hAnsi="Verdana" w:cstheme="minorHAnsi"/>
          <w:b/>
          <w:bCs/>
          <w:sz w:val="20"/>
          <w:szCs w:val="20"/>
          <w:lang w:val="pl-PL"/>
        </w:rPr>
        <w:t xml:space="preserve">zaproponować klientom produktów z atrakcyjną stałą stawką – zmieniło się to dopiero pod koniec roku. Klienci MŚP </w:t>
      </w:r>
      <w:r w:rsidR="0078507C" w:rsidRPr="00B5201B">
        <w:rPr>
          <w:rFonts w:ascii="Verdana" w:hAnsi="Verdana" w:cstheme="minorHAnsi"/>
          <w:b/>
          <w:bCs/>
          <w:sz w:val="20"/>
          <w:szCs w:val="20"/>
          <w:lang w:val="pl-PL"/>
        </w:rPr>
        <w:t>zawierają obecnie umowy nawet do końca 2029 r.</w:t>
      </w:r>
    </w:p>
    <w:p w14:paraId="2D857E5A" w14:textId="31390059" w:rsidR="003B0825" w:rsidRPr="00B5201B" w:rsidRDefault="003B0825" w:rsidP="009618E9">
      <w:pPr>
        <w:pStyle w:val="Akapitzlist"/>
        <w:numPr>
          <w:ilvl w:val="0"/>
          <w:numId w:val="6"/>
        </w:numPr>
        <w:rPr>
          <w:rFonts w:ascii="Verdana" w:hAnsi="Verdana" w:cstheme="minorBidi"/>
          <w:b/>
          <w:sz w:val="20"/>
          <w:szCs w:val="20"/>
          <w:lang w:val="pl-PL"/>
        </w:rPr>
      </w:pPr>
      <w:r w:rsidRPr="55B0F35A">
        <w:rPr>
          <w:rFonts w:ascii="Verdana" w:hAnsi="Verdana" w:cstheme="minorBidi"/>
          <w:b/>
          <w:sz w:val="20"/>
          <w:szCs w:val="20"/>
          <w:lang w:val="pl-PL"/>
        </w:rPr>
        <w:t>W związku z wymogami ESG firmy coraz częściej chcą kupować energię bezpośrednio od wytwórcy. Spółki obrotu spodziewają się wzrostu zainteresowania umowami cPPA</w:t>
      </w:r>
      <w:r w:rsidR="002B01CB" w:rsidRPr="55B0F35A">
        <w:rPr>
          <w:rFonts w:ascii="Verdana" w:hAnsi="Verdana" w:cstheme="minorBidi"/>
          <w:b/>
          <w:sz w:val="20"/>
          <w:szCs w:val="20"/>
          <w:lang w:val="pl-PL"/>
        </w:rPr>
        <w:t xml:space="preserve"> oraz </w:t>
      </w:r>
      <w:r w:rsidRPr="55B0F35A">
        <w:rPr>
          <w:rFonts w:ascii="Verdana" w:hAnsi="Verdana" w:cstheme="minorBidi"/>
          <w:b/>
          <w:sz w:val="20"/>
          <w:szCs w:val="20"/>
          <w:lang w:val="pl-PL"/>
        </w:rPr>
        <w:t xml:space="preserve">dzierżawą gruntów pod farmy PV, wiatraki i </w:t>
      </w:r>
      <w:r w:rsidRPr="616B5BEE">
        <w:rPr>
          <w:rFonts w:ascii="Verdana" w:hAnsi="Verdana" w:cstheme="minorBidi"/>
          <w:b/>
          <w:bCs/>
          <w:sz w:val="20"/>
          <w:szCs w:val="20"/>
          <w:lang w:val="pl-PL"/>
        </w:rPr>
        <w:t>biogazownie</w:t>
      </w:r>
      <w:r w:rsidR="09E51CA1" w:rsidRPr="616B5BEE">
        <w:rPr>
          <w:rFonts w:ascii="Verdana" w:hAnsi="Verdana" w:cstheme="minorBidi"/>
          <w:b/>
          <w:bCs/>
          <w:sz w:val="20"/>
          <w:szCs w:val="20"/>
          <w:lang w:val="pl-PL"/>
        </w:rPr>
        <w:t>. T</w:t>
      </w:r>
      <w:r w:rsidR="002B01CB" w:rsidRPr="616B5BEE">
        <w:rPr>
          <w:rFonts w:ascii="Verdana" w:hAnsi="Verdana" w:cstheme="minorBidi"/>
          <w:b/>
          <w:bCs/>
          <w:sz w:val="20"/>
          <w:szCs w:val="20"/>
          <w:lang w:val="pl-PL"/>
        </w:rPr>
        <w:t>akże</w:t>
      </w:r>
      <w:r w:rsidR="002B01CB" w:rsidRPr="55B0F35A">
        <w:rPr>
          <w:rFonts w:ascii="Verdana" w:hAnsi="Verdana" w:cstheme="minorBidi"/>
          <w:b/>
          <w:sz w:val="20"/>
          <w:szCs w:val="20"/>
          <w:lang w:val="pl-PL"/>
        </w:rPr>
        <w:t xml:space="preserve"> przez klientów MŚP.</w:t>
      </w:r>
    </w:p>
    <w:p w14:paraId="15611E8C" w14:textId="2C9107DF" w:rsidR="00D26B55" w:rsidRPr="00B5201B" w:rsidRDefault="002B01CB" w:rsidP="009618E9">
      <w:pPr>
        <w:pStyle w:val="Akapitzlist"/>
        <w:numPr>
          <w:ilvl w:val="0"/>
          <w:numId w:val="6"/>
        </w:numPr>
        <w:rPr>
          <w:rFonts w:ascii="Verdana" w:hAnsi="Verdana" w:cstheme="minorHAnsi"/>
          <w:b/>
          <w:bCs/>
          <w:sz w:val="20"/>
          <w:szCs w:val="20"/>
          <w:lang w:val="pl-PL"/>
        </w:rPr>
      </w:pPr>
      <w:r>
        <w:rPr>
          <w:rFonts w:ascii="Verdana" w:hAnsi="Verdana" w:cstheme="minorHAnsi"/>
          <w:b/>
          <w:bCs/>
          <w:sz w:val="20"/>
          <w:szCs w:val="20"/>
          <w:lang w:val="pl-PL"/>
        </w:rPr>
        <w:t>Z roku na rok rośnie liczba spółek MŚP, które posiadają własne źródła wytwórcze.</w:t>
      </w:r>
    </w:p>
    <w:p w14:paraId="01466A53" w14:textId="77777777" w:rsidR="008A64A1" w:rsidRPr="00B5201B" w:rsidRDefault="008A64A1" w:rsidP="008A64A1">
      <w:pPr>
        <w:rPr>
          <w:rFonts w:ascii="Verdana" w:eastAsia="Times New Roman" w:hAnsi="Verdana" w:cstheme="minorHAnsi"/>
          <w:b/>
          <w:bCs/>
          <w:kern w:val="0"/>
          <w:sz w:val="20"/>
          <w:szCs w:val="20"/>
          <w14:ligatures w14:val="none"/>
        </w:rPr>
      </w:pPr>
    </w:p>
    <w:p w14:paraId="66CD76B2" w14:textId="0C881FDC" w:rsidR="00E73541" w:rsidRPr="00B5201B" w:rsidRDefault="00E73541" w:rsidP="008A64A1">
      <w:pPr>
        <w:rPr>
          <w:rFonts w:ascii="Verdana" w:eastAsia="Times New Roman" w:hAnsi="Verdana" w:cstheme="minorHAnsi"/>
          <w:kern w:val="0"/>
          <w:sz w:val="20"/>
          <w:szCs w:val="20"/>
          <w14:ligatures w14:val="none"/>
        </w:rPr>
      </w:pPr>
      <w:r w:rsidRPr="00B5201B">
        <w:rPr>
          <w:rFonts w:ascii="Verdana" w:eastAsia="Times New Roman" w:hAnsi="Verdana" w:cstheme="minorHAnsi"/>
          <w:kern w:val="0"/>
          <w:sz w:val="20"/>
          <w:szCs w:val="20"/>
          <w14:ligatures w14:val="none"/>
        </w:rPr>
        <w:t>Po burzliwym 2022</w:t>
      </w:r>
      <w:r w:rsidR="00521909">
        <w:rPr>
          <w:rFonts w:ascii="Verdana" w:eastAsia="Times New Roman" w:hAnsi="Verdana" w:cstheme="minorHAnsi"/>
          <w:kern w:val="0"/>
          <w:sz w:val="20"/>
          <w:szCs w:val="20"/>
          <w14:ligatures w14:val="none"/>
        </w:rPr>
        <w:t xml:space="preserve"> r.</w:t>
      </w:r>
      <w:r w:rsidRPr="00B5201B">
        <w:rPr>
          <w:rFonts w:ascii="Verdana" w:eastAsia="Times New Roman" w:hAnsi="Verdana" w:cstheme="minorHAnsi"/>
          <w:kern w:val="0"/>
          <w:sz w:val="20"/>
          <w:szCs w:val="20"/>
          <w14:ligatures w14:val="none"/>
        </w:rPr>
        <w:t xml:space="preserve">, który branża </w:t>
      </w:r>
      <w:r w:rsidR="00DC7871" w:rsidRPr="00B5201B">
        <w:rPr>
          <w:rFonts w:ascii="Verdana" w:eastAsia="Times New Roman" w:hAnsi="Verdana" w:cstheme="minorHAnsi"/>
          <w:kern w:val="0"/>
          <w:sz w:val="20"/>
          <w:szCs w:val="20"/>
          <w14:ligatures w14:val="none"/>
        </w:rPr>
        <w:t xml:space="preserve">energetyczna </w:t>
      </w:r>
      <w:r w:rsidRPr="00B5201B">
        <w:rPr>
          <w:rFonts w:ascii="Verdana" w:eastAsia="Times New Roman" w:hAnsi="Verdana" w:cstheme="minorHAnsi"/>
          <w:kern w:val="0"/>
          <w:sz w:val="20"/>
          <w:szCs w:val="20"/>
          <w14:ligatures w14:val="none"/>
        </w:rPr>
        <w:t>zapamięta przede wszystkim ze względu na duże wahania cen energii i konieczność zabezpieczenia się na wypadek niedostatków w jej produkcji,</w:t>
      </w:r>
      <w:r w:rsidR="00100AA2" w:rsidRPr="00B5201B">
        <w:rPr>
          <w:rFonts w:ascii="Verdana" w:eastAsia="Times New Roman" w:hAnsi="Verdana" w:cstheme="minorHAnsi"/>
          <w:kern w:val="0"/>
          <w:sz w:val="20"/>
          <w:szCs w:val="20"/>
          <w14:ligatures w14:val="none"/>
        </w:rPr>
        <w:t xml:space="preserve"> </w:t>
      </w:r>
      <w:r w:rsidRPr="00B5201B">
        <w:rPr>
          <w:rFonts w:ascii="Verdana" w:eastAsia="Times New Roman" w:hAnsi="Verdana" w:cstheme="minorHAnsi"/>
          <w:kern w:val="0"/>
          <w:sz w:val="20"/>
          <w:szCs w:val="20"/>
          <w14:ligatures w14:val="none"/>
        </w:rPr>
        <w:t>2023</w:t>
      </w:r>
      <w:r w:rsidR="00521909">
        <w:rPr>
          <w:rFonts w:ascii="Verdana" w:eastAsia="Times New Roman" w:hAnsi="Verdana" w:cstheme="minorHAnsi"/>
          <w:kern w:val="0"/>
          <w:sz w:val="20"/>
          <w:szCs w:val="20"/>
          <w14:ligatures w14:val="none"/>
        </w:rPr>
        <w:t xml:space="preserve"> r.</w:t>
      </w:r>
      <w:r w:rsidRPr="00B5201B">
        <w:rPr>
          <w:rFonts w:ascii="Verdana" w:eastAsia="Times New Roman" w:hAnsi="Verdana" w:cstheme="minorHAnsi"/>
          <w:kern w:val="0"/>
          <w:sz w:val="20"/>
          <w:szCs w:val="20"/>
          <w14:ligatures w14:val="none"/>
        </w:rPr>
        <w:t xml:space="preserve"> miał być już znacznie </w:t>
      </w:r>
      <w:r w:rsidR="001E20BA" w:rsidRPr="00B5201B">
        <w:rPr>
          <w:rFonts w:ascii="Verdana" w:eastAsia="Times New Roman" w:hAnsi="Verdana" w:cstheme="minorHAnsi"/>
          <w:kern w:val="0"/>
          <w:sz w:val="20"/>
          <w:szCs w:val="20"/>
          <w14:ligatures w14:val="none"/>
        </w:rPr>
        <w:t>stabilniejszy</w:t>
      </w:r>
      <w:r w:rsidRPr="00B5201B">
        <w:rPr>
          <w:rFonts w:ascii="Verdana" w:eastAsia="Times New Roman" w:hAnsi="Verdana" w:cstheme="minorHAnsi"/>
          <w:kern w:val="0"/>
          <w:sz w:val="20"/>
          <w:szCs w:val="20"/>
          <w14:ligatures w14:val="none"/>
        </w:rPr>
        <w:t xml:space="preserve">. </w:t>
      </w:r>
      <w:r w:rsidR="00F57314" w:rsidRPr="00B5201B">
        <w:rPr>
          <w:rFonts w:ascii="Verdana" w:eastAsia="Times New Roman" w:hAnsi="Verdana" w:cstheme="minorHAnsi"/>
          <w:kern w:val="0"/>
          <w:sz w:val="20"/>
          <w:szCs w:val="20"/>
          <w14:ligatures w14:val="none"/>
        </w:rPr>
        <w:t>Na pewno był spokojniejszy</w:t>
      </w:r>
      <w:r w:rsidR="00B87A16" w:rsidRPr="00B5201B">
        <w:rPr>
          <w:rFonts w:ascii="Verdana" w:eastAsia="Times New Roman" w:hAnsi="Verdana" w:cstheme="minorHAnsi"/>
          <w:kern w:val="0"/>
          <w:sz w:val="20"/>
          <w:szCs w:val="20"/>
          <w14:ligatures w14:val="none"/>
        </w:rPr>
        <w:t xml:space="preserve">, </w:t>
      </w:r>
      <w:r w:rsidR="0032505B" w:rsidRPr="00B5201B">
        <w:rPr>
          <w:rFonts w:ascii="Verdana" w:eastAsia="Times New Roman" w:hAnsi="Verdana" w:cstheme="minorHAnsi"/>
          <w:kern w:val="0"/>
          <w:sz w:val="20"/>
          <w:szCs w:val="20"/>
          <w14:ligatures w14:val="none"/>
        </w:rPr>
        <w:t>ale</w:t>
      </w:r>
      <w:r w:rsidR="00B87A16" w:rsidRPr="00B5201B">
        <w:rPr>
          <w:rFonts w:ascii="Verdana" w:eastAsia="Times New Roman" w:hAnsi="Verdana" w:cstheme="minorHAnsi"/>
          <w:kern w:val="0"/>
          <w:sz w:val="20"/>
          <w:szCs w:val="20"/>
          <w14:ligatures w14:val="none"/>
        </w:rPr>
        <w:t xml:space="preserve"> </w:t>
      </w:r>
      <w:r w:rsidR="00616C65" w:rsidRPr="00B5201B">
        <w:rPr>
          <w:rFonts w:ascii="Verdana" w:eastAsia="Times New Roman" w:hAnsi="Verdana" w:cstheme="minorHAnsi"/>
          <w:kern w:val="0"/>
          <w:sz w:val="20"/>
          <w:szCs w:val="20"/>
          <w14:ligatures w14:val="none"/>
        </w:rPr>
        <w:t>p</w:t>
      </w:r>
      <w:r w:rsidRPr="00B5201B">
        <w:rPr>
          <w:rFonts w:ascii="Verdana" w:eastAsia="Times New Roman" w:hAnsi="Verdana" w:cstheme="minorHAnsi"/>
          <w:kern w:val="0"/>
          <w:sz w:val="20"/>
          <w:szCs w:val="20"/>
          <w14:ligatures w14:val="none"/>
        </w:rPr>
        <w:t xml:space="preserve">ojawiły się nowe wyzwania, którym część rynku nie była w stanie sprostać. Dopiero końcówka </w:t>
      </w:r>
      <w:r w:rsidR="00D93BC4" w:rsidRPr="00B5201B">
        <w:rPr>
          <w:rFonts w:ascii="Verdana" w:eastAsia="Times New Roman" w:hAnsi="Verdana" w:cstheme="minorHAnsi"/>
          <w:kern w:val="0"/>
          <w:sz w:val="20"/>
          <w:szCs w:val="20"/>
          <w14:ligatures w14:val="none"/>
        </w:rPr>
        <w:t xml:space="preserve">ubiegłego </w:t>
      </w:r>
      <w:r w:rsidRPr="00B5201B">
        <w:rPr>
          <w:rFonts w:ascii="Verdana" w:eastAsia="Times New Roman" w:hAnsi="Verdana" w:cstheme="minorHAnsi"/>
          <w:kern w:val="0"/>
          <w:sz w:val="20"/>
          <w:szCs w:val="20"/>
          <w14:ligatures w14:val="none"/>
        </w:rPr>
        <w:t xml:space="preserve">roku </w:t>
      </w:r>
      <w:r w:rsidR="00102CCC" w:rsidRPr="00B5201B">
        <w:rPr>
          <w:rFonts w:ascii="Verdana" w:eastAsia="Times New Roman" w:hAnsi="Verdana" w:cstheme="minorHAnsi"/>
          <w:kern w:val="0"/>
          <w:sz w:val="20"/>
          <w:szCs w:val="20"/>
          <w14:ligatures w14:val="none"/>
        </w:rPr>
        <w:t xml:space="preserve">przyniosła </w:t>
      </w:r>
      <w:r w:rsidR="0032505B" w:rsidRPr="00B5201B">
        <w:rPr>
          <w:rFonts w:ascii="Verdana" w:eastAsia="Times New Roman" w:hAnsi="Verdana" w:cstheme="minorHAnsi"/>
          <w:kern w:val="0"/>
          <w:sz w:val="20"/>
          <w:szCs w:val="20"/>
          <w14:ligatures w14:val="none"/>
        </w:rPr>
        <w:t>stabilizację</w:t>
      </w:r>
      <w:r w:rsidR="00B92FD3" w:rsidRPr="00B5201B">
        <w:rPr>
          <w:rFonts w:ascii="Verdana" w:eastAsia="Times New Roman" w:hAnsi="Verdana" w:cstheme="minorHAnsi"/>
          <w:kern w:val="0"/>
          <w:sz w:val="20"/>
          <w:szCs w:val="20"/>
          <w14:ligatures w14:val="none"/>
        </w:rPr>
        <w:t xml:space="preserve"> cen</w:t>
      </w:r>
      <w:r w:rsidR="00622F48" w:rsidRPr="00B5201B">
        <w:rPr>
          <w:rFonts w:ascii="Verdana" w:eastAsia="Times New Roman" w:hAnsi="Verdana" w:cstheme="minorHAnsi"/>
          <w:kern w:val="0"/>
          <w:sz w:val="20"/>
          <w:szCs w:val="20"/>
          <w14:ligatures w14:val="none"/>
        </w:rPr>
        <w:t>, a z ni</w:t>
      </w:r>
      <w:r w:rsidR="0032505B" w:rsidRPr="00B5201B">
        <w:rPr>
          <w:rFonts w:ascii="Verdana" w:eastAsia="Times New Roman" w:hAnsi="Verdana" w:cstheme="minorHAnsi"/>
          <w:kern w:val="0"/>
          <w:sz w:val="20"/>
          <w:szCs w:val="20"/>
          <w14:ligatures w14:val="none"/>
        </w:rPr>
        <w:t>ą</w:t>
      </w:r>
      <w:r w:rsidR="00622F48" w:rsidRPr="00B5201B">
        <w:rPr>
          <w:rFonts w:ascii="Verdana" w:eastAsia="Times New Roman" w:hAnsi="Verdana" w:cstheme="minorHAnsi"/>
          <w:kern w:val="0"/>
          <w:sz w:val="20"/>
          <w:szCs w:val="20"/>
          <w14:ligatures w14:val="none"/>
        </w:rPr>
        <w:t xml:space="preserve"> także większe ożywienie na rynku</w:t>
      </w:r>
      <w:r w:rsidR="001E20BA" w:rsidRPr="00B5201B">
        <w:rPr>
          <w:rFonts w:ascii="Verdana" w:eastAsia="Times New Roman" w:hAnsi="Verdana" w:cstheme="minorHAnsi"/>
          <w:kern w:val="0"/>
          <w:sz w:val="20"/>
          <w:szCs w:val="20"/>
          <w14:ligatures w14:val="none"/>
        </w:rPr>
        <w:t xml:space="preserve">. </w:t>
      </w:r>
      <w:r w:rsidR="00B92FD3" w:rsidRPr="00B5201B">
        <w:rPr>
          <w:rFonts w:ascii="Verdana" w:eastAsia="Times New Roman" w:hAnsi="Verdana" w:cstheme="minorHAnsi"/>
          <w:kern w:val="0"/>
          <w:sz w:val="20"/>
          <w:szCs w:val="20"/>
          <w14:ligatures w14:val="none"/>
        </w:rPr>
        <w:t>Między innymi właśnie dlatego</w:t>
      </w:r>
      <w:r w:rsidR="001E20BA" w:rsidRPr="00B5201B">
        <w:rPr>
          <w:rFonts w:ascii="Verdana" w:eastAsia="Times New Roman" w:hAnsi="Verdana" w:cstheme="minorHAnsi"/>
          <w:kern w:val="0"/>
          <w:sz w:val="20"/>
          <w:szCs w:val="20"/>
          <w14:ligatures w14:val="none"/>
        </w:rPr>
        <w:t xml:space="preserve"> </w:t>
      </w:r>
      <w:r w:rsidR="00B92FD3" w:rsidRPr="00B5201B">
        <w:rPr>
          <w:rFonts w:ascii="Verdana" w:eastAsia="Times New Roman" w:hAnsi="Verdana" w:cstheme="minorHAnsi"/>
          <w:kern w:val="0"/>
          <w:sz w:val="20"/>
          <w:szCs w:val="20"/>
          <w14:ligatures w14:val="none"/>
        </w:rPr>
        <w:t xml:space="preserve">2024 </w:t>
      </w:r>
      <w:r w:rsidR="001E20BA" w:rsidRPr="00B5201B">
        <w:rPr>
          <w:rFonts w:ascii="Verdana" w:eastAsia="Times New Roman" w:hAnsi="Verdana" w:cstheme="minorHAnsi"/>
          <w:kern w:val="0"/>
          <w:sz w:val="20"/>
          <w:szCs w:val="20"/>
          <w14:ligatures w14:val="none"/>
        </w:rPr>
        <w:t>r</w:t>
      </w:r>
      <w:r w:rsidR="00521909">
        <w:rPr>
          <w:rFonts w:ascii="Verdana" w:eastAsia="Times New Roman" w:hAnsi="Verdana" w:cstheme="minorHAnsi"/>
          <w:kern w:val="0"/>
          <w:sz w:val="20"/>
          <w:szCs w:val="20"/>
          <w14:ligatures w14:val="none"/>
        </w:rPr>
        <w:t>.</w:t>
      </w:r>
      <w:r w:rsidR="00102CCC" w:rsidRPr="00B5201B">
        <w:rPr>
          <w:rFonts w:ascii="Verdana" w:eastAsia="Times New Roman" w:hAnsi="Verdana" w:cstheme="minorHAnsi"/>
          <w:kern w:val="0"/>
          <w:sz w:val="20"/>
          <w:szCs w:val="20"/>
          <w14:ligatures w14:val="none"/>
        </w:rPr>
        <w:t xml:space="preserve"> może obfitować w wiele rozwiązań dopasowanych do całkiem nowych wymagań klientów</w:t>
      </w:r>
      <w:r w:rsidR="001E20BA" w:rsidRPr="00B5201B">
        <w:rPr>
          <w:rFonts w:ascii="Verdana" w:eastAsia="Times New Roman" w:hAnsi="Verdana" w:cstheme="minorHAnsi"/>
          <w:kern w:val="0"/>
          <w:sz w:val="20"/>
          <w:szCs w:val="20"/>
          <w14:ligatures w14:val="none"/>
        </w:rPr>
        <w:t xml:space="preserve"> – </w:t>
      </w:r>
      <w:r w:rsidR="00102CCC" w:rsidRPr="00B5201B">
        <w:rPr>
          <w:rFonts w:ascii="Verdana" w:eastAsia="Times New Roman" w:hAnsi="Verdana" w:cstheme="minorHAnsi"/>
          <w:kern w:val="0"/>
          <w:sz w:val="20"/>
          <w:szCs w:val="20"/>
          <w14:ligatures w14:val="none"/>
        </w:rPr>
        <w:t xml:space="preserve">zwłaszcza </w:t>
      </w:r>
      <w:r w:rsidR="0040230E" w:rsidRPr="00B5201B">
        <w:rPr>
          <w:rFonts w:ascii="Verdana" w:eastAsia="Times New Roman" w:hAnsi="Verdana" w:cstheme="minorHAnsi"/>
          <w:kern w:val="0"/>
          <w:sz w:val="20"/>
          <w:szCs w:val="20"/>
          <w14:ligatures w14:val="none"/>
        </w:rPr>
        <w:t xml:space="preserve">tych </w:t>
      </w:r>
      <w:r w:rsidR="00102CCC" w:rsidRPr="00B5201B">
        <w:rPr>
          <w:rFonts w:ascii="Verdana" w:eastAsia="Times New Roman" w:hAnsi="Verdana" w:cstheme="minorHAnsi"/>
          <w:kern w:val="0"/>
          <w:sz w:val="20"/>
          <w:szCs w:val="20"/>
          <w14:ligatures w14:val="none"/>
        </w:rPr>
        <w:t xml:space="preserve">z </w:t>
      </w:r>
      <w:r w:rsidR="009169A7" w:rsidRPr="00B5201B">
        <w:rPr>
          <w:rFonts w:ascii="Verdana" w:eastAsia="Times New Roman" w:hAnsi="Verdana" w:cstheme="minorHAnsi"/>
          <w:kern w:val="0"/>
          <w:sz w:val="20"/>
          <w:szCs w:val="20"/>
          <w14:ligatures w14:val="none"/>
        </w:rPr>
        <w:t>sektora</w:t>
      </w:r>
      <w:r w:rsidR="00102CCC" w:rsidRPr="00B5201B">
        <w:rPr>
          <w:rFonts w:ascii="Verdana" w:eastAsia="Times New Roman" w:hAnsi="Verdana" w:cstheme="minorHAnsi"/>
          <w:kern w:val="0"/>
          <w:sz w:val="20"/>
          <w:szCs w:val="20"/>
          <w14:ligatures w14:val="none"/>
        </w:rPr>
        <w:t xml:space="preserve"> MŚP.</w:t>
      </w:r>
    </w:p>
    <w:p w14:paraId="10869030" w14:textId="77777777" w:rsidR="00102CCC" w:rsidRPr="00B5201B" w:rsidRDefault="00102CCC" w:rsidP="008A64A1">
      <w:pPr>
        <w:rPr>
          <w:rFonts w:ascii="Verdana" w:eastAsia="Times New Roman" w:hAnsi="Verdana" w:cstheme="minorHAnsi"/>
          <w:kern w:val="0"/>
          <w:sz w:val="20"/>
          <w:szCs w:val="20"/>
          <w14:ligatures w14:val="none"/>
        </w:rPr>
      </w:pPr>
    </w:p>
    <w:p w14:paraId="27C88037" w14:textId="10C854B9" w:rsidR="00102CCC" w:rsidRPr="00B5201B" w:rsidRDefault="00102CCC" w:rsidP="008A64A1">
      <w:pPr>
        <w:rPr>
          <w:rFonts w:ascii="Verdana" w:eastAsia="Times New Roman" w:hAnsi="Verdana" w:cstheme="minorHAnsi"/>
          <w:b/>
          <w:bCs/>
          <w:kern w:val="0"/>
          <w:sz w:val="20"/>
          <w:szCs w:val="20"/>
          <w14:ligatures w14:val="none"/>
        </w:rPr>
      </w:pPr>
      <w:r w:rsidRPr="00B5201B">
        <w:rPr>
          <w:rFonts w:ascii="Verdana" w:eastAsia="Times New Roman" w:hAnsi="Verdana" w:cstheme="minorHAnsi"/>
          <w:b/>
          <w:bCs/>
          <w:kern w:val="0"/>
          <w:sz w:val="20"/>
          <w:szCs w:val="20"/>
          <w14:ligatures w14:val="none"/>
        </w:rPr>
        <w:t>Zamrożone ceny energii to ograniczone pole manewru dla spółek obrotu</w:t>
      </w:r>
    </w:p>
    <w:p w14:paraId="48763309" w14:textId="77777777" w:rsidR="00E73541" w:rsidRPr="00B5201B" w:rsidRDefault="00E73541" w:rsidP="008A64A1">
      <w:pPr>
        <w:rPr>
          <w:rFonts w:ascii="Verdana" w:eastAsia="Times New Roman" w:hAnsi="Verdana" w:cstheme="minorHAnsi"/>
          <w:kern w:val="0"/>
          <w:sz w:val="20"/>
          <w:szCs w:val="20"/>
          <w14:ligatures w14:val="none"/>
        </w:rPr>
      </w:pPr>
    </w:p>
    <w:p w14:paraId="3CAC3F59" w14:textId="41A2C4C8" w:rsidR="00D90CB1" w:rsidRPr="00B5201B" w:rsidRDefault="00280108" w:rsidP="008A64A1">
      <w:pPr>
        <w:rPr>
          <w:rFonts w:ascii="Verdana" w:eastAsia="Times New Roman" w:hAnsi="Verdana"/>
          <w:kern w:val="0"/>
          <w:sz w:val="20"/>
          <w:szCs w:val="20"/>
          <w14:ligatures w14:val="none"/>
        </w:rPr>
      </w:pPr>
      <w:r>
        <w:rPr>
          <w:rFonts w:ascii="Verdana" w:eastAsia="Times New Roman" w:hAnsi="Verdana"/>
          <w:kern w:val="0"/>
          <w:sz w:val="20"/>
          <w:szCs w:val="20"/>
          <w14:ligatures w14:val="none"/>
        </w:rPr>
        <w:t>Pod koniec 2022 r</w:t>
      </w:r>
      <w:r w:rsidR="00521909">
        <w:rPr>
          <w:rFonts w:ascii="Verdana" w:eastAsia="Times New Roman" w:hAnsi="Verdana"/>
          <w:kern w:val="0"/>
          <w:sz w:val="20"/>
          <w:szCs w:val="20"/>
          <w14:ligatures w14:val="none"/>
        </w:rPr>
        <w:t>.</w:t>
      </w:r>
      <w:r>
        <w:rPr>
          <w:rFonts w:ascii="Verdana" w:eastAsia="Times New Roman" w:hAnsi="Verdana"/>
          <w:kern w:val="0"/>
          <w:sz w:val="20"/>
          <w:szCs w:val="20"/>
          <w14:ligatures w14:val="none"/>
        </w:rPr>
        <w:t xml:space="preserve"> </w:t>
      </w:r>
      <w:r w:rsidR="684C71CD" w:rsidRPr="74FBCDC6">
        <w:rPr>
          <w:rFonts w:ascii="Verdana" w:eastAsia="Times New Roman" w:hAnsi="Verdana"/>
          <w:kern w:val="0"/>
          <w:sz w:val="20"/>
          <w:szCs w:val="20"/>
          <w14:ligatures w14:val="none"/>
        </w:rPr>
        <w:t>rząd wprowadz</w:t>
      </w:r>
      <w:r w:rsidR="684C71CD" w:rsidRPr="4AC1E1C8">
        <w:rPr>
          <w:rFonts w:ascii="Verdana" w:eastAsia="Times New Roman" w:hAnsi="Verdana"/>
          <w:sz w:val="20"/>
          <w:szCs w:val="20"/>
        </w:rPr>
        <w:t xml:space="preserve">ił </w:t>
      </w:r>
      <w:r w:rsidR="00215923" w:rsidRPr="4AC1E1C8">
        <w:rPr>
          <w:rFonts w:ascii="Verdana" w:eastAsia="Times New Roman" w:hAnsi="Verdana"/>
          <w:sz w:val="20"/>
          <w:szCs w:val="20"/>
        </w:rPr>
        <w:t xml:space="preserve">w Polsce </w:t>
      </w:r>
      <w:r w:rsidR="008B2516" w:rsidRPr="74FBCDC6">
        <w:rPr>
          <w:rFonts w:ascii="Verdana" w:eastAsia="Times New Roman" w:hAnsi="Verdana"/>
          <w:kern w:val="0"/>
          <w:sz w:val="20"/>
          <w:szCs w:val="20"/>
          <w14:ligatures w14:val="none"/>
        </w:rPr>
        <w:t>rozwiązanie zamr</w:t>
      </w:r>
      <w:r w:rsidR="001A5C21">
        <w:rPr>
          <w:rFonts w:ascii="Verdana" w:eastAsia="Times New Roman" w:hAnsi="Verdana"/>
          <w:kern w:val="0"/>
          <w:sz w:val="20"/>
          <w:szCs w:val="20"/>
          <w14:ligatures w14:val="none"/>
        </w:rPr>
        <w:t>ażające</w:t>
      </w:r>
      <w:r w:rsidR="008B2516" w:rsidRPr="74FBCDC6">
        <w:rPr>
          <w:rFonts w:ascii="Verdana" w:eastAsia="Times New Roman" w:hAnsi="Verdana"/>
          <w:kern w:val="0"/>
          <w:sz w:val="20"/>
          <w:szCs w:val="20"/>
          <w14:ligatures w14:val="none"/>
        </w:rPr>
        <w:t xml:space="preserve"> cen</w:t>
      </w:r>
      <w:r w:rsidR="001A5C21">
        <w:rPr>
          <w:rFonts w:ascii="Verdana" w:eastAsia="Times New Roman" w:hAnsi="Verdana"/>
          <w:kern w:val="0"/>
          <w:sz w:val="20"/>
          <w:szCs w:val="20"/>
          <w14:ligatures w14:val="none"/>
        </w:rPr>
        <w:t>y</w:t>
      </w:r>
      <w:r w:rsidR="008B2516" w:rsidRPr="74FBCDC6">
        <w:rPr>
          <w:rFonts w:ascii="Verdana" w:eastAsia="Times New Roman" w:hAnsi="Verdana"/>
          <w:kern w:val="0"/>
          <w:sz w:val="20"/>
          <w:szCs w:val="20"/>
          <w14:ligatures w14:val="none"/>
        </w:rPr>
        <w:t xml:space="preserve"> energii </w:t>
      </w:r>
      <w:r w:rsidR="00215923" w:rsidRPr="3B98F52C" w:rsidDel="684C71CD">
        <w:rPr>
          <w:rFonts w:ascii="Verdana" w:eastAsia="Times New Roman" w:hAnsi="Verdana"/>
          <w:sz w:val="20"/>
          <w:szCs w:val="20"/>
        </w:rPr>
        <w:t>elektrycznej</w:t>
      </w:r>
      <w:r w:rsidR="00521909">
        <w:rPr>
          <w:rFonts w:ascii="Verdana" w:eastAsia="Times New Roman" w:hAnsi="Verdana"/>
          <w:sz w:val="20"/>
          <w:szCs w:val="20"/>
        </w:rPr>
        <w:t>,</w:t>
      </w:r>
      <w:r w:rsidR="00215923" w:rsidRPr="3B98F52C" w:rsidDel="684C71CD">
        <w:rPr>
          <w:rFonts w:ascii="Verdana" w:eastAsia="Times New Roman" w:hAnsi="Verdana"/>
          <w:sz w:val="20"/>
          <w:szCs w:val="20"/>
        </w:rPr>
        <w:t xml:space="preserve"> </w:t>
      </w:r>
      <w:r w:rsidR="008B2516" w:rsidRPr="74FBCDC6">
        <w:rPr>
          <w:rFonts w:ascii="Verdana" w:eastAsia="Times New Roman" w:hAnsi="Verdana"/>
          <w:kern w:val="0"/>
          <w:sz w:val="20"/>
          <w:szCs w:val="20"/>
          <w14:ligatures w14:val="none"/>
        </w:rPr>
        <w:t>tzw. Tarcz</w:t>
      </w:r>
      <w:r w:rsidR="0E3FA8E7" w:rsidRPr="74FBCDC6">
        <w:rPr>
          <w:rFonts w:ascii="Verdana" w:eastAsia="Times New Roman" w:hAnsi="Verdana"/>
          <w:kern w:val="0"/>
          <w:sz w:val="20"/>
          <w:szCs w:val="20"/>
          <w14:ligatures w14:val="none"/>
        </w:rPr>
        <w:t>ę</w:t>
      </w:r>
      <w:r w:rsidR="008B2516" w:rsidRPr="74FBCDC6">
        <w:rPr>
          <w:rFonts w:ascii="Verdana" w:eastAsia="Times New Roman" w:hAnsi="Verdana"/>
          <w:kern w:val="0"/>
          <w:sz w:val="20"/>
          <w:szCs w:val="20"/>
          <w14:ligatures w14:val="none"/>
        </w:rPr>
        <w:t xml:space="preserve"> Solidarnościow</w:t>
      </w:r>
      <w:r w:rsidR="139140E5" w:rsidRPr="74FBCDC6">
        <w:rPr>
          <w:rFonts w:ascii="Verdana" w:eastAsia="Times New Roman" w:hAnsi="Verdana"/>
          <w:kern w:val="0"/>
          <w:sz w:val="20"/>
          <w:szCs w:val="20"/>
          <w14:ligatures w14:val="none"/>
        </w:rPr>
        <w:t>ą</w:t>
      </w:r>
      <w:r>
        <w:rPr>
          <w:rFonts w:ascii="Verdana" w:eastAsia="Times New Roman" w:hAnsi="Verdana"/>
          <w:kern w:val="0"/>
          <w:sz w:val="20"/>
          <w:szCs w:val="20"/>
          <w14:ligatures w14:val="none"/>
        </w:rPr>
        <w:t>, która obowiązywała od grudnia 2022 r</w:t>
      </w:r>
      <w:r w:rsidR="00521909">
        <w:rPr>
          <w:rFonts w:ascii="Verdana" w:eastAsia="Times New Roman" w:hAnsi="Verdana"/>
          <w:kern w:val="0"/>
          <w:sz w:val="20"/>
          <w:szCs w:val="20"/>
          <w14:ligatures w14:val="none"/>
        </w:rPr>
        <w:t>.</w:t>
      </w:r>
      <w:r>
        <w:rPr>
          <w:rFonts w:ascii="Verdana" w:eastAsia="Times New Roman" w:hAnsi="Verdana"/>
          <w:kern w:val="0"/>
          <w:sz w:val="20"/>
          <w:szCs w:val="20"/>
          <w14:ligatures w14:val="none"/>
        </w:rPr>
        <w:t xml:space="preserve"> i w całym 2023</w:t>
      </w:r>
      <w:r w:rsidR="00521909">
        <w:rPr>
          <w:rFonts w:ascii="Verdana" w:eastAsia="Times New Roman" w:hAnsi="Verdana"/>
          <w:kern w:val="0"/>
          <w:sz w:val="20"/>
          <w:szCs w:val="20"/>
          <w14:ligatures w14:val="none"/>
        </w:rPr>
        <w:t xml:space="preserve"> r</w:t>
      </w:r>
      <w:r w:rsidR="00977F7D" w:rsidRPr="74FBCDC6">
        <w:rPr>
          <w:rFonts w:ascii="Verdana" w:eastAsia="Times New Roman" w:hAnsi="Verdana"/>
          <w:kern w:val="0"/>
          <w:sz w:val="20"/>
          <w:szCs w:val="20"/>
          <w14:ligatures w14:val="none"/>
        </w:rPr>
        <w:t>.</w:t>
      </w:r>
      <w:r w:rsidR="00233872" w:rsidRPr="74FBCDC6">
        <w:rPr>
          <w:rFonts w:ascii="Verdana" w:eastAsia="Times New Roman" w:hAnsi="Verdana"/>
          <w:kern w:val="0"/>
          <w:sz w:val="20"/>
          <w:szCs w:val="20"/>
          <w14:ligatures w14:val="none"/>
        </w:rPr>
        <w:t xml:space="preserve"> </w:t>
      </w:r>
      <w:r w:rsidR="00540D79">
        <w:rPr>
          <w:rFonts w:ascii="Verdana" w:eastAsia="Times New Roman" w:hAnsi="Verdana"/>
          <w:sz w:val="20"/>
          <w:szCs w:val="20"/>
        </w:rPr>
        <w:t>Ustawa znacząco wpłynęła na kształt rynku i była wyzwaniem dla spółek obrotu. W</w:t>
      </w:r>
      <w:r w:rsidR="00215923" w:rsidRPr="74FBCDC6">
        <w:rPr>
          <w:rFonts w:ascii="Verdana" w:eastAsia="Times New Roman" w:hAnsi="Verdana"/>
          <w:kern w:val="0"/>
          <w:sz w:val="20"/>
          <w:szCs w:val="20"/>
          <w14:ligatures w14:val="none"/>
        </w:rPr>
        <w:t xml:space="preserve"> </w:t>
      </w:r>
      <w:r w:rsidR="00AC0648" w:rsidRPr="4AC1E1C8">
        <w:rPr>
          <w:rFonts w:ascii="Verdana" w:eastAsia="Times New Roman" w:hAnsi="Verdana"/>
          <w:sz w:val="20"/>
          <w:szCs w:val="20"/>
        </w:rPr>
        <w:t xml:space="preserve">pierwszej części </w:t>
      </w:r>
      <w:r w:rsidR="00820DEB">
        <w:rPr>
          <w:rFonts w:ascii="Verdana" w:eastAsia="Times New Roman" w:hAnsi="Verdana"/>
          <w:sz w:val="20"/>
          <w:szCs w:val="20"/>
        </w:rPr>
        <w:t xml:space="preserve">ubiegłego </w:t>
      </w:r>
      <w:r w:rsidR="00AC0648" w:rsidRPr="4AC1E1C8">
        <w:rPr>
          <w:rFonts w:ascii="Verdana" w:eastAsia="Times New Roman" w:hAnsi="Verdana"/>
          <w:sz w:val="20"/>
          <w:szCs w:val="20"/>
        </w:rPr>
        <w:t xml:space="preserve">roku </w:t>
      </w:r>
      <w:r w:rsidR="00540D79">
        <w:rPr>
          <w:rFonts w:ascii="Verdana" w:eastAsia="Times New Roman" w:hAnsi="Verdana"/>
          <w:kern w:val="0"/>
          <w:sz w:val="20"/>
          <w:szCs w:val="20"/>
          <w14:ligatures w14:val="none"/>
        </w:rPr>
        <w:t>była nim</w:t>
      </w:r>
      <w:r w:rsidR="00540D79">
        <w:rPr>
          <w:rFonts w:ascii="Verdana" w:eastAsia="Times New Roman" w:hAnsi="Verdana"/>
          <w:sz w:val="20"/>
          <w:szCs w:val="20"/>
        </w:rPr>
        <w:t xml:space="preserve"> </w:t>
      </w:r>
      <w:r w:rsidR="00463A5D" w:rsidRPr="74FBCDC6">
        <w:rPr>
          <w:rFonts w:ascii="Verdana" w:eastAsia="Times New Roman" w:hAnsi="Verdana"/>
          <w:kern w:val="0"/>
          <w:sz w:val="20"/>
          <w:szCs w:val="20"/>
          <w14:ligatures w14:val="none"/>
        </w:rPr>
        <w:t xml:space="preserve">także </w:t>
      </w:r>
      <w:r w:rsidR="00102CCC" w:rsidRPr="74FBCDC6">
        <w:rPr>
          <w:rFonts w:ascii="Verdana" w:eastAsia="Times New Roman" w:hAnsi="Verdana"/>
          <w:kern w:val="0"/>
          <w:sz w:val="20"/>
          <w:szCs w:val="20"/>
          <w14:ligatures w14:val="none"/>
        </w:rPr>
        <w:t xml:space="preserve">konieczność </w:t>
      </w:r>
      <w:r w:rsidR="00F071E9" w:rsidRPr="74FBCDC6">
        <w:rPr>
          <w:rFonts w:ascii="Verdana" w:eastAsia="Times New Roman" w:hAnsi="Verdana"/>
          <w:kern w:val="0"/>
          <w:sz w:val="20"/>
          <w:szCs w:val="20"/>
          <w14:ligatures w14:val="none"/>
        </w:rPr>
        <w:t>dostosowani</w:t>
      </w:r>
      <w:r w:rsidR="00102CCC" w:rsidRPr="74FBCDC6">
        <w:rPr>
          <w:rFonts w:ascii="Verdana" w:eastAsia="Times New Roman" w:hAnsi="Verdana"/>
          <w:kern w:val="0"/>
          <w:sz w:val="20"/>
          <w:szCs w:val="20"/>
          <w14:ligatures w14:val="none"/>
        </w:rPr>
        <w:t>a</w:t>
      </w:r>
      <w:r w:rsidR="00F071E9" w:rsidRPr="74FBCDC6">
        <w:rPr>
          <w:rFonts w:ascii="Verdana" w:eastAsia="Times New Roman" w:hAnsi="Verdana"/>
          <w:kern w:val="0"/>
          <w:sz w:val="20"/>
          <w:szCs w:val="20"/>
          <w14:ligatures w14:val="none"/>
        </w:rPr>
        <w:t xml:space="preserve"> systemów informatycznych i wewnętrznych procesów do nowego sposobu rozliczeń z klientami</w:t>
      </w:r>
      <w:r w:rsidR="28FBF4E2" w:rsidRPr="74FBCDC6">
        <w:rPr>
          <w:rFonts w:ascii="Verdana" w:eastAsia="Times New Roman" w:hAnsi="Verdana"/>
          <w:kern w:val="0"/>
          <w:sz w:val="20"/>
          <w:szCs w:val="20"/>
          <w14:ligatures w14:val="none"/>
        </w:rPr>
        <w:t>.</w:t>
      </w:r>
    </w:p>
    <w:p w14:paraId="24FE9617" w14:textId="77777777" w:rsidR="00D90CB1" w:rsidRPr="00B5201B" w:rsidRDefault="00D90CB1" w:rsidP="008A64A1">
      <w:pPr>
        <w:rPr>
          <w:rFonts w:ascii="Verdana" w:eastAsia="Times New Roman" w:hAnsi="Verdana" w:cstheme="minorHAnsi"/>
          <w:kern w:val="0"/>
          <w:sz w:val="20"/>
          <w:szCs w:val="20"/>
          <w14:ligatures w14:val="none"/>
        </w:rPr>
      </w:pPr>
    </w:p>
    <w:p w14:paraId="141DE066" w14:textId="1C58CC06" w:rsidR="006355C7" w:rsidRPr="00B5201B" w:rsidRDefault="23E4D8DE" w:rsidP="4AC1E1C8">
      <w:pPr>
        <w:spacing w:line="259" w:lineRule="auto"/>
        <w:rPr>
          <w:rFonts w:ascii="Verdana" w:eastAsia="Times New Roman" w:hAnsi="Verdana"/>
          <w:sz w:val="20"/>
          <w:szCs w:val="20"/>
        </w:rPr>
      </w:pPr>
      <w:r w:rsidRPr="4AC1E1C8">
        <w:rPr>
          <w:rFonts w:ascii="Verdana" w:eastAsia="Times New Roman" w:hAnsi="Verdana"/>
          <w:kern w:val="0"/>
          <w:sz w:val="20"/>
          <w:szCs w:val="20"/>
          <w14:ligatures w14:val="none"/>
        </w:rPr>
        <w:t>–</w:t>
      </w:r>
      <w:r w:rsidR="0A44BFE6" w:rsidRPr="4AC1E1C8">
        <w:rPr>
          <w:rFonts w:ascii="Verdana" w:eastAsia="Times New Roman" w:hAnsi="Verdana"/>
          <w:kern w:val="0"/>
          <w:sz w:val="20"/>
          <w:szCs w:val="20"/>
          <w14:ligatures w14:val="none"/>
        </w:rPr>
        <w:t xml:space="preserve"> </w:t>
      </w:r>
      <w:r w:rsidR="5C3BC61B" w:rsidRPr="375D3D0C">
        <w:rPr>
          <w:rFonts w:ascii="Verdana" w:eastAsia="Times New Roman" w:hAnsi="Verdana"/>
          <w:i/>
          <w:iCs/>
          <w:kern w:val="0"/>
          <w:sz w:val="20"/>
          <w:szCs w:val="20"/>
          <w14:ligatures w14:val="none"/>
        </w:rPr>
        <w:t xml:space="preserve">Wielu sprzedawców </w:t>
      </w:r>
      <w:r w:rsidR="3FC3F461" w:rsidRPr="375D3D0C">
        <w:rPr>
          <w:rFonts w:ascii="Verdana" w:eastAsia="Times New Roman" w:hAnsi="Verdana"/>
          <w:i/>
          <w:iCs/>
          <w:kern w:val="0"/>
          <w:sz w:val="20"/>
          <w:szCs w:val="20"/>
          <w14:ligatures w14:val="none"/>
        </w:rPr>
        <w:t>ogranicz</w:t>
      </w:r>
      <w:r w:rsidR="10076A96" w:rsidRPr="375D3D0C">
        <w:rPr>
          <w:rFonts w:ascii="Verdana" w:eastAsia="Times New Roman" w:hAnsi="Verdana"/>
          <w:i/>
          <w:iCs/>
          <w:kern w:val="0"/>
          <w:sz w:val="20"/>
          <w:szCs w:val="20"/>
          <w14:ligatures w14:val="none"/>
        </w:rPr>
        <w:t>yło</w:t>
      </w:r>
      <w:r w:rsidR="3FC3F461" w:rsidRPr="375D3D0C">
        <w:rPr>
          <w:rFonts w:ascii="Verdana" w:eastAsia="Times New Roman" w:hAnsi="Verdana"/>
          <w:i/>
          <w:iCs/>
          <w:kern w:val="0"/>
          <w:sz w:val="20"/>
          <w:szCs w:val="20"/>
          <w14:ligatures w14:val="none"/>
        </w:rPr>
        <w:t xml:space="preserve"> oferty </w:t>
      </w:r>
      <w:r w:rsidR="79E4E6C1" w:rsidRPr="375D3D0C">
        <w:rPr>
          <w:rFonts w:ascii="Verdana" w:eastAsia="Times New Roman" w:hAnsi="Verdana"/>
          <w:i/>
          <w:iCs/>
          <w:sz w:val="20"/>
          <w:szCs w:val="20"/>
        </w:rPr>
        <w:t>z konieczności</w:t>
      </w:r>
      <w:r w:rsidR="161CFA2F" w:rsidRPr="375D3D0C">
        <w:rPr>
          <w:rFonts w:ascii="Verdana" w:eastAsia="Times New Roman" w:hAnsi="Verdana"/>
          <w:i/>
          <w:iCs/>
          <w:sz w:val="20"/>
          <w:szCs w:val="20"/>
        </w:rPr>
        <w:t>, ponieważ cena energii elektrycznej</w:t>
      </w:r>
      <w:r w:rsidR="161CFA2F" w:rsidRPr="4AC1E1C8">
        <w:rPr>
          <w:rFonts w:ascii="Verdana" w:eastAsia="Times New Roman" w:hAnsi="Verdana"/>
          <w:sz w:val="20"/>
          <w:szCs w:val="20"/>
        </w:rPr>
        <w:t xml:space="preserve"> o</w:t>
      </w:r>
      <w:r w:rsidR="3FC3F461" w:rsidRPr="375D3D0C">
        <w:rPr>
          <w:rFonts w:ascii="Verdana" w:eastAsia="Times New Roman" w:hAnsi="Verdana"/>
          <w:i/>
          <w:iCs/>
          <w:kern w:val="0"/>
          <w:sz w:val="20"/>
          <w:szCs w:val="20"/>
          <w14:ligatures w14:val="none"/>
        </w:rPr>
        <w:t xml:space="preserve">dgórnie ustalona przez rząd była niższa od rynkowej. W związku z tym </w:t>
      </w:r>
      <w:r w:rsidR="41C78C44" w:rsidRPr="375D3D0C">
        <w:rPr>
          <w:rFonts w:ascii="Verdana" w:eastAsia="Times New Roman" w:hAnsi="Verdana"/>
          <w:i/>
          <w:iCs/>
          <w:kern w:val="0"/>
          <w:sz w:val="20"/>
          <w:szCs w:val="20"/>
          <w14:ligatures w14:val="none"/>
        </w:rPr>
        <w:t>spółki ob</w:t>
      </w:r>
      <w:r w:rsidR="062F65DB" w:rsidRPr="375D3D0C">
        <w:rPr>
          <w:rFonts w:ascii="Verdana" w:eastAsia="Times New Roman" w:hAnsi="Verdana"/>
          <w:i/>
          <w:iCs/>
          <w:kern w:val="0"/>
          <w:sz w:val="20"/>
          <w:szCs w:val="20"/>
          <w14:ligatures w14:val="none"/>
        </w:rPr>
        <w:t>r</w:t>
      </w:r>
      <w:r w:rsidR="41C78C44" w:rsidRPr="375D3D0C">
        <w:rPr>
          <w:rFonts w:ascii="Verdana" w:eastAsia="Times New Roman" w:hAnsi="Verdana"/>
          <w:i/>
          <w:iCs/>
          <w:kern w:val="0"/>
          <w:sz w:val="20"/>
          <w:szCs w:val="20"/>
          <w14:ligatures w14:val="none"/>
        </w:rPr>
        <w:t>otu</w:t>
      </w:r>
      <w:r w:rsidR="3FC3F461" w:rsidRPr="375D3D0C">
        <w:rPr>
          <w:rFonts w:ascii="Verdana" w:eastAsia="Times New Roman" w:hAnsi="Verdana"/>
          <w:i/>
          <w:iCs/>
          <w:kern w:val="0"/>
          <w:sz w:val="20"/>
          <w:szCs w:val="20"/>
          <w14:ligatures w14:val="none"/>
        </w:rPr>
        <w:t xml:space="preserve"> nie był</w:t>
      </w:r>
      <w:r w:rsidR="41C78C44" w:rsidRPr="375D3D0C">
        <w:rPr>
          <w:rFonts w:ascii="Verdana" w:eastAsia="Times New Roman" w:hAnsi="Verdana"/>
          <w:i/>
          <w:iCs/>
          <w:kern w:val="0"/>
          <w:sz w:val="20"/>
          <w:szCs w:val="20"/>
          <w14:ligatures w14:val="none"/>
        </w:rPr>
        <w:t>y</w:t>
      </w:r>
      <w:r w:rsidR="3FC3F461" w:rsidRPr="375D3D0C">
        <w:rPr>
          <w:rFonts w:ascii="Verdana" w:eastAsia="Times New Roman" w:hAnsi="Verdana"/>
          <w:i/>
          <w:iCs/>
          <w:kern w:val="0"/>
          <w:sz w:val="20"/>
          <w:szCs w:val="20"/>
          <w14:ligatures w14:val="none"/>
        </w:rPr>
        <w:t xml:space="preserve"> w stanie zaproponować atrakcyjnego produktu ze stałą stawką</w:t>
      </w:r>
      <w:r w:rsidR="58165701" w:rsidRPr="375D3D0C">
        <w:rPr>
          <w:rFonts w:ascii="Verdana" w:eastAsia="Times New Roman" w:hAnsi="Verdana"/>
          <w:i/>
          <w:iCs/>
          <w:kern w:val="0"/>
          <w:sz w:val="20"/>
          <w:szCs w:val="20"/>
          <w14:ligatures w14:val="none"/>
        </w:rPr>
        <w:t xml:space="preserve"> i</w:t>
      </w:r>
      <w:r w:rsidR="3FC3F461" w:rsidRPr="375D3D0C">
        <w:rPr>
          <w:rFonts w:ascii="Verdana" w:eastAsia="Times New Roman" w:hAnsi="Verdana"/>
          <w:i/>
          <w:iCs/>
          <w:kern w:val="0"/>
          <w:sz w:val="20"/>
          <w:szCs w:val="20"/>
          <w14:ligatures w14:val="none"/>
        </w:rPr>
        <w:t xml:space="preserve"> część </w:t>
      </w:r>
      <w:r w:rsidR="7038AF09" w:rsidRPr="375D3D0C">
        <w:rPr>
          <w:rFonts w:ascii="Verdana" w:eastAsia="Times New Roman" w:hAnsi="Verdana"/>
          <w:i/>
          <w:iCs/>
          <w:kern w:val="0"/>
          <w:sz w:val="20"/>
          <w:szCs w:val="20"/>
          <w14:ligatures w14:val="none"/>
        </w:rPr>
        <w:t xml:space="preserve">z nich </w:t>
      </w:r>
      <w:r w:rsidR="3FC3F461" w:rsidRPr="375D3D0C">
        <w:rPr>
          <w:rFonts w:ascii="Verdana" w:eastAsia="Times New Roman" w:hAnsi="Verdana"/>
          <w:i/>
          <w:iCs/>
          <w:kern w:val="0"/>
          <w:sz w:val="20"/>
          <w:szCs w:val="20"/>
          <w14:ligatures w14:val="none"/>
        </w:rPr>
        <w:t xml:space="preserve">całkiem </w:t>
      </w:r>
      <w:r w:rsidR="63E96F89" w:rsidRPr="375D3D0C">
        <w:rPr>
          <w:rFonts w:ascii="Verdana" w:eastAsia="Times New Roman" w:hAnsi="Verdana"/>
          <w:i/>
          <w:iCs/>
          <w:kern w:val="0"/>
          <w:sz w:val="20"/>
          <w:szCs w:val="20"/>
          <w14:ligatures w14:val="none"/>
        </w:rPr>
        <w:t xml:space="preserve">wstrzymała </w:t>
      </w:r>
      <w:r w:rsidR="7038AF09" w:rsidRPr="375D3D0C">
        <w:rPr>
          <w:rFonts w:ascii="Verdana" w:eastAsia="Times New Roman" w:hAnsi="Verdana"/>
          <w:i/>
          <w:iCs/>
          <w:kern w:val="0"/>
          <w:sz w:val="20"/>
          <w:szCs w:val="20"/>
          <w14:ligatures w14:val="none"/>
        </w:rPr>
        <w:t>sprzedaż energii elektrycznej w takim modelu</w:t>
      </w:r>
      <w:r w:rsidR="3FC3F461" w:rsidRPr="375D3D0C">
        <w:rPr>
          <w:rFonts w:ascii="Verdana" w:eastAsia="Times New Roman" w:hAnsi="Verdana"/>
          <w:i/>
          <w:iCs/>
          <w:kern w:val="0"/>
          <w:sz w:val="20"/>
          <w:szCs w:val="20"/>
          <w14:ligatures w14:val="none"/>
        </w:rPr>
        <w:t xml:space="preserve">. </w:t>
      </w:r>
      <w:r w:rsidR="5F119BB7" w:rsidRPr="375D3D0C">
        <w:rPr>
          <w:rFonts w:ascii="Verdana" w:eastAsia="Times New Roman" w:hAnsi="Verdana"/>
          <w:i/>
          <w:iCs/>
          <w:kern w:val="0"/>
          <w:sz w:val="20"/>
          <w:szCs w:val="20"/>
          <w14:ligatures w14:val="none"/>
        </w:rPr>
        <w:t xml:space="preserve">Aktywną ofertę miały </w:t>
      </w:r>
      <w:r w:rsidR="7CE465F3" w:rsidRPr="375D3D0C">
        <w:rPr>
          <w:rFonts w:ascii="Verdana" w:eastAsia="Times New Roman" w:hAnsi="Verdana"/>
          <w:i/>
          <w:iCs/>
          <w:kern w:val="0"/>
          <w:sz w:val="20"/>
          <w:szCs w:val="20"/>
          <w14:ligatures w14:val="none"/>
        </w:rPr>
        <w:t>tylko te podmioty</w:t>
      </w:r>
      <w:r w:rsidR="3FC3F461" w:rsidRPr="375D3D0C">
        <w:rPr>
          <w:rFonts w:ascii="Verdana" w:eastAsia="Times New Roman" w:hAnsi="Verdana"/>
          <w:i/>
          <w:iCs/>
          <w:kern w:val="0"/>
          <w:sz w:val="20"/>
          <w:szCs w:val="20"/>
          <w14:ligatures w14:val="none"/>
        </w:rPr>
        <w:t>, któr</w:t>
      </w:r>
      <w:r w:rsidR="7CE465F3" w:rsidRPr="375D3D0C">
        <w:rPr>
          <w:rFonts w:ascii="Verdana" w:eastAsia="Times New Roman" w:hAnsi="Verdana"/>
          <w:i/>
          <w:iCs/>
          <w:kern w:val="0"/>
          <w:sz w:val="20"/>
          <w:szCs w:val="20"/>
          <w14:ligatures w14:val="none"/>
        </w:rPr>
        <w:t>e</w:t>
      </w:r>
      <w:r w:rsidR="3FC3F461" w:rsidRPr="375D3D0C">
        <w:rPr>
          <w:rFonts w:ascii="Verdana" w:eastAsia="Times New Roman" w:hAnsi="Verdana"/>
          <w:i/>
          <w:iCs/>
          <w:kern w:val="0"/>
          <w:sz w:val="20"/>
          <w:szCs w:val="20"/>
          <w14:ligatures w14:val="none"/>
        </w:rPr>
        <w:t xml:space="preserve"> </w:t>
      </w:r>
      <w:r w:rsidR="64FDC0E6" w:rsidRPr="375D3D0C">
        <w:rPr>
          <w:rFonts w:ascii="Verdana" w:eastAsia="Times New Roman" w:hAnsi="Verdana"/>
          <w:i/>
          <w:iCs/>
          <w:kern w:val="0"/>
          <w:sz w:val="20"/>
          <w:szCs w:val="20"/>
          <w14:ligatures w14:val="none"/>
        </w:rPr>
        <w:t xml:space="preserve">swoim klientom </w:t>
      </w:r>
      <w:r w:rsidR="60C4176C" w:rsidRPr="375D3D0C">
        <w:rPr>
          <w:rFonts w:ascii="Verdana" w:eastAsia="Times New Roman" w:hAnsi="Verdana"/>
          <w:i/>
          <w:iCs/>
          <w:kern w:val="0"/>
          <w:sz w:val="20"/>
          <w:szCs w:val="20"/>
          <w14:ligatures w14:val="none"/>
        </w:rPr>
        <w:t xml:space="preserve">oferowały </w:t>
      </w:r>
      <w:r w:rsidR="7D7C0AED" w:rsidRPr="375D3D0C">
        <w:rPr>
          <w:rFonts w:ascii="Verdana" w:eastAsia="Times New Roman" w:hAnsi="Verdana"/>
          <w:i/>
          <w:iCs/>
          <w:kern w:val="0"/>
          <w:sz w:val="20"/>
          <w:szCs w:val="20"/>
          <w14:ligatures w14:val="none"/>
        </w:rPr>
        <w:t>rozwiązania</w:t>
      </w:r>
      <w:r w:rsidR="60C4176C" w:rsidRPr="375D3D0C">
        <w:rPr>
          <w:rFonts w:ascii="Verdana" w:eastAsia="Times New Roman" w:hAnsi="Verdana"/>
          <w:i/>
          <w:iCs/>
          <w:kern w:val="0"/>
          <w:sz w:val="20"/>
          <w:szCs w:val="20"/>
          <w14:ligatures w14:val="none"/>
        </w:rPr>
        <w:t xml:space="preserve"> </w:t>
      </w:r>
      <w:r w:rsidR="3FC3F461" w:rsidRPr="375D3D0C">
        <w:rPr>
          <w:rFonts w:ascii="Verdana" w:eastAsia="Times New Roman" w:hAnsi="Verdana"/>
          <w:i/>
          <w:iCs/>
          <w:kern w:val="0"/>
          <w:sz w:val="20"/>
          <w:szCs w:val="20"/>
          <w14:ligatures w14:val="none"/>
        </w:rPr>
        <w:t>opart</w:t>
      </w:r>
      <w:r w:rsidR="60C4176C" w:rsidRPr="375D3D0C">
        <w:rPr>
          <w:rFonts w:ascii="Verdana" w:eastAsia="Times New Roman" w:hAnsi="Verdana"/>
          <w:i/>
          <w:iCs/>
          <w:kern w:val="0"/>
          <w:sz w:val="20"/>
          <w:szCs w:val="20"/>
          <w14:ligatures w14:val="none"/>
        </w:rPr>
        <w:t>e</w:t>
      </w:r>
      <w:r w:rsidR="3FC3F461" w:rsidRPr="375D3D0C">
        <w:rPr>
          <w:rFonts w:ascii="Verdana" w:eastAsia="Times New Roman" w:hAnsi="Verdana"/>
          <w:i/>
          <w:iCs/>
          <w:kern w:val="0"/>
          <w:sz w:val="20"/>
          <w:szCs w:val="20"/>
          <w14:ligatures w14:val="none"/>
        </w:rPr>
        <w:t xml:space="preserve"> o rozliczenie </w:t>
      </w:r>
      <w:r w:rsidR="48554C2C" w:rsidRPr="375D3D0C">
        <w:rPr>
          <w:rFonts w:ascii="Verdana" w:eastAsia="Times New Roman" w:hAnsi="Verdana"/>
          <w:i/>
          <w:iCs/>
          <w:kern w:val="0"/>
          <w:sz w:val="20"/>
          <w:szCs w:val="20"/>
          <w14:ligatures w14:val="none"/>
        </w:rPr>
        <w:t xml:space="preserve">według </w:t>
      </w:r>
      <w:r w:rsidR="4FB9D73F" w:rsidRPr="375D3D0C">
        <w:rPr>
          <w:rFonts w:ascii="Verdana" w:eastAsia="Times New Roman" w:hAnsi="Verdana"/>
          <w:i/>
          <w:iCs/>
          <w:kern w:val="0"/>
          <w:sz w:val="20"/>
          <w:szCs w:val="20"/>
          <w14:ligatures w14:val="none"/>
        </w:rPr>
        <w:t xml:space="preserve">rynku </w:t>
      </w:r>
      <w:r w:rsidR="00042C4A">
        <w:rPr>
          <w:rFonts w:ascii="Verdana" w:eastAsia="Times New Roman" w:hAnsi="Verdana"/>
          <w:i/>
          <w:iCs/>
          <w:kern w:val="0"/>
          <w:sz w:val="20"/>
          <w:szCs w:val="20"/>
          <w14:ligatures w14:val="none"/>
        </w:rPr>
        <w:t>SPOT</w:t>
      </w:r>
      <w:r w:rsidR="3FC3F461" w:rsidRPr="375D3D0C">
        <w:rPr>
          <w:rFonts w:ascii="Verdana" w:eastAsia="Times New Roman" w:hAnsi="Verdana"/>
          <w:i/>
          <w:iCs/>
          <w:kern w:val="0"/>
          <w:sz w:val="20"/>
          <w:szCs w:val="20"/>
          <w14:ligatures w14:val="none"/>
        </w:rPr>
        <w:t>.</w:t>
      </w:r>
      <w:r w:rsidR="5B924C1F" w:rsidRPr="375D3D0C">
        <w:rPr>
          <w:rFonts w:ascii="Verdana" w:eastAsia="Times New Roman" w:hAnsi="Verdana"/>
          <w:i/>
          <w:iCs/>
          <w:kern w:val="0"/>
          <w:sz w:val="20"/>
          <w:szCs w:val="20"/>
          <w14:ligatures w14:val="none"/>
        </w:rPr>
        <w:t xml:space="preserve"> </w:t>
      </w:r>
      <w:r w:rsidR="37439C9E" w:rsidRPr="375D3D0C">
        <w:rPr>
          <w:rFonts w:ascii="Verdana" w:eastAsia="Times New Roman" w:hAnsi="Verdana"/>
          <w:i/>
          <w:iCs/>
          <w:kern w:val="0"/>
          <w:sz w:val="20"/>
          <w:szCs w:val="20"/>
          <w14:ligatures w14:val="none"/>
        </w:rPr>
        <w:t>Produkty</w:t>
      </w:r>
      <w:r w:rsidR="5B924C1F" w:rsidRPr="375D3D0C">
        <w:rPr>
          <w:rFonts w:ascii="Verdana" w:eastAsia="Times New Roman" w:hAnsi="Verdana"/>
          <w:i/>
          <w:iCs/>
          <w:kern w:val="0"/>
          <w:sz w:val="20"/>
          <w:szCs w:val="20"/>
          <w14:ligatures w14:val="none"/>
        </w:rPr>
        <w:t xml:space="preserve"> opart</w:t>
      </w:r>
      <w:r w:rsidR="37439C9E" w:rsidRPr="375D3D0C">
        <w:rPr>
          <w:rFonts w:ascii="Verdana" w:eastAsia="Times New Roman" w:hAnsi="Verdana"/>
          <w:i/>
          <w:iCs/>
          <w:kern w:val="0"/>
          <w:sz w:val="20"/>
          <w:szCs w:val="20"/>
          <w14:ligatures w14:val="none"/>
        </w:rPr>
        <w:t xml:space="preserve">e </w:t>
      </w:r>
      <w:r w:rsidR="5B924C1F" w:rsidRPr="375D3D0C">
        <w:rPr>
          <w:rFonts w:ascii="Verdana" w:eastAsia="Times New Roman" w:hAnsi="Verdana"/>
          <w:i/>
          <w:iCs/>
          <w:kern w:val="0"/>
          <w:sz w:val="20"/>
          <w:szCs w:val="20"/>
          <w14:ligatures w14:val="none"/>
        </w:rPr>
        <w:t>o ceny giełdowe zacz</w:t>
      </w:r>
      <w:r w:rsidR="37439C9E" w:rsidRPr="375D3D0C">
        <w:rPr>
          <w:rFonts w:ascii="Verdana" w:eastAsia="Times New Roman" w:hAnsi="Verdana"/>
          <w:i/>
          <w:iCs/>
          <w:kern w:val="0"/>
          <w:sz w:val="20"/>
          <w:szCs w:val="20"/>
          <w14:ligatures w14:val="none"/>
        </w:rPr>
        <w:t>ę</w:t>
      </w:r>
      <w:r w:rsidR="5B924C1F" w:rsidRPr="375D3D0C">
        <w:rPr>
          <w:rFonts w:ascii="Verdana" w:eastAsia="Times New Roman" w:hAnsi="Verdana"/>
          <w:i/>
          <w:iCs/>
          <w:kern w:val="0"/>
          <w:sz w:val="20"/>
          <w:szCs w:val="20"/>
          <w14:ligatures w14:val="none"/>
        </w:rPr>
        <w:t>ł</w:t>
      </w:r>
      <w:r w:rsidR="37439C9E" w:rsidRPr="375D3D0C">
        <w:rPr>
          <w:rFonts w:ascii="Verdana" w:eastAsia="Times New Roman" w:hAnsi="Verdana"/>
          <w:i/>
          <w:iCs/>
          <w:kern w:val="0"/>
          <w:sz w:val="20"/>
          <w:szCs w:val="20"/>
          <w14:ligatures w14:val="none"/>
        </w:rPr>
        <w:t>y dominować</w:t>
      </w:r>
      <w:r w:rsidR="5B924C1F" w:rsidRPr="375D3D0C">
        <w:rPr>
          <w:rFonts w:ascii="Verdana" w:eastAsia="Times New Roman" w:hAnsi="Verdana"/>
          <w:i/>
          <w:iCs/>
          <w:kern w:val="0"/>
          <w:sz w:val="20"/>
          <w:szCs w:val="20"/>
          <w14:ligatures w14:val="none"/>
        </w:rPr>
        <w:t xml:space="preserve"> również w przypadku gazu</w:t>
      </w:r>
      <w:r w:rsidR="37439C9E" w:rsidRPr="375D3D0C">
        <w:rPr>
          <w:rFonts w:ascii="Verdana" w:eastAsia="Times New Roman" w:hAnsi="Verdana"/>
          <w:i/>
          <w:iCs/>
          <w:kern w:val="0"/>
          <w:sz w:val="20"/>
          <w:szCs w:val="20"/>
          <w14:ligatures w14:val="none"/>
        </w:rPr>
        <w:t>.</w:t>
      </w:r>
      <w:r w:rsidR="7CE465F3" w:rsidRPr="375D3D0C">
        <w:rPr>
          <w:rFonts w:ascii="Verdana" w:eastAsia="Times New Roman" w:hAnsi="Verdana"/>
          <w:i/>
          <w:iCs/>
          <w:kern w:val="0"/>
          <w:sz w:val="20"/>
          <w:szCs w:val="20"/>
          <w14:ligatures w14:val="none"/>
        </w:rPr>
        <w:t xml:space="preserve"> </w:t>
      </w:r>
      <w:r w:rsidR="4F0D5C2A" w:rsidRPr="375D3D0C">
        <w:rPr>
          <w:rFonts w:ascii="Verdana" w:eastAsia="Times New Roman" w:hAnsi="Verdana"/>
          <w:i/>
          <w:iCs/>
          <w:kern w:val="0"/>
          <w:sz w:val="20"/>
          <w:szCs w:val="20"/>
          <w14:ligatures w14:val="none"/>
        </w:rPr>
        <w:t>Znamienne było także to, że w</w:t>
      </w:r>
      <w:r w:rsidR="5B924C1F" w:rsidRPr="375D3D0C">
        <w:rPr>
          <w:rFonts w:ascii="Verdana" w:eastAsia="Times New Roman" w:hAnsi="Verdana"/>
          <w:i/>
          <w:iCs/>
          <w:kern w:val="0"/>
          <w:sz w:val="20"/>
          <w:szCs w:val="20"/>
          <w14:ligatures w14:val="none"/>
        </w:rPr>
        <w:t xml:space="preserve"> związku z niepewną sytuacją na rynku energii, klienci zwlekali z podpisywaniem umów na kolejny okres. Przedstawiciele MŚP czekali do ostatniej chwili</w:t>
      </w:r>
      <w:r w:rsidR="0211D912" w:rsidRPr="375D3D0C">
        <w:rPr>
          <w:rFonts w:ascii="Verdana" w:eastAsia="Times New Roman" w:hAnsi="Verdana"/>
          <w:i/>
          <w:iCs/>
          <w:kern w:val="0"/>
          <w:sz w:val="20"/>
          <w:szCs w:val="20"/>
          <w14:ligatures w14:val="none"/>
        </w:rPr>
        <w:t>,</w:t>
      </w:r>
      <w:r w:rsidR="5B924C1F" w:rsidRPr="375D3D0C">
        <w:rPr>
          <w:rFonts w:ascii="Verdana" w:eastAsia="Times New Roman" w:hAnsi="Verdana"/>
          <w:i/>
          <w:iCs/>
          <w:kern w:val="0"/>
          <w:sz w:val="20"/>
          <w:szCs w:val="20"/>
          <w14:ligatures w14:val="none"/>
        </w:rPr>
        <w:t xml:space="preserve"> licząc na zmianę cen lub kolejne rozwiązania proponowane przez rząd</w:t>
      </w:r>
      <w:r w:rsidR="0A44BFE6" w:rsidRPr="375D3D0C">
        <w:rPr>
          <w:rFonts w:ascii="Verdana" w:eastAsia="Times New Roman" w:hAnsi="Verdana"/>
          <w:i/>
          <w:iCs/>
          <w:kern w:val="0"/>
          <w:sz w:val="20"/>
          <w:szCs w:val="20"/>
          <w14:ligatures w14:val="none"/>
        </w:rPr>
        <w:t xml:space="preserve">. </w:t>
      </w:r>
      <w:r w:rsidR="7CE465F3" w:rsidRPr="375D3D0C">
        <w:rPr>
          <w:rFonts w:ascii="Verdana" w:eastAsia="Times New Roman" w:hAnsi="Verdana"/>
          <w:i/>
          <w:iCs/>
          <w:kern w:val="0"/>
          <w:sz w:val="20"/>
          <w:szCs w:val="20"/>
          <w14:ligatures w14:val="none"/>
        </w:rPr>
        <w:t>Ostatni</w:t>
      </w:r>
      <w:r w:rsidR="0A44BFE6" w:rsidRPr="375D3D0C">
        <w:rPr>
          <w:rFonts w:ascii="Verdana" w:eastAsia="Times New Roman" w:hAnsi="Verdana"/>
          <w:i/>
          <w:iCs/>
          <w:kern w:val="0"/>
          <w:sz w:val="20"/>
          <w:szCs w:val="20"/>
          <w14:ligatures w14:val="none"/>
        </w:rPr>
        <w:t xml:space="preserve"> kwartał </w:t>
      </w:r>
      <w:r w:rsidR="7CE465F3" w:rsidRPr="375D3D0C">
        <w:rPr>
          <w:rFonts w:ascii="Verdana" w:eastAsia="Times New Roman" w:hAnsi="Verdana"/>
          <w:i/>
          <w:iCs/>
          <w:kern w:val="0"/>
          <w:sz w:val="20"/>
          <w:szCs w:val="20"/>
          <w14:ligatures w14:val="none"/>
        </w:rPr>
        <w:t xml:space="preserve">2023 r. </w:t>
      </w:r>
      <w:r w:rsidR="0A44BFE6" w:rsidRPr="375D3D0C">
        <w:rPr>
          <w:rFonts w:ascii="Verdana" w:eastAsia="Times New Roman" w:hAnsi="Verdana"/>
          <w:i/>
          <w:iCs/>
          <w:kern w:val="0"/>
          <w:sz w:val="20"/>
          <w:szCs w:val="20"/>
          <w14:ligatures w14:val="none"/>
        </w:rPr>
        <w:t xml:space="preserve">i początek 2024 r. </w:t>
      </w:r>
      <w:r w:rsidR="7CE465F3" w:rsidRPr="375D3D0C">
        <w:rPr>
          <w:rFonts w:ascii="Verdana" w:eastAsia="Times New Roman" w:hAnsi="Verdana"/>
          <w:i/>
          <w:iCs/>
          <w:kern w:val="0"/>
          <w:sz w:val="20"/>
          <w:szCs w:val="20"/>
          <w14:ligatures w14:val="none"/>
        </w:rPr>
        <w:t>jednak odwró</w:t>
      </w:r>
      <w:r w:rsidR="604B0FCA" w:rsidRPr="375D3D0C">
        <w:rPr>
          <w:rFonts w:ascii="Verdana" w:eastAsia="Times New Roman" w:hAnsi="Verdana"/>
          <w:i/>
          <w:iCs/>
          <w:kern w:val="0"/>
          <w:sz w:val="20"/>
          <w:szCs w:val="20"/>
          <w14:ligatures w14:val="none"/>
        </w:rPr>
        <w:t>cił</w:t>
      </w:r>
      <w:r w:rsidR="6C351245" w:rsidRPr="375D3D0C">
        <w:rPr>
          <w:rFonts w:ascii="Verdana" w:eastAsia="Times New Roman" w:hAnsi="Verdana"/>
          <w:i/>
          <w:iCs/>
          <w:sz w:val="20"/>
          <w:szCs w:val="20"/>
        </w:rPr>
        <w:t>y</w:t>
      </w:r>
      <w:r w:rsidR="604B0FCA" w:rsidRPr="375D3D0C">
        <w:rPr>
          <w:rFonts w:ascii="Verdana" w:eastAsia="Times New Roman" w:hAnsi="Verdana"/>
          <w:i/>
          <w:iCs/>
          <w:kern w:val="0"/>
          <w:sz w:val="20"/>
          <w:szCs w:val="20"/>
          <w14:ligatures w14:val="none"/>
        </w:rPr>
        <w:t xml:space="preserve"> te</w:t>
      </w:r>
      <w:r w:rsidR="5DEDADC2" w:rsidRPr="375D3D0C">
        <w:rPr>
          <w:rFonts w:ascii="Verdana" w:eastAsia="Times New Roman" w:hAnsi="Verdana"/>
          <w:i/>
          <w:iCs/>
          <w:kern w:val="0"/>
          <w:sz w:val="20"/>
          <w:szCs w:val="20"/>
          <w14:ligatures w14:val="none"/>
        </w:rPr>
        <w:t xml:space="preserve"> tendencje</w:t>
      </w:r>
      <w:r w:rsidR="7CE465F3" w:rsidRPr="375D3D0C">
        <w:rPr>
          <w:rFonts w:ascii="Verdana" w:eastAsia="Times New Roman" w:hAnsi="Verdana"/>
          <w:i/>
          <w:iCs/>
          <w:kern w:val="0"/>
          <w:sz w:val="20"/>
          <w:szCs w:val="20"/>
          <w14:ligatures w14:val="none"/>
        </w:rPr>
        <w:t xml:space="preserve">. </w:t>
      </w:r>
      <w:r w:rsidR="1B45B38B" w:rsidRPr="375D3D0C">
        <w:rPr>
          <w:rFonts w:ascii="Verdana" w:eastAsia="Times New Roman" w:hAnsi="Verdana"/>
          <w:i/>
          <w:iCs/>
          <w:kern w:val="0"/>
          <w:sz w:val="20"/>
          <w:szCs w:val="20"/>
          <w14:ligatures w14:val="none"/>
        </w:rPr>
        <w:t xml:space="preserve">Spadek cen </w:t>
      </w:r>
      <w:r w:rsidR="5B924C1F" w:rsidRPr="375D3D0C">
        <w:rPr>
          <w:rFonts w:ascii="Verdana" w:eastAsia="Times New Roman" w:hAnsi="Verdana"/>
          <w:i/>
          <w:iCs/>
          <w:kern w:val="0"/>
          <w:sz w:val="20"/>
          <w:szCs w:val="20"/>
          <w14:ligatures w14:val="none"/>
        </w:rPr>
        <w:t xml:space="preserve">we wrześniu </w:t>
      </w:r>
      <w:r w:rsidR="5DEDADC2" w:rsidRPr="375D3D0C">
        <w:rPr>
          <w:rFonts w:ascii="Verdana" w:eastAsia="Times New Roman" w:hAnsi="Verdana"/>
          <w:i/>
          <w:iCs/>
          <w:kern w:val="0"/>
          <w:sz w:val="20"/>
          <w:szCs w:val="20"/>
          <w14:ligatures w14:val="none"/>
        </w:rPr>
        <w:t xml:space="preserve">wyraźnie pokazał spółkom MŚP, </w:t>
      </w:r>
      <w:r w:rsidR="6882331D" w:rsidRPr="375D3D0C">
        <w:rPr>
          <w:rFonts w:ascii="Verdana" w:eastAsia="Times New Roman" w:hAnsi="Verdana"/>
          <w:i/>
          <w:iCs/>
          <w:kern w:val="0"/>
          <w:sz w:val="20"/>
          <w:szCs w:val="20"/>
          <w14:ligatures w14:val="none"/>
        </w:rPr>
        <w:t>ile mogą skorzystać na produktach giełdowych i zaoszczędzić. P</w:t>
      </w:r>
      <w:r w:rsidR="1B45B38B" w:rsidRPr="375D3D0C">
        <w:rPr>
          <w:rFonts w:ascii="Verdana" w:eastAsia="Times New Roman" w:hAnsi="Verdana"/>
          <w:i/>
          <w:iCs/>
          <w:kern w:val="0"/>
          <w:sz w:val="20"/>
          <w:szCs w:val="20"/>
          <w14:ligatures w14:val="none"/>
        </w:rPr>
        <w:t>odniósł</w:t>
      </w:r>
      <w:r w:rsidR="7CE465F3" w:rsidRPr="375D3D0C">
        <w:rPr>
          <w:rFonts w:ascii="Verdana" w:eastAsia="Times New Roman" w:hAnsi="Verdana"/>
          <w:i/>
          <w:iCs/>
          <w:kern w:val="0"/>
          <w:sz w:val="20"/>
          <w:szCs w:val="20"/>
          <w14:ligatures w14:val="none"/>
        </w:rPr>
        <w:t xml:space="preserve"> </w:t>
      </w:r>
      <w:r w:rsidR="6882331D" w:rsidRPr="375D3D0C">
        <w:rPr>
          <w:rFonts w:ascii="Verdana" w:eastAsia="Times New Roman" w:hAnsi="Verdana"/>
          <w:i/>
          <w:iCs/>
          <w:kern w:val="0"/>
          <w:sz w:val="20"/>
          <w:szCs w:val="20"/>
          <w14:ligatures w14:val="none"/>
        </w:rPr>
        <w:t xml:space="preserve">również </w:t>
      </w:r>
      <w:r w:rsidR="7CE465F3" w:rsidRPr="375D3D0C">
        <w:rPr>
          <w:rFonts w:ascii="Verdana" w:eastAsia="Times New Roman" w:hAnsi="Verdana"/>
          <w:i/>
          <w:iCs/>
          <w:kern w:val="0"/>
          <w:sz w:val="20"/>
          <w:szCs w:val="20"/>
          <w14:ligatures w14:val="none"/>
        </w:rPr>
        <w:t>atrakcyjność kontraktów opartych o stałą stawkę energii elektrycznej</w:t>
      </w:r>
      <w:r w:rsidR="6882331D" w:rsidRPr="375D3D0C">
        <w:rPr>
          <w:rFonts w:ascii="Verdana" w:eastAsia="Times New Roman" w:hAnsi="Verdana"/>
          <w:i/>
          <w:iCs/>
          <w:kern w:val="0"/>
          <w:sz w:val="20"/>
          <w:szCs w:val="20"/>
          <w14:ligatures w14:val="none"/>
        </w:rPr>
        <w:t>, a</w:t>
      </w:r>
      <w:r w:rsidR="1C331267" w:rsidRPr="375D3D0C">
        <w:rPr>
          <w:rFonts w:ascii="Verdana" w:eastAsia="Times New Roman" w:hAnsi="Verdana"/>
          <w:i/>
          <w:iCs/>
          <w:kern w:val="0"/>
          <w:sz w:val="20"/>
          <w:szCs w:val="20"/>
          <w14:ligatures w14:val="none"/>
        </w:rPr>
        <w:t xml:space="preserve"> spółki obrotu znowu </w:t>
      </w:r>
      <w:r w:rsidR="1B45B38B" w:rsidRPr="375D3D0C">
        <w:rPr>
          <w:rFonts w:ascii="Verdana" w:eastAsia="Times New Roman" w:hAnsi="Verdana"/>
          <w:i/>
          <w:iCs/>
          <w:kern w:val="0"/>
          <w:sz w:val="20"/>
          <w:szCs w:val="20"/>
          <w14:ligatures w14:val="none"/>
        </w:rPr>
        <w:t>mog</w:t>
      </w:r>
      <w:r w:rsidR="3E7130CA" w:rsidRPr="375D3D0C">
        <w:rPr>
          <w:rFonts w:ascii="Verdana" w:eastAsia="Times New Roman" w:hAnsi="Verdana"/>
          <w:i/>
          <w:iCs/>
          <w:kern w:val="0"/>
          <w:sz w:val="20"/>
          <w:szCs w:val="20"/>
          <w14:ligatures w14:val="none"/>
        </w:rPr>
        <w:t>ły</w:t>
      </w:r>
      <w:r w:rsidR="1C331267" w:rsidRPr="375D3D0C">
        <w:rPr>
          <w:rFonts w:ascii="Verdana" w:eastAsia="Times New Roman" w:hAnsi="Verdana"/>
          <w:i/>
          <w:iCs/>
          <w:kern w:val="0"/>
          <w:sz w:val="20"/>
          <w:szCs w:val="20"/>
          <w14:ligatures w14:val="none"/>
        </w:rPr>
        <w:t xml:space="preserve"> konkurować na tym polu. Z opcji zakontraktowania stałej ceny </w:t>
      </w:r>
      <w:r w:rsidR="212E2563" w:rsidRPr="375D3D0C">
        <w:rPr>
          <w:rFonts w:ascii="Verdana" w:eastAsia="Times New Roman" w:hAnsi="Verdana"/>
          <w:i/>
          <w:iCs/>
          <w:kern w:val="0"/>
          <w:sz w:val="20"/>
          <w:szCs w:val="20"/>
          <w14:ligatures w14:val="none"/>
        </w:rPr>
        <w:t xml:space="preserve">energii elektrycznej </w:t>
      </w:r>
      <w:r w:rsidR="1C331267" w:rsidRPr="375D3D0C">
        <w:rPr>
          <w:rFonts w:ascii="Verdana" w:eastAsia="Times New Roman" w:hAnsi="Verdana"/>
          <w:i/>
          <w:iCs/>
          <w:kern w:val="0"/>
          <w:sz w:val="20"/>
          <w:szCs w:val="20"/>
          <w14:ligatures w14:val="none"/>
        </w:rPr>
        <w:t xml:space="preserve">na kilka lat korzystają przede wszystkim małe przedsiębiorstwa o niskim, przewidywalnym zużyciu energii. Doceniają w niej nieskomplikowane zasady rozliczeń oraz możliwość zaplanowania tej części wydatków firmy na cały rok. A nawet dłużej. Obecnie sektor MŚP podpisuje umowy ze stałą stawką nawet do końca 2029 r. </w:t>
      </w:r>
      <w:r w:rsidR="1C331267" w:rsidRPr="4AC1E1C8">
        <w:rPr>
          <w:rFonts w:ascii="Verdana" w:eastAsia="Times New Roman" w:hAnsi="Verdana"/>
          <w:kern w:val="0"/>
          <w:sz w:val="20"/>
          <w:szCs w:val="20"/>
          <w14:ligatures w14:val="none"/>
        </w:rPr>
        <w:t>– mówi</w:t>
      </w:r>
      <w:r w:rsidRPr="4AC1E1C8">
        <w:rPr>
          <w:rFonts w:ascii="Verdana" w:eastAsia="Times New Roman" w:hAnsi="Verdana"/>
          <w:kern w:val="0"/>
          <w:sz w:val="20"/>
          <w:szCs w:val="20"/>
          <w14:ligatures w14:val="none"/>
        </w:rPr>
        <w:t xml:space="preserve"> Łukasz Pawłowski, </w:t>
      </w:r>
      <w:r w:rsidR="1357791B" w:rsidRPr="4AC1E1C8">
        <w:rPr>
          <w:rFonts w:ascii="Verdana" w:eastAsia="Times New Roman" w:hAnsi="Verdana"/>
          <w:kern w:val="0"/>
          <w:sz w:val="20"/>
          <w:szCs w:val="20"/>
          <w14:ligatures w14:val="none"/>
        </w:rPr>
        <w:t>Senior Sales Manager w Axpo Polska.</w:t>
      </w:r>
    </w:p>
    <w:p w14:paraId="224B3438" w14:textId="77777777" w:rsidR="00F071E9" w:rsidRPr="00B5201B" w:rsidRDefault="00F071E9" w:rsidP="008A64A1">
      <w:pPr>
        <w:rPr>
          <w:rFonts w:ascii="Verdana" w:eastAsia="Times New Roman" w:hAnsi="Verdana" w:cstheme="minorHAnsi"/>
          <w:kern w:val="0"/>
          <w:sz w:val="20"/>
          <w:szCs w:val="20"/>
          <w14:ligatures w14:val="none"/>
        </w:rPr>
      </w:pPr>
    </w:p>
    <w:p w14:paraId="6823B9C3" w14:textId="77777777" w:rsidR="002028CD" w:rsidRPr="00B5201B" w:rsidRDefault="002028CD" w:rsidP="002028CD">
      <w:pPr>
        <w:rPr>
          <w:rFonts w:ascii="Verdana" w:eastAsia="Times New Roman" w:hAnsi="Verdana" w:cstheme="minorHAnsi"/>
          <w:b/>
          <w:bCs/>
          <w:kern w:val="0"/>
          <w:sz w:val="20"/>
          <w:szCs w:val="20"/>
          <w14:ligatures w14:val="none"/>
        </w:rPr>
      </w:pPr>
      <w:r w:rsidRPr="00B5201B">
        <w:rPr>
          <w:rFonts w:ascii="Verdana" w:eastAsia="Times New Roman" w:hAnsi="Verdana" w:cstheme="minorHAnsi"/>
          <w:b/>
          <w:bCs/>
          <w:kern w:val="0"/>
          <w:sz w:val="20"/>
          <w:szCs w:val="20"/>
          <w14:ligatures w14:val="none"/>
        </w:rPr>
        <w:t>Zielony zwrot i wpływ ESG</w:t>
      </w:r>
    </w:p>
    <w:p w14:paraId="5777D7BD" w14:textId="77777777" w:rsidR="002028CD" w:rsidRPr="00B5201B" w:rsidRDefault="002028CD" w:rsidP="002028CD">
      <w:pPr>
        <w:rPr>
          <w:rFonts w:ascii="Verdana" w:eastAsia="Times New Roman" w:hAnsi="Verdana" w:cstheme="minorHAnsi"/>
          <w:b/>
          <w:bCs/>
          <w:kern w:val="0"/>
          <w:sz w:val="20"/>
          <w:szCs w:val="20"/>
          <w14:ligatures w14:val="none"/>
        </w:rPr>
      </w:pPr>
    </w:p>
    <w:p w14:paraId="0FCD99FE" w14:textId="060DF6EC" w:rsidR="00593CC7" w:rsidRPr="00B5201B" w:rsidRDefault="73A6F94B" w:rsidP="00382992">
      <w:pPr>
        <w:spacing w:line="252" w:lineRule="auto"/>
        <w:rPr>
          <w:rFonts w:ascii="Verdana" w:eastAsia="Times New Roman" w:hAnsi="Verdana"/>
          <w:kern w:val="0"/>
          <w:sz w:val="20"/>
          <w:szCs w:val="20"/>
          <w14:ligatures w14:val="none"/>
        </w:rPr>
      </w:pPr>
      <w:r w:rsidRPr="74FBCDC6">
        <w:rPr>
          <w:rFonts w:ascii="Verdana" w:eastAsia="Times New Roman" w:hAnsi="Verdana"/>
          <w:kern w:val="0"/>
          <w:sz w:val="20"/>
          <w:szCs w:val="20"/>
          <w14:ligatures w14:val="none"/>
        </w:rPr>
        <w:lastRenderedPageBreak/>
        <w:t xml:space="preserve">W 2024 </w:t>
      </w:r>
      <w:r w:rsidR="37439C9E" w:rsidRPr="74FBCDC6">
        <w:rPr>
          <w:rFonts w:ascii="Verdana" w:eastAsia="Times New Roman" w:hAnsi="Verdana"/>
          <w:kern w:val="0"/>
          <w:sz w:val="20"/>
          <w:szCs w:val="20"/>
          <w14:ligatures w14:val="none"/>
        </w:rPr>
        <w:t>r</w:t>
      </w:r>
      <w:r w:rsidR="00521909">
        <w:rPr>
          <w:rFonts w:ascii="Verdana" w:eastAsia="Times New Roman" w:hAnsi="Verdana"/>
          <w:kern w:val="0"/>
          <w:sz w:val="20"/>
          <w:szCs w:val="20"/>
          <w14:ligatures w14:val="none"/>
        </w:rPr>
        <w:t>.</w:t>
      </w:r>
      <w:r w:rsidRPr="74FBCDC6">
        <w:rPr>
          <w:rFonts w:ascii="Verdana" w:eastAsia="Times New Roman" w:hAnsi="Verdana"/>
          <w:kern w:val="0"/>
          <w:sz w:val="20"/>
          <w:szCs w:val="20"/>
          <w14:ligatures w14:val="none"/>
        </w:rPr>
        <w:t xml:space="preserve"> coraz większy wpływ na decyzje zakupowe przedstawicieli branży MŚP będą miały wymogi stawiane przez Unię Europejską</w:t>
      </w:r>
      <w:r w:rsidR="1B45B38B" w:rsidRPr="74FBCDC6">
        <w:rPr>
          <w:rFonts w:ascii="Verdana" w:eastAsia="Times New Roman" w:hAnsi="Verdana"/>
          <w:kern w:val="0"/>
          <w:sz w:val="20"/>
          <w:szCs w:val="20"/>
          <w14:ligatures w14:val="none"/>
        </w:rPr>
        <w:t>.</w:t>
      </w:r>
      <w:r w:rsidR="0C77A4FD" w:rsidRPr="74FBCDC6" w:rsidDel="00593CC7">
        <w:rPr>
          <w:rFonts w:ascii="Verdana" w:eastAsia="Times New Roman" w:hAnsi="Verdana"/>
          <w:kern w:val="0"/>
          <w:sz w:val="20"/>
          <w:szCs w:val="20"/>
          <w14:ligatures w14:val="none"/>
        </w:rPr>
        <w:t xml:space="preserve"> </w:t>
      </w:r>
      <w:r w:rsidR="0C77A4FD" w:rsidRPr="74FBCDC6">
        <w:rPr>
          <w:rFonts w:ascii="Verdana" w:eastAsia="Times New Roman" w:hAnsi="Verdana"/>
          <w:kern w:val="0"/>
          <w:sz w:val="20"/>
          <w:szCs w:val="20"/>
          <w14:ligatures w14:val="none"/>
        </w:rPr>
        <w:t>Większość małych i średnich firm nie musi raportować</w:t>
      </w:r>
      <w:r w:rsidR="3BA1C91E" w:rsidRPr="74FBCDC6">
        <w:rPr>
          <w:rFonts w:ascii="Verdana" w:eastAsia="Times New Roman" w:hAnsi="Verdana"/>
          <w:kern w:val="0"/>
          <w:sz w:val="20"/>
          <w:szCs w:val="20"/>
          <w14:ligatures w14:val="none"/>
        </w:rPr>
        <w:t xml:space="preserve"> swoich działań niefinansowych</w:t>
      </w:r>
      <w:r w:rsidR="0C77A4FD" w:rsidRPr="74FBCDC6">
        <w:rPr>
          <w:rFonts w:ascii="Verdana" w:eastAsia="Times New Roman" w:hAnsi="Verdana"/>
          <w:kern w:val="0"/>
          <w:sz w:val="20"/>
          <w:szCs w:val="20"/>
          <w14:ligatures w14:val="none"/>
        </w:rPr>
        <w:t xml:space="preserve">, mimo to decyduje się na korzystanie z zielonej energii. Firmy chcą w ten sposób budować przewagę biznesową i utrzymać coraz bardziej świadomych ekologicznie klientów. Jest to także </w:t>
      </w:r>
      <w:r w:rsidR="61A41A44" w:rsidRPr="74FBCDC6">
        <w:rPr>
          <w:rFonts w:ascii="Verdana" w:eastAsia="Times New Roman" w:hAnsi="Verdana"/>
          <w:kern w:val="0"/>
          <w:sz w:val="20"/>
          <w:szCs w:val="20"/>
          <w14:ligatures w14:val="none"/>
        </w:rPr>
        <w:t xml:space="preserve">efekt </w:t>
      </w:r>
      <w:r w:rsidR="0C77A4FD" w:rsidRPr="74FBCDC6">
        <w:rPr>
          <w:rFonts w:ascii="Verdana" w:eastAsia="Times New Roman" w:hAnsi="Verdana"/>
          <w:kern w:val="0"/>
          <w:sz w:val="20"/>
          <w:szCs w:val="20"/>
          <w14:ligatures w14:val="none"/>
        </w:rPr>
        <w:t>oczekiwa</w:t>
      </w:r>
      <w:r w:rsidR="61A41A44" w:rsidRPr="74FBCDC6">
        <w:rPr>
          <w:rFonts w:ascii="Verdana" w:eastAsia="Times New Roman" w:hAnsi="Verdana"/>
          <w:kern w:val="0"/>
          <w:sz w:val="20"/>
          <w:szCs w:val="20"/>
          <w14:ligatures w14:val="none"/>
        </w:rPr>
        <w:t>ń</w:t>
      </w:r>
      <w:r w:rsidR="0C77A4FD" w:rsidRPr="74FBCDC6">
        <w:rPr>
          <w:rFonts w:ascii="Verdana" w:eastAsia="Times New Roman" w:hAnsi="Verdana"/>
          <w:kern w:val="0"/>
          <w:sz w:val="20"/>
          <w:szCs w:val="20"/>
          <w14:ligatures w14:val="none"/>
        </w:rPr>
        <w:t xml:space="preserve"> większych </w:t>
      </w:r>
      <w:r w:rsidR="1AE9BE14" w:rsidRPr="74FBCDC6">
        <w:rPr>
          <w:rFonts w:ascii="Verdana" w:eastAsia="Times New Roman" w:hAnsi="Verdana"/>
          <w:kern w:val="0"/>
          <w:sz w:val="20"/>
          <w:szCs w:val="20"/>
          <w14:ligatures w14:val="none"/>
        </w:rPr>
        <w:t>firm</w:t>
      </w:r>
      <w:r w:rsidR="0C77A4FD" w:rsidRPr="74FBCDC6">
        <w:rPr>
          <w:rFonts w:ascii="Verdana" w:eastAsia="Times New Roman" w:hAnsi="Verdana"/>
          <w:kern w:val="0"/>
          <w:sz w:val="20"/>
          <w:szCs w:val="20"/>
          <w14:ligatures w14:val="none"/>
        </w:rPr>
        <w:t xml:space="preserve">, zobowiązanych do </w:t>
      </w:r>
      <w:r w:rsidR="1594B3A4" w:rsidRPr="74FBCDC6">
        <w:rPr>
          <w:rFonts w:ascii="Verdana" w:eastAsia="Times New Roman" w:hAnsi="Verdana"/>
          <w:kern w:val="0"/>
          <w:sz w:val="20"/>
          <w:szCs w:val="20"/>
          <w14:ligatures w14:val="none"/>
        </w:rPr>
        <w:t>raportowania</w:t>
      </w:r>
      <w:r w:rsidR="0C77A4FD" w:rsidRPr="74FBCDC6">
        <w:rPr>
          <w:rFonts w:ascii="Verdana" w:eastAsia="Times New Roman" w:hAnsi="Verdana"/>
          <w:kern w:val="0"/>
          <w:sz w:val="20"/>
          <w:szCs w:val="20"/>
          <w14:ligatures w14:val="none"/>
        </w:rPr>
        <w:t>, któr</w:t>
      </w:r>
      <w:r w:rsidR="3A94DDCE" w:rsidRPr="74FBCDC6">
        <w:rPr>
          <w:rFonts w:ascii="Verdana" w:eastAsia="Times New Roman" w:hAnsi="Verdana"/>
          <w:kern w:val="0"/>
          <w:sz w:val="20"/>
          <w:szCs w:val="20"/>
          <w14:ligatures w14:val="none"/>
        </w:rPr>
        <w:t>e</w:t>
      </w:r>
      <w:r w:rsidR="0C77A4FD" w:rsidRPr="74FBCDC6">
        <w:rPr>
          <w:rFonts w:ascii="Verdana" w:eastAsia="Times New Roman" w:hAnsi="Verdana"/>
          <w:kern w:val="0"/>
          <w:sz w:val="20"/>
          <w:szCs w:val="20"/>
          <w14:ligatures w14:val="none"/>
        </w:rPr>
        <w:t xml:space="preserve"> zwraca</w:t>
      </w:r>
      <w:r w:rsidR="1594B3A4" w:rsidRPr="74FBCDC6">
        <w:rPr>
          <w:rFonts w:ascii="Verdana" w:eastAsia="Times New Roman" w:hAnsi="Verdana"/>
          <w:kern w:val="0"/>
          <w:sz w:val="20"/>
          <w:szCs w:val="20"/>
          <w14:ligatures w14:val="none"/>
        </w:rPr>
        <w:t>ją</w:t>
      </w:r>
      <w:r w:rsidR="0C77A4FD" w:rsidRPr="74FBCDC6">
        <w:rPr>
          <w:rFonts w:ascii="Verdana" w:eastAsia="Times New Roman" w:hAnsi="Verdana"/>
          <w:kern w:val="0"/>
          <w:sz w:val="20"/>
          <w:szCs w:val="20"/>
          <w14:ligatures w14:val="none"/>
        </w:rPr>
        <w:t xml:space="preserve"> uwagę na </w:t>
      </w:r>
      <w:r w:rsidR="1594B3A4" w:rsidRPr="74FBCDC6">
        <w:rPr>
          <w:rFonts w:ascii="Verdana" w:eastAsia="Times New Roman" w:hAnsi="Verdana"/>
          <w:kern w:val="0"/>
          <w:sz w:val="20"/>
          <w:szCs w:val="20"/>
          <w14:ligatures w14:val="none"/>
        </w:rPr>
        <w:t>zrównoważony rozwój w obrębie</w:t>
      </w:r>
      <w:r w:rsidR="0C77A4FD" w:rsidRPr="74FBCDC6">
        <w:rPr>
          <w:rFonts w:ascii="Verdana" w:eastAsia="Times New Roman" w:hAnsi="Verdana"/>
          <w:kern w:val="0"/>
          <w:sz w:val="20"/>
          <w:szCs w:val="20"/>
          <w14:ligatures w14:val="none"/>
        </w:rPr>
        <w:t xml:space="preserve"> cał</w:t>
      </w:r>
      <w:r w:rsidR="1594B3A4" w:rsidRPr="74FBCDC6">
        <w:rPr>
          <w:rFonts w:ascii="Verdana" w:eastAsia="Times New Roman" w:hAnsi="Verdana"/>
          <w:kern w:val="0"/>
          <w:sz w:val="20"/>
          <w:szCs w:val="20"/>
          <w14:ligatures w14:val="none"/>
        </w:rPr>
        <w:t>ego</w:t>
      </w:r>
      <w:r w:rsidR="101B3CB2" w:rsidRPr="74FBCDC6">
        <w:rPr>
          <w:rFonts w:ascii="Verdana" w:eastAsia="Times New Roman" w:hAnsi="Verdana"/>
          <w:kern w:val="0"/>
          <w:sz w:val="20"/>
          <w:szCs w:val="20"/>
          <w14:ligatures w14:val="none"/>
        </w:rPr>
        <w:t xml:space="preserve"> </w:t>
      </w:r>
      <w:r w:rsidR="0C77A4FD" w:rsidRPr="74FBCDC6">
        <w:rPr>
          <w:rFonts w:ascii="Verdana" w:eastAsia="Times New Roman" w:hAnsi="Verdana"/>
          <w:kern w:val="0"/>
          <w:sz w:val="20"/>
          <w:szCs w:val="20"/>
          <w14:ligatures w14:val="none"/>
        </w:rPr>
        <w:t>łańcuch</w:t>
      </w:r>
      <w:r w:rsidR="101B3CB2" w:rsidRPr="74FBCDC6">
        <w:rPr>
          <w:rFonts w:ascii="Verdana" w:eastAsia="Times New Roman" w:hAnsi="Verdana"/>
          <w:kern w:val="0"/>
          <w:sz w:val="20"/>
          <w:szCs w:val="20"/>
          <w14:ligatures w14:val="none"/>
        </w:rPr>
        <w:t>a</w:t>
      </w:r>
      <w:r w:rsidR="0C77A4FD" w:rsidRPr="74FBCDC6">
        <w:rPr>
          <w:rFonts w:ascii="Verdana" w:eastAsia="Times New Roman" w:hAnsi="Verdana"/>
          <w:kern w:val="0"/>
          <w:sz w:val="20"/>
          <w:szCs w:val="20"/>
          <w14:ligatures w14:val="none"/>
        </w:rPr>
        <w:t xml:space="preserve"> dostaw.</w:t>
      </w:r>
    </w:p>
    <w:p w14:paraId="08C2865F" w14:textId="77777777" w:rsidR="00593CC7" w:rsidRPr="00B5201B" w:rsidRDefault="00593CC7" w:rsidP="00382992">
      <w:pPr>
        <w:spacing w:line="252" w:lineRule="auto"/>
        <w:rPr>
          <w:rFonts w:ascii="Verdana" w:eastAsia="Times New Roman" w:hAnsi="Verdana" w:cstheme="minorHAnsi"/>
          <w:kern w:val="0"/>
          <w:sz w:val="20"/>
          <w:szCs w:val="20"/>
          <w14:ligatures w14:val="none"/>
        </w:rPr>
      </w:pPr>
    </w:p>
    <w:p w14:paraId="73DED929" w14:textId="7473BF95" w:rsidR="00F33428" w:rsidRPr="00B5201B" w:rsidRDefault="00F33428" w:rsidP="00382992">
      <w:pPr>
        <w:spacing w:line="252" w:lineRule="auto"/>
        <w:rPr>
          <w:rFonts w:ascii="Verdana" w:eastAsia="Times New Roman" w:hAnsi="Verdana"/>
          <w:kern w:val="0"/>
          <w:sz w:val="20"/>
          <w:szCs w:val="20"/>
          <w14:ligatures w14:val="none"/>
        </w:rPr>
      </w:pPr>
      <w:r w:rsidRPr="74FBCDC6">
        <w:rPr>
          <w:rFonts w:ascii="Verdana" w:eastAsia="Times New Roman" w:hAnsi="Verdana"/>
          <w:kern w:val="0"/>
          <w:sz w:val="20"/>
          <w:szCs w:val="20"/>
          <w14:ligatures w14:val="none"/>
        </w:rPr>
        <w:t xml:space="preserve">Już teraz do spółek obrotu energią zgłaszają się </w:t>
      </w:r>
      <w:r w:rsidR="00276000" w:rsidRPr="74FBCDC6">
        <w:rPr>
          <w:rFonts w:ascii="Verdana" w:eastAsia="Times New Roman" w:hAnsi="Verdana"/>
          <w:kern w:val="0"/>
          <w:sz w:val="20"/>
          <w:szCs w:val="20"/>
          <w14:ligatures w14:val="none"/>
        </w:rPr>
        <w:t>małe i średnie przedsiębiorstwa</w:t>
      </w:r>
      <w:r w:rsidRPr="74FBCDC6">
        <w:rPr>
          <w:rFonts w:ascii="Verdana" w:eastAsia="Times New Roman" w:hAnsi="Verdana"/>
          <w:kern w:val="0"/>
          <w:sz w:val="20"/>
          <w:szCs w:val="20"/>
          <w14:ligatures w14:val="none"/>
        </w:rPr>
        <w:t xml:space="preserve">, którym nie wystarcza </w:t>
      </w:r>
      <w:r w:rsidR="008458E8" w:rsidRPr="74FBCDC6">
        <w:rPr>
          <w:rFonts w:ascii="Verdana" w:eastAsia="Times New Roman" w:hAnsi="Verdana"/>
          <w:kern w:val="0"/>
          <w:sz w:val="20"/>
          <w:szCs w:val="20"/>
          <w14:ligatures w14:val="none"/>
        </w:rPr>
        <w:t>certyfikat</w:t>
      </w:r>
      <w:r w:rsidR="377A37DD" w:rsidRPr="74FBCDC6">
        <w:rPr>
          <w:rFonts w:ascii="Verdana" w:eastAsia="Times New Roman" w:hAnsi="Verdana"/>
          <w:kern w:val="0"/>
          <w:sz w:val="20"/>
          <w:szCs w:val="20"/>
          <w14:ligatures w14:val="none"/>
        </w:rPr>
        <w:t xml:space="preserve"> </w:t>
      </w:r>
      <w:r w:rsidR="44E84457" w:rsidRPr="74FBCDC6">
        <w:rPr>
          <w:rFonts w:ascii="Verdana" w:eastAsia="Times New Roman" w:hAnsi="Verdana"/>
          <w:kern w:val="0"/>
          <w:sz w:val="20"/>
          <w:szCs w:val="20"/>
          <w14:ligatures w14:val="none"/>
        </w:rPr>
        <w:t>potwierdzający,</w:t>
      </w:r>
      <w:r w:rsidR="00215923" w:rsidRPr="74FBCDC6">
        <w:rPr>
          <w:rFonts w:ascii="Verdana" w:eastAsia="Times New Roman" w:hAnsi="Verdana"/>
          <w:kern w:val="0"/>
          <w:sz w:val="20"/>
          <w:szCs w:val="20"/>
          <w14:ligatures w14:val="none"/>
        </w:rPr>
        <w:t xml:space="preserve"> </w:t>
      </w:r>
      <w:r w:rsidR="008458E8" w:rsidRPr="74FBCDC6">
        <w:rPr>
          <w:rFonts w:ascii="Verdana" w:eastAsia="Times New Roman" w:hAnsi="Verdana"/>
          <w:kern w:val="0"/>
          <w:sz w:val="20"/>
          <w:szCs w:val="20"/>
          <w14:ligatures w14:val="none"/>
        </w:rPr>
        <w:t xml:space="preserve">że ich zużycie energii elektrycznej jest </w:t>
      </w:r>
      <w:r w:rsidRPr="74FBCDC6">
        <w:rPr>
          <w:rFonts w:ascii="Verdana" w:eastAsia="Times New Roman" w:hAnsi="Verdana"/>
          <w:kern w:val="0"/>
          <w:sz w:val="20"/>
          <w:szCs w:val="20"/>
          <w14:ligatures w14:val="none"/>
        </w:rPr>
        <w:t>pokry</w:t>
      </w:r>
      <w:r w:rsidR="00C635EE" w:rsidRPr="74FBCDC6">
        <w:rPr>
          <w:rFonts w:ascii="Verdana" w:eastAsia="Times New Roman" w:hAnsi="Verdana"/>
          <w:kern w:val="0"/>
          <w:sz w:val="20"/>
          <w:szCs w:val="20"/>
          <w14:ligatures w14:val="none"/>
        </w:rPr>
        <w:t>wane</w:t>
      </w:r>
      <w:r w:rsidRPr="74FBCDC6">
        <w:rPr>
          <w:rFonts w:ascii="Verdana" w:eastAsia="Times New Roman" w:hAnsi="Verdana"/>
          <w:kern w:val="0"/>
          <w:sz w:val="20"/>
          <w:szCs w:val="20"/>
          <w14:ligatures w14:val="none"/>
        </w:rPr>
        <w:t xml:space="preserve"> certyfikatami </w:t>
      </w:r>
      <w:r w:rsidR="00C635EE" w:rsidRPr="74FBCDC6">
        <w:rPr>
          <w:rFonts w:ascii="Verdana" w:eastAsia="Times New Roman" w:hAnsi="Verdana"/>
          <w:kern w:val="0"/>
          <w:sz w:val="20"/>
          <w:szCs w:val="20"/>
          <w14:ligatures w14:val="none"/>
        </w:rPr>
        <w:t xml:space="preserve">poświadczającymi wytworzenie </w:t>
      </w:r>
      <w:r w:rsidR="0B84E3B6" w:rsidRPr="74FBCDC6">
        <w:rPr>
          <w:rFonts w:ascii="Verdana" w:eastAsia="Times New Roman" w:hAnsi="Verdana"/>
          <w:kern w:val="0"/>
          <w:sz w:val="20"/>
          <w:szCs w:val="20"/>
          <w14:ligatures w14:val="none"/>
        </w:rPr>
        <w:t>jej w instalacjach</w:t>
      </w:r>
      <w:r w:rsidR="00C635EE" w:rsidRPr="74FBCDC6">
        <w:rPr>
          <w:rFonts w:ascii="Verdana" w:eastAsia="Times New Roman" w:hAnsi="Verdana"/>
          <w:kern w:val="0"/>
          <w:sz w:val="20"/>
          <w:szCs w:val="20"/>
          <w14:ligatures w14:val="none"/>
        </w:rPr>
        <w:t xml:space="preserve"> OZE</w:t>
      </w:r>
      <w:r w:rsidR="0050211E" w:rsidRPr="74FBCDC6">
        <w:rPr>
          <w:rFonts w:ascii="Verdana" w:eastAsia="Times New Roman" w:hAnsi="Verdana"/>
          <w:kern w:val="0"/>
          <w:sz w:val="20"/>
          <w:szCs w:val="20"/>
          <w14:ligatures w14:val="none"/>
        </w:rPr>
        <w:t xml:space="preserve">. Chcą móc pochwalić się korzystaniem z energii produkowanej przez konkretną farmę </w:t>
      </w:r>
      <w:r w:rsidR="00485469" w:rsidRPr="74FBCDC6">
        <w:rPr>
          <w:rFonts w:ascii="Verdana" w:eastAsia="Times New Roman" w:hAnsi="Verdana"/>
          <w:kern w:val="0"/>
          <w:sz w:val="20"/>
          <w:szCs w:val="20"/>
          <w14:ligatures w14:val="none"/>
        </w:rPr>
        <w:t xml:space="preserve">słoneczną </w:t>
      </w:r>
      <w:r w:rsidR="0050211E" w:rsidRPr="74FBCDC6">
        <w:rPr>
          <w:rFonts w:ascii="Verdana" w:eastAsia="Times New Roman" w:hAnsi="Verdana"/>
          <w:kern w:val="0"/>
          <w:sz w:val="20"/>
          <w:szCs w:val="20"/>
          <w14:ligatures w14:val="none"/>
        </w:rPr>
        <w:t xml:space="preserve">czy wiatrową. Taką możliwość gwarantują umowy corporate PPA (cPPA), </w:t>
      </w:r>
      <w:r w:rsidR="00F60CEE" w:rsidRPr="74FBCDC6">
        <w:rPr>
          <w:rFonts w:ascii="Verdana" w:eastAsia="Times New Roman" w:hAnsi="Verdana"/>
          <w:kern w:val="0"/>
          <w:sz w:val="20"/>
          <w:szCs w:val="20"/>
          <w14:ligatures w14:val="none"/>
        </w:rPr>
        <w:t>na bazie</w:t>
      </w:r>
      <w:r w:rsidR="001E20BA" w:rsidRPr="74FBCDC6">
        <w:rPr>
          <w:rFonts w:ascii="Verdana" w:eastAsia="Times New Roman" w:hAnsi="Verdana"/>
          <w:kern w:val="0"/>
          <w:sz w:val="20"/>
          <w:szCs w:val="20"/>
          <w14:ligatures w14:val="none"/>
        </w:rPr>
        <w:t xml:space="preserve"> których </w:t>
      </w:r>
      <w:r w:rsidR="0050211E" w:rsidRPr="74FBCDC6">
        <w:rPr>
          <w:rFonts w:ascii="Verdana" w:eastAsia="Times New Roman" w:hAnsi="Verdana"/>
          <w:kern w:val="0"/>
          <w:sz w:val="20"/>
          <w:szCs w:val="20"/>
          <w14:ligatures w14:val="none"/>
        </w:rPr>
        <w:t xml:space="preserve">energia kupowana jest bezpośrednio od wytwórcy. </w:t>
      </w:r>
      <w:r w:rsidR="00E16012" w:rsidRPr="74FBCDC6">
        <w:rPr>
          <w:rFonts w:ascii="Verdana" w:eastAsia="Times New Roman" w:hAnsi="Verdana"/>
          <w:kern w:val="0"/>
          <w:sz w:val="20"/>
          <w:szCs w:val="20"/>
          <w14:ligatures w14:val="none"/>
        </w:rPr>
        <w:t xml:space="preserve">Obecnie </w:t>
      </w:r>
      <w:r w:rsidR="00AE690B" w:rsidRPr="74FBCDC6">
        <w:rPr>
          <w:rFonts w:ascii="Verdana" w:eastAsia="Times New Roman" w:hAnsi="Verdana"/>
          <w:kern w:val="0"/>
          <w:sz w:val="20"/>
          <w:szCs w:val="20"/>
          <w14:ligatures w14:val="none"/>
        </w:rPr>
        <w:t xml:space="preserve">na kontrakty </w:t>
      </w:r>
      <w:r w:rsidR="4073F71B" w:rsidRPr="60771EA1">
        <w:rPr>
          <w:rFonts w:ascii="Verdana" w:eastAsia="Times New Roman" w:hAnsi="Verdana"/>
          <w:sz w:val="20"/>
          <w:szCs w:val="20"/>
        </w:rPr>
        <w:t>cPPA</w:t>
      </w:r>
      <w:r w:rsidR="4073F71B" w:rsidRPr="74FBCDC6">
        <w:rPr>
          <w:rFonts w:ascii="Verdana" w:eastAsia="Times New Roman" w:hAnsi="Verdana"/>
          <w:kern w:val="0"/>
          <w:sz w:val="20"/>
          <w:szCs w:val="20"/>
          <w14:ligatures w14:val="none"/>
        </w:rPr>
        <w:t xml:space="preserve"> </w:t>
      </w:r>
      <w:r w:rsidR="00AE690B" w:rsidRPr="74FBCDC6">
        <w:rPr>
          <w:rFonts w:ascii="Verdana" w:eastAsia="Times New Roman" w:hAnsi="Verdana"/>
          <w:kern w:val="0"/>
          <w:sz w:val="20"/>
          <w:szCs w:val="20"/>
          <w14:ligatures w14:val="none"/>
        </w:rPr>
        <w:t>mogą liczyć jedynie spółki odpowiadające za największe zużycie energii na rynku. Jednak w</w:t>
      </w:r>
      <w:r w:rsidR="0050211E" w:rsidRPr="74FBCDC6">
        <w:rPr>
          <w:rFonts w:ascii="Verdana" w:eastAsia="Times New Roman" w:hAnsi="Verdana"/>
          <w:kern w:val="0"/>
          <w:sz w:val="20"/>
          <w:szCs w:val="20"/>
          <w14:ligatures w14:val="none"/>
        </w:rPr>
        <w:t xml:space="preserve"> związku z reformą wewnętrznego rynku energii UE, opcję zawarcia </w:t>
      </w:r>
      <w:r w:rsidR="00EB4DBE" w:rsidRPr="74FBCDC6">
        <w:rPr>
          <w:rFonts w:ascii="Verdana" w:eastAsia="Times New Roman" w:hAnsi="Verdana"/>
          <w:kern w:val="0"/>
          <w:sz w:val="20"/>
          <w:szCs w:val="20"/>
          <w14:ligatures w14:val="none"/>
        </w:rPr>
        <w:t>umowy cPPA</w:t>
      </w:r>
      <w:r w:rsidR="0050211E" w:rsidRPr="74FBCDC6">
        <w:rPr>
          <w:rFonts w:ascii="Verdana" w:eastAsia="Times New Roman" w:hAnsi="Verdana"/>
          <w:kern w:val="0"/>
          <w:sz w:val="20"/>
          <w:szCs w:val="20"/>
          <w14:ligatures w14:val="none"/>
        </w:rPr>
        <w:t xml:space="preserve"> mają zyskać </w:t>
      </w:r>
      <w:r w:rsidR="00EB4DBE" w:rsidRPr="74FBCDC6">
        <w:rPr>
          <w:rFonts w:ascii="Verdana" w:eastAsia="Times New Roman" w:hAnsi="Verdana"/>
          <w:kern w:val="0"/>
          <w:sz w:val="20"/>
          <w:szCs w:val="20"/>
          <w14:ligatures w14:val="none"/>
        </w:rPr>
        <w:t xml:space="preserve">także </w:t>
      </w:r>
      <w:r w:rsidR="0050211E" w:rsidRPr="74FBCDC6">
        <w:rPr>
          <w:rFonts w:ascii="Verdana" w:eastAsia="Times New Roman" w:hAnsi="Verdana"/>
          <w:kern w:val="0"/>
          <w:sz w:val="20"/>
          <w:szCs w:val="20"/>
          <w14:ligatures w14:val="none"/>
        </w:rPr>
        <w:t>przedstawiciele sektora MŚP.</w:t>
      </w:r>
    </w:p>
    <w:p w14:paraId="26571DE4" w14:textId="77777777" w:rsidR="0050211E" w:rsidRPr="00B5201B" w:rsidRDefault="0050211E" w:rsidP="00382992">
      <w:pPr>
        <w:spacing w:line="252" w:lineRule="auto"/>
        <w:rPr>
          <w:rFonts w:ascii="Verdana" w:eastAsia="Times New Roman" w:hAnsi="Verdana" w:cstheme="minorHAnsi"/>
          <w:kern w:val="0"/>
          <w:sz w:val="20"/>
          <w:szCs w:val="20"/>
          <w14:ligatures w14:val="none"/>
        </w:rPr>
      </w:pPr>
    </w:p>
    <w:p w14:paraId="7E46887A" w14:textId="757F56C6" w:rsidR="0050211E" w:rsidRPr="00B5201B" w:rsidRDefault="004730D0" w:rsidP="00382992">
      <w:pPr>
        <w:spacing w:line="252" w:lineRule="auto"/>
        <w:rPr>
          <w:rFonts w:ascii="Verdana" w:eastAsia="Times New Roman" w:hAnsi="Verdana"/>
          <w:kern w:val="0"/>
          <w:sz w:val="20"/>
          <w:szCs w:val="20"/>
          <w14:ligatures w14:val="none"/>
        </w:rPr>
      </w:pPr>
      <w:r w:rsidRPr="74FBCDC6">
        <w:rPr>
          <w:rFonts w:ascii="Verdana" w:eastAsia="Times New Roman" w:hAnsi="Verdana"/>
          <w:kern w:val="0"/>
          <w:sz w:val="20"/>
          <w:szCs w:val="20"/>
          <w14:ligatures w14:val="none"/>
        </w:rPr>
        <w:t>–</w:t>
      </w:r>
      <w:r w:rsidR="0050211E" w:rsidRPr="74FBCDC6">
        <w:rPr>
          <w:rFonts w:ascii="Verdana" w:eastAsia="Times New Roman" w:hAnsi="Verdana"/>
          <w:kern w:val="0"/>
          <w:sz w:val="20"/>
          <w:szCs w:val="20"/>
          <w14:ligatures w14:val="none"/>
        </w:rPr>
        <w:t xml:space="preserve"> </w:t>
      </w:r>
      <w:r w:rsidR="0050211E" w:rsidRPr="6A68DB1C">
        <w:rPr>
          <w:rFonts w:ascii="Verdana" w:eastAsia="Times New Roman" w:hAnsi="Verdana"/>
          <w:i/>
          <w:iCs/>
          <w:kern w:val="0"/>
          <w:sz w:val="20"/>
          <w:szCs w:val="20"/>
          <w14:ligatures w14:val="none"/>
        </w:rPr>
        <w:t xml:space="preserve">Opcja zakupu energii </w:t>
      </w:r>
      <w:r w:rsidR="1FE97677" w:rsidRPr="6A68DB1C">
        <w:rPr>
          <w:rFonts w:ascii="Verdana" w:eastAsia="Times New Roman" w:hAnsi="Verdana"/>
          <w:i/>
          <w:iCs/>
          <w:kern w:val="0"/>
          <w:sz w:val="20"/>
          <w:szCs w:val="20"/>
          <w14:ligatures w14:val="none"/>
        </w:rPr>
        <w:t xml:space="preserve">elektrycznej </w:t>
      </w:r>
      <w:r w:rsidR="0050211E" w:rsidRPr="6A68DB1C">
        <w:rPr>
          <w:rFonts w:ascii="Verdana" w:eastAsia="Times New Roman" w:hAnsi="Verdana"/>
          <w:i/>
          <w:iCs/>
          <w:kern w:val="0"/>
          <w:sz w:val="20"/>
          <w:szCs w:val="20"/>
          <w14:ligatures w14:val="none"/>
        </w:rPr>
        <w:t xml:space="preserve">bezpośrednio od wytwórcy jest atrakcyjna zwłaszcza dla tych przedsiębiorstw, które nie dysponują </w:t>
      </w:r>
      <w:r w:rsidR="00CA5AD9" w:rsidRPr="6A68DB1C">
        <w:rPr>
          <w:rFonts w:ascii="Verdana" w:eastAsia="Times New Roman" w:hAnsi="Verdana"/>
          <w:i/>
          <w:iCs/>
          <w:kern w:val="0"/>
          <w:sz w:val="20"/>
          <w:szCs w:val="20"/>
          <w14:ligatures w14:val="none"/>
        </w:rPr>
        <w:t xml:space="preserve">ziemią </w:t>
      </w:r>
      <w:r w:rsidR="000B2C06" w:rsidRPr="6A68DB1C">
        <w:rPr>
          <w:rFonts w:ascii="Verdana" w:eastAsia="Times New Roman" w:hAnsi="Verdana"/>
          <w:i/>
          <w:iCs/>
          <w:kern w:val="0"/>
          <w:sz w:val="20"/>
          <w:szCs w:val="20"/>
          <w14:ligatures w14:val="none"/>
        </w:rPr>
        <w:t xml:space="preserve">lub środkami </w:t>
      </w:r>
      <w:r w:rsidR="005A76F9" w:rsidRPr="6A68DB1C">
        <w:rPr>
          <w:rFonts w:ascii="Verdana" w:eastAsia="Times New Roman" w:hAnsi="Verdana"/>
          <w:i/>
          <w:iCs/>
          <w:kern w:val="0"/>
          <w:sz w:val="20"/>
          <w:szCs w:val="20"/>
          <w14:ligatures w14:val="none"/>
        </w:rPr>
        <w:t>niezbędn</w:t>
      </w:r>
      <w:r w:rsidR="009D126D" w:rsidRPr="6A68DB1C">
        <w:rPr>
          <w:rFonts w:ascii="Verdana" w:eastAsia="Times New Roman" w:hAnsi="Verdana"/>
          <w:i/>
          <w:iCs/>
          <w:kern w:val="0"/>
          <w:sz w:val="20"/>
          <w:szCs w:val="20"/>
          <w14:ligatures w14:val="none"/>
        </w:rPr>
        <w:t>ymi</w:t>
      </w:r>
      <w:r w:rsidR="005A76F9" w:rsidRPr="6A68DB1C">
        <w:rPr>
          <w:rFonts w:ascii="Verdana" w:eastAsia="Times New Roman" w:hAnsi="Verdana"/>
          <w:i/>
          <w:iCs/>
          <w:kern w:val="0"/>
          <w:sz w:val="20"/>
          <w:szCs w:val="20"/>
          <w14:ligatures w14:val="none"/>
        </w:rPr>
        <w:t xml:space="preserve"> do</w:t>
      </w:r>
      <w:r w:rsidR="0050211E" w:rsidRPr="6A68DB1C">
        <w:rPr>
          <w:rFonts w:ascii="Verdana" w:eastAsia="Times New Roman" w:hAnsi="Verdana"/>
          <w:i/>
          <w:iCs/>
          <w:kern w:val="0"/>
          <w:sz w:val="20"/>
          <w:szCs w:val="20"/>
          <w14:ligatures w14:val="none"/>
        </w:rPr>
        <w:t xml:space="preserve"> postawi</w:t>
      </w:r>
      <w:r w:rsidR="005A76F9" w:rsidRPr="6A68DB1C">
        <w:rPr>
          <w:rFonts w:ascii="Verdana" w:eastAsia="Times New Roman" w:hAnsi="Verdana"/>
          <w:i/>
          <w:iCs/>
          <w:kern w:val="0"/>
          <w:sz w:val="20"/>
          <w:szCs w:val="20"/>
          <w14:ligatures w14:val="none"/>
        </w:rPr>
        <w:t>enia własnej i</w:t>
      </w:r>
      <w:r w:rsidR="0050211E" w:rsidRPr="6A68DB1C">
        <w:rPr>
          <w:rFonts w:ascii="Verdana" w:eastAsia="Times New Roman" w:hAnsi="Verdana"/>
          <w:i/>
          <w:iCs/>
          <w:kern w:val="0"/>
          <w:sz w:val="20"/>
          <w:szCs w:val="20"/>
          <w14:ligatures w14:val="none"/>
        </w:rPr>
        <w:t>nstalacj</w:t>
      </w:r>
      <w:r w:rsidR="005A76F9" w:rsidRPr="6A68DB1C">
        <w:rPr>
          <w:rFonts w:ascii="Verdana" w:eastAsia="Times New Roman" w:hAnsi="Verdana"/>
          <w:i/>
          <w:iCs/>
          <w:kern w:val="0"/>
          <w:sz w:val="20"/>
          <w:szCs w:val="20"/>
          <w14:ligatures w14:val="none"/>
        </w:rPr>
        <w:t>i</w:t>
      </w:r>
      <w:r w:rsidR="0050211E" w:rsidRPr="6A68DB1C">
        <w:rPr>
          <w:rFonts w:ascii="Verdana" w:eastAsia="Times New Roman" w:hAnsi="Verdana"/>
          <w:i/>
          <w:iCs/>
          <w:kern w:val="0"/>
          <w:sz w:val="20"/>
          <w:szCs w:val="20"/>
          <w14:ligatures w14:val="none"/>
        </w:rPr>
        <w:t xml:space="preserve">. </w:t>
      </w:r>
      <w:r w:rsidR="285B7E73" w:rsidRPr="6A68DB1C">
        <w:rPr>
          <w:rFonts w:ascii="Verdana" w:eastAsia="Times New Roman" w:hAnsi="Verdana"/>
          <w:i/>
          <w:iCs/>
          <w:kern w:val="0"/>
          <w:sz w:val="20"/>
          <w:szCs w:val="20"/>
          <w14:ligatures w14:val="none"/>
        </w:rPr>
        <w:t>Coraz więcej takich firm widzimy także wśród klientów MŚP.</w:t>
      </w:r>
      <w:r w:rsidR="7B8B8848" w:rsidRPr="6A68DB1C">
        <w:rPr>
          <w:rFonts w:ascii="Verdana" w:eastAsia="Times New Roman" w:hAnsi="Verdana"/>
          <w:i/>
          <w:iCs/>
          <w:kern w:val="0"/>
          <w:sz w:val="20"/>
          <w:szCs w:val="20"/>
          <w14:ligatures w14:val="none"/>
        </w:rPr>
        <w:t xml:space="preserve"> </w:t>
      </w:r>
      <w:r w:rsidR="4F19325D" w:rsidRPr="6A68DB1C">
        <w:rPr>
          <w:rFonts w:ascii="Verdana" w:eastAsia="Times New Roman" w:hAnsi="Verdana"/>
          <w:i/>
          <w:iCs/>
          <w:kern w:val="0"/>
          <w:sz w:val="20"/>
          <w:szCs w:val="20"/>
          <w14:ligatures w14:val="none"/>
        </w:rPr>
        <w:t xml:space="preserve">Jeśli są właścicielami </w:t>
      </w:r>
      <w:r w:rsidR="00521909">
        <w:rPr>
          <w:rFonts w:ascii="Verdana" w:eastAsia="Times New Roman" w:hAnsi="Verdana"/>
          <w:i/>
          <w:iCs/>
          <w:kern w:val="0"/>
          <w:sz w:val="20"/>
          <w:szCs w:val="20"/>
          <w14:ligatures w14:val="none"/>
        </w:rPr>
        <w:t>wolnej</w:t>
      </w:r>
      <w:r w:rsidR="4F19325D" w:rsidRPr="6A68DB1C">
        <w:rPr>
          <w:rFonts w:ascii="Verdana" w:eastAsia="Times New Roman" w:hAnsi="Verdana"/>
          <w:i/>
          <w:iCs/>
          <w:kern w:val="0"/>
          <w:sz w:val="20"/>
          <w:szCs w:val="20"/>
          <w14:ligatures w14:val="none"/>
        </w:rPr>
        <w:t xml:space="preserve"> przestrzeni, obserwujemy także</w:t>
      </w:r>
      <w:r w:rsidR="0050211E" w:rsidRPr="6A68DB1C">
        <w:rPr>
          <w:rFonts w:ascii="Verdana" w:eastAsia="Times New Roman" w:hAnsi="Verdana"/>
          <w:i/>
          <w:iCs/>
          <w:kern w:val="0"/>
          <w:sz w:val="20"/>
          <w:szCs w:val="20"/>
          <w14:ligatures w14:val="none"/>
        </w:rPr>
        <w:t xml:space="preserve"> wzrost zainteresowania dzierżawą pod </w:t>
      </w:r>
      <w:r w:rsidR="001D2F18" w:rsidRPr="6A68DB1C">
        <w:rPr>
          <w:rFonts w:ascii="Verdana" w:eastAsia="Times New Roman" w:hAnsi="Verdana"/>
          <w:i/>
          <w:iCs/>
          <w:kern w:val="0"/>
          <w:sz w:val="20"/>
          <w:szCs w:val="20"/>
          <w14:ligatures w14:val="none"/>
        </w:rPr>
        <w:t>panele fotowoltaiczne</w:t>
      </w:r>
      <w:r w:rsidR="00CA5AD9" w:rsidRPr="6A68DB1C">
        <w:rPr>
          <w:rFonts w:ascii="Verdana" w:eastAsia="Times New Roman" w:hAnsi="Verdana"/>
          <w:i/>
          <w:iCs/>
          <w:kern w:val="0"/>
          <w:sz w:val="20"/>
          <w:szCs w:val="20"/>
          <w14:ligatures w14:val="none"/>
        </w:rPr>
        <w:t xml:space="preserve">, </w:t>
      </w:r>
      <w:r w:rsidR="0050211E" w:rsidRPr="6A68DB1C">
        <w:rPr>
          <w:rFonts w:ascii="Verdana" w:eastAsia="Times New Roman" w:hAnsi="Verdana"/>
          <w:i/>
          <w:iCs/>
          <w:kern w:val="0"/>
          <w:sz w:val="20"/>
          <w:szCs w:val="20"/>
          <w14:ligatures w14:val="none"/>
        </w:rPr>
        <w:t xml:space="preserve">wiatraki </w:t>
      </w:r>
      <w:r w:rsidR="00CA5AD9" w:rsidRPr="6A68DB1C">
        <w:rPr>
          <w:rFonts w:ascii="Verdana" w:eastAsia="Times New Roman" w:hAnsi="Verdana"/>
          <w:i/>
          <w:iCs/>
          <w:kern w:val="0"/>
          <w:sz w:val="20"/>
          <w:szCs w:val="20"/>
          <w14:ligatures w14:val="none"/>
        </w:rPr>
        <w:t xml:space="preserve">czy </w:t>
      </w:r>
      <w:r w:rsidR="0050211E" w:rsidRPr="6A68DB1C">
        <w:rPr>
          <w:rFonts w:ascii="Verdana" w:eastAsia="Times New Roman" w:hAnsi="Verdana"/>
          <w:i/>
          <w:iCs/>
          <w:kern w:val="0"/>
          <w:sz w:val="20"/>
          <w:szCs w:val="20"/>
          <w14:ligatures w14:val="none"/>
        </w:rPr>
        <w:t>biogazownie.</w:t>
      </w:r>
      <w:r w:rsidR="009A5394" w:rsidRPr="6A68DB1C">
        <w:rPr>
          <w:rFonts w:ascii="Verdana" w:eastAsia="Times New Roman" w:hAnsi="Verdana"/>
          <w:i/>
          <w:iCs/>
          <w:kern w:val="0"/>
          <w:sz w:val="20"/>
          <w:szCs w:val="20"/>
          <w14:ligatures w14:val="none"/>
        </w:rPr>
        <w:t xml:space="preserve"> Coraz więcej </w:t>
      </w:r>
      <w:r w:rsidR="00390387" w:rsidRPr="6A68DB1C">
        <w:rPr>
          <w:rFonts w:ascii="Verdana" w:eastAsia="Times New Roman" w:hAnsi="Verdana"/>
          <w:i/>
          <w:iCs/>
          <w:kern w:val="0"/>
          <w:sz w:val="20"/>
          <w:szCs w:val="20"/>
          <w14:ligatures w14:val="none"/>
        </w:rPr>
        <w:t>z nich</w:t>
      </w:r>
      <w:r w:rsidR="009A5394" w:rsidRPr="6A68DB1C">
        <w:rPr>
          <w:rFonts w:ascii="Verdana" w:eastAsia="Times New Roman" w:hAnsi="Verdana"/>
          <w:i/>
          <w:iCs/>
          <w:kern w:val="0"/>
          <w:sz w:val="20"/>
          <w:szCs w:val="20"/>
          <w14:ligatures w14:val="none"/>
        </w:rPr>
        <w:t xml:space="preserve"> </w:t>
      </w:r>
      <w:r w:rsidR="00E76058" w:rsidRPr="6A68DB1C">
        <w:rPr>
          <w:rFonts w:ascii="Verdana" w:eastAsia="Times New Roman" w:hAnsi="Verdana"/>
          <w:i/>
          <w:iCs/>
          <w:kern w:val="0"/>
          <w:sz w:val="20"/>
          <w:szCs w:val="20"/>
          <w14:ligatures w14:val="none"/>
        </w:rPr>
        <w:t>decyduje się także na</w:t>
      </w:r>
      <w:r w:rsidR="009A5394" w:rsidRPr="6A68DB1C">
        <w:rPr>
          <w:rFonts w:ascii="Verdana" w:eastAsia="Times New Roman" w:hAnsi="Verdana"/>
          <w:i/>
          <w:iCs/>
          <w:kern w:val="0"/>
          <w:sz w:val="20"/>
          <w:szCs w:val="20"/>
          <w14:ligatures w14:val="none"/>
        </w:rPr>
        <w:t xml:space="preserve"> własne instalacje OZE. </w:t>
      </w:r>
      <w:r w:rsidR="00E76058" w:rsidRPr="6A68DB1C">
        <w:rPr>
          <w:rFonts w:ascii="Verdana" w:eastAsia="Times New Roman" w:hAnsi="Verdana"/>
          <w:i/>
          <w:iCs/>
          <w:kern w:val="0"/>
          <w:sz w:val="20"/>
          <w:szCs w:val="20"/>
          <w14:ligatures w14:val="none"/>
        </w:rPr>
        <w:t xml:space="preserve">Jako sprzedawca energii mamy ustawowy obowiązek odbioru ewentualnych nadwyżek energii z instalacji </w:t>
      </w:r>
      <w:r w:rsidR="004C5BEA" w:rsidRPr="6A68DB1C">
        <w:rPr>
          <w:rFonts w:ascii="Verdana" w:eastAsia="Times New Roman" w:hAnsi="Verdana"/>
          <w:i/>
          <w:iCs/>
          <w:kern w:val="0"/>
          <w:sz w:val="20"/>
          <w:szCs w:val="20"/>
          <w14:ligatures w14:val="none"/>
        </w:rPr>
        <w:t xml:space="preserve">naszych </w:t>
      </w:r>
      <w:r w:rsidR="00E76058" w:rsidRPr="6A68DB1C">
        <w:rPr>
          <w:rFonts w:ascii="Verdana" w:eastAsia="Times New Roman" w:hAnsi="Verdana"/>
          <w:i/>
          <w:iCs/>
          <w:kern w:val="0"/>
          <w:sz w:val="20"/>
          <w:szCs w:val="20"/>
          <w14:ligatures w14:val="none"/>
        </w:rPr>
        <w:t>klient</w:t>
      </w:r>
      <w:r w:rsidR="004C5BEA" w:rsidRPr="6A68DB1C">
        <w:rPr>
          <w:rFonts w:ascii="Verdana" w:eastAsia="Times New Roman" w:hAnsi="Verdana"/>
          <w:i/>
          <w:iCs/>
          <w:kern w:val="0"/>
          <w:sz w:val="20"/>
          <w:szCs w:val="20"/>
          <w14:ligatures w14:val="none"/>
        </w:rPr>
        <w:t>ów MŚP</w:t>
      </w:r>
      <w:r w:rsidR="00E76058" w:rsidRPr="6A68DB1C">
        <w:rPr>
          <w:rFonts w:ascii="Verdana" w:eastAsia="Times New Roman" w:hAnsi="Verdana"/>
          <w:i/>
          <w:iCs/>
          <w:kern w:val="0"/>
          <w:sz w:val="20"/>
          <w:szCs w:val="20"/>
          <w14:ligatures w14:val="none"/>
        </w:rPr>
        <w:t xml:space="preserve">. </w:t>
      </w:r>
      <w:r w:rsidR="24747768" w:rsidRPr="6A68DB1C">
        <w:rPr>
          <w:rFonts w:ascii="Verdana" w:eastAsia="Times New Roman" w:hAnsi="Verdana"/>
          <w:i/>
          <w:iCs/>
          <w:sz w:val="20"/>
          <w:szCs w:val="20"/>
        </w:rPr>
        <w:t xml:space="preserve">W 2022 roku </w:t>
      </w:r>
      <w:r w:rsidR="67051BB8" w:rsidRPr="6A68DB1C">
        <w:rPr>
          <w:rFonts w:ascii="Verdana" w:eastAsia="Times New Roman" w:hAnsi="Verdana"/>
          <w:i/>
          <w:iCs/>
          <w:sz w:val="20"/>
          <w:szCs w:val="20"/>
        </w:rPr>
        <w:t>mieliśmy</w:t>
      </w:r>
      <w:r w:rsidR="00FA3101" w:rsidRPr="6A68DB1C">
        <w:rPr>
          <w:rFonts w:ascii="Verdana" w:eastAsia="Times New Roman" w:hAnsi="Verdana"/>
          <w:i/>
          <w:iCs/>
          <w:sz w:val="20"/>
          <w:szCs w:val="20"/>
        </w:rPr>
        <w:t xml:space="preserve"> zaled</w:t>
      </w:r>
      <w:r w:rsidR="0D4B21DE" w:rsidRPr="6A68DB1C">
        <w:rPr>
          <w:rFonts w:ascii="Verdana" w:eastAsia="Times New Roman" w:hAnsi="Verdana"/>
          <w:i/>
          <w:iCs/>
          <w:sz w:val="20"/>
          <w:szCs w:val="20"/>
        </w:rPr>
        <w:t>w</w:t>
      </w:r>
      <w:r w:rsidR="00FA3101" w:rsidRPr="6A68DB1C">
        <w:rPr>
          <w:rFonts w:ascii="Verdana" w:eastAsia="Times New Roman" w:hAnsi="Verdana"/>
          <w:i/>
          <w:iCs/>
          <w:sz w:val="20"/>
          <w:szCs w:val="20"/>
        </w:rPr>
        <w:t>ie koło tysiąca</w:t>
      </w:r>
      <w:r w:rsidR="63A0ABBA" w:rsidRPr="6A68DB1C">
        <w:rPr>
          <w:rFonts w:ascii="Verdana" w:eastAsia="Times New Roman" w:hAnsi="Verdana"/>
          <w:i/>
          <w:iCs/>
          <w:sz w:val="20"/>
          <w:szCs w:val="20"/>
        </w:rPr>
        <w:t xml:space="preserve"> klientów, którzy posiadają własne źródła wytwórcze</w:t>
      </w:r>
      <w:r w:rsidR="00FA3101" w:rsidRPr="6A68DB1C">
        <w:rPr>
          <w:rFonts w:ascii="Verdana" w:eastAsia="Times New Roman" w:hAnsi="Verdana"/>
          <w:i/>
          <w:iCs/>
          <w:sz w:val="20"/>
          <w:szCs w:val="20"/>
        </w:rPr>
        <w:t>. T</w:t>
      </w:r>
      <w:r w:rsidR="00E76058" w:rsidRPr="6A68DB1C">
        <w:rPr>
          <w:rFonts w:ascii="Verdana" w:eastAsia="Times New Roman" w:hAnsi="Verdana"/>
          <w:i/>
          <w:iCs/>
          <w:sz w:val="20"/>
          <w:szCs w:val="20"/>
        </w:rPr>
        <w:t xml:space="preserve">eraz jest </w:t>
      </w:r>
      <w:r w:rsidR="00FA3101" w:rsidRPr="6A68DB1C">
        <w:rPr>
          <w:rFonts w:ascii="Verdana" w:eastAsia="Times New Roman" w:hAnsi="Verdana"/>
          <w:i/>
          <w:iCs/>
          <w:sz w:val="20"/>
          <w:szCs w:val="20"/>
        </w:rPr>
        <w:t>ich już ponad trzy</w:t>
      </w:r>
      <w:r w:rsidR="00E76058" w:rsidRPr="6A68DB1C">
        <w:rPr>
          <w:rFonts w:ascii="Verdana" w:eastAsia="Times New Roman" w:hAnsi="Verdana"/>
          <w:i/>
          <w:iCs/>
          <w:sz w:val="20"/>
          <w:szCs w:val="20"/>
        </w:rPr>
        <w:t xml:space="preserve"> tys</w:t>
      </w:r>
      <w:r w:rsidR="00FA3101" w:rsidRPr="6A68DB1C">
        <w:rPr>
          <w:rFonts w:ascii="Verdana" w:eastAsia="Times New Roman" w:hAnsi="Verdana"/>
          <w:i/>
          <w:iCs/>
          <w:sz w:val="20"/>
          <w:szCs w:val="20"/>
        </w:rPr>
        <w:t xml:space="preserve">iące </w:t>
      </w:r>
      <w:r w:rsidR="0050211E" w:rsidRPr="74FBCDC6">
        <w:rPr>
          <w:rFonts w:ascii="Verdana" w:eastAsia="Times New Roman" w:hAnsi="Verdana"/>
          <w:kern w:val="0"/>
          <w:sz w:val="20"/>
          <w:szCs w:val="20"/>
          <w14:ligatures w14:val="none"/>
        </w:rPr>
        <w:t xml:space="preserve">– </w:t>
      </w:r>
      <w:r w:rsidR="00783C05" w:rsidRPr="74FBCDC6">
        <w:rPr>
          <w:rFonts w:ascii="Verdana" w:eastAsia="Times New Roman" w:hAnsi="Verdana"/>
          <w:kern w:val="0"/>
          <w:sz w:val="20"/>
          <w:szCs w:val="20"/>
          <w14:ligatures w14:val="none"/>
        </w:rPr>
        <w:t>mówi Łukasz Pawłowski, Senior Sales Manager w Axpo Polska.</w:t>
      </w:r>
    </w:p>
    <w:p w14:paraId="2D717CB2" w14:textId="77777777" w:rsidR="00F33428" w:rsidRPr="00B5201B" w:rsidRDefault="00F33428" w:rsidP="00382992">
      <w:pPr>
        <w:spacing w:line="252" w:lineRule="auto"/>
        <w:rPr>
          <w:rFonts w:ascii="Verdana" w:eastAsia="Times New Roman" w:hAnsi="Verdana" w:cstheme="minorHAnsi"/>
          <w:kern w:val="0"/>
          <w:sz w:val="20"/>
          <w:szCs w:val="20"/>
          <w14:ligatures w14:val="none"/>
        </w:rPr>
      </w:pPr>
    </w:p>
    <w:p w14:paraId="2CBA641E" w14:textId="48120044" w:rsidR="003B0825" w:rsidRPr="00B5201B" w:rsidRDefault="00DA2F66" w:rsidP="003B0825">
      <w:pPr>
        <w:spacing w:line="252" w:lineRule="auto"/>
        <w:rPr>
          <w:rFonts w:ascii="Verdana" w:eastAsia="Times New Roman" w:hAnsi="Verdana" w:cstheme="minorHAnsi"/>
          <w:b/>
          <w:bCs/>
          <w:kern w:val="0"/>
          <w:sz w:val="20"/>
          <w:szCs w:val="20"/>
          <w14:ligatures w14:val="none"/>
        </w:rPr>
      </w:pPr>
      <w:r w:rsidRPr="00B5201B">
        <w:rPr>
          <w:rFonts w:ascii="Verdana" w:eastAsia="Times New Roman" w:hAnsi="Verdana" w:cstheme="minorHAnsi"/>
          <w:b/>
          <w:bCs/>
          <w:kern w:val="0"/>
          <w:sz w:val="20"/>
          <w:szCs w:val="20"/>
          <w14:ligatures w14:val="none"/>
        </w:rPr>
        <w:t>Jak będzie wyglądała walka o klientów w 2024 roku?</w:t>
      </w:r>
    </w:p>
    <w:p w14:paraId="37D89D59" w14:textId="77777777" w:rsidR="008A64A1" w:rsidRPr="00B5201B" w:rsidRDefault="008A64A1" w:rsidP="009A5394">
      <w:pPr>
        <w:rPr>
          <w:rFonts w:ascii="Verdana" w:eastAsia="Times New Roman" w:hAnsi="Verdana" w:cstheme="minorHAnsi"/>
          <w:b/>
          <w:bCs/>
          <w:kern w:val="0"/>
          <w:sz w:val="20"/>
          <w:szCs w:val="20"/>
          <w14:ligatures w14:val="none"/>
        </w:rPr>
      </w:pPr>
    </w:p>
    <w:p w14:paraId="702C51B7" w14:textId="7ED8788E" w:rsidR="008A64A1" w:rsidRPr="00B5201B" w:rsidRDefault="001F5EE6" w:rsidP="008A64A1">
      <w:pPr>
        <w:spacing w:line="252" w:lineRule="auto"/>
        <w:rPr>
          <w:rFonts w:ascii="Verdana" w:eastAsia="Times New Roman" w:hAnsi="Verdana"/>
          <w:kern w:val="0"/>
          <w:sz w:val="20"/>
          <w:szCs w:val="20"/>
          <w14:ligatures w14:val="none"/>
        </w:rPr>
      </w:pPr>
      <w:r w:rsidRPr="74FBCDC6">
        <w:rPr>
          <w:rFonts w:ascii="Verdana" w:eastAsia="Times New Roman" w:hAnsi="Verdana"/>
          <w:kern w:val="0"/>
          <w:sz w:val="20"/>
          <w:szCs w:val="20"/>
          <w14:ligatures w14:val="none"/>
        </w:rPr>
        <w:t>Aktualny rok</w:t>
      </w:r>
      <w:r w:rsidR="00D0456B" w:rsidRPr="74FBCDC6">
        <w:rPr>
          <w:rFonts w:ascii="Verdana" w:eastAsia="Times New Roman" w:hAnsi="Verdana"/>
          <w:kern w:val="0"/>
          <w:sz w:val="20"/>
          <w:szCs w:val="20"/>
          <w14:ligatures w14:val="none"/>
        </w:rPr>
        <w:t xml:space="preserve"> zapowiada się </w:t>
      </w:r>
      <w:r w:rsidR="00215923" w:rsidRPr="74FBCDC6">
        <w:rPr>
          <w:rFonts w:ascii="Verdana" w:eastAsia="Times New Roman" w:hAnsi="Verdana"/>
          <w:kern w:val="0"/>
          <w:sz w:val="20"/>
          <w:szCs w:val="20"/>
          <w14:ligatures w14:val="none"/>
        </w:rPr>
        <w:t>w</w:t>
      </w:r>
      <w:r w:rsidR="00D0456B" w:rsidRPr="74FBCDC6">
        <w:rPr>
          <w:rFonts w:ascii="Verdana" w:eastAsia="Times New Roman" w:hAnsi="Verdana"/>
          <w:kern w:val="0"/>
          <w:sz w:val="20"/>
          <w:szCs w:val="20"/>
          <w14:ligatures w14:val="none"/>
        </w:rPr>
        <w:t xml:space="preserve"> branży interesująco</w:t>
      </w:r>
      <w:r w:rsidR="0005710E" w:rsidRPr="74FBCDC6">
        <w:rPr>
          <w:rFonts w:ascii="Verdana" w:eastAsia="Times New Roman" w:hAnsi="Verdana"/>
          <w:kern w:val="0"/>
          <w:sz w:val="20"/>
          <w:szCs w:val="20"/>
          <w14:ligatures w14:val="none"/>
        </w:rPr>
        <w:t xml:space="preserve">. Jeszcze do końca czerwca br. obowiązuje stawka </w:t>
      </w:r>
      <w:r w:rsidR="187A364E" w:rsidRPr="74FBCDC6">
        <w:rPr>
          <w:rFonts w:ascii="Verdana" w:eastAsia="Times New Roman" w:hAnsi="Verdana"/>
          <w:kern w:val="0"/>
          <w:sz w:val="20"/>
          <w:szCs w:val="20"/>
          <w14:ligatures w14:val="none"/>
        </w:rPr>
        <w:t>693</w:t>
      </w:r>
      <w:r w:rsidR="0005710E" w:rsidRPr="74FBCDC6">
        <w:rPr>
          <w:rFonts w:ascii="Verdana" w:eastAsia="Times New Roman" w:hAnsi="Verdana"/>
          <w:kern w:val="0"/>
          <w:sz w:val="20"/>
          <w:szCs w:val="20"/>
          <w14:ligatures w14:val="none"/>
        </w:rPr>
        <w:t xml:space="preserve"> zł</w:t>
      </w:r>
      <w:r w:rsidR="73CAEDE0" w:rsidRPr="74FBCDC6">
        <w:rPr>
          <w:rFonts w:ascii="Verdana" w:eastAsia="Times New Roman" w:hAnsi="Verdana"/>
          <w:kern w:val="0"/>
          <w:sz w:val="20"/>
          <w:szCs w:val="20"/>
          <w14:ligatures w14:val="none"/>
        </w:rPr>
        <w:t xml:space="preserve"> netto za </w:t>
      </w:r>
      <w:r w:rsidR="0005710E" w:rsidRPr="74FBCDC6">
        <w:rPr>
          <w:rFonts w:ascii="Verdana" w:eastAsia="Times New Roman" w:hAnsi="Verdana"/>
          <w:kern w:val="0"/>
          <w:sz w:val="20"/>
          <w:szCs w:val="20"/>
          <w14:ligatures w14:val="none"/>
        </w:rPr>
        <w:t>MWh</w:t>
      </w:r>
      <w:r w:rsidR="00B570A4" w:rsidRPr="74FBCDC6">
        <w:rPr>
          <w:rFonts w:ascii="Verdana" w:eastAsia="Times New Roman" w:hAnsi="Verdana"/>
          <w:kern w:val="0"/>
          <w:sz w:val="20"/>
          <w:szCs w:val="20"/>
          <w14:ligatures w14:val="none"/>
        </w:rPr>
        <w:t xml:space="preserve">, którą dla odbiorców wrażliwych i </w:t>
      </w:r>
      <w:r w:rsidR="00FC2323" w:rsidRPr="74FBCDC6">
        <w:rPr>
          <w:rFonts w:ascii="Verdana" w:eastAsia="Times New Roman" w:hAnsi="Verdana"/>
          <w:kern w:val="0"/>
          <w:sz w:val="20"/>
          <w:szCs w:val="20"/>
          <w14:ligatures w14:val="none"/>
        </w:rPr>
        <w:t>małych firm przedłużył rząd.</w:t>
      </w:r>
      <w:r w:rsidR="00215923" w:rsidRPr="74FBCDC6">
        <w:rPr>
          <w:rFonts w:ascii="Verdana" w:eastAsia="Times New Roman" w:hAnsi="Verdana"/>
          <w:kern w:val="0"/>
          <w:sz w:val="20"/>
          <w:szCs w:val="20"/>
          <w14:ligatures w14:val="none"/>
        </w:rPr>
        <w:t xml:space="preserve"> </w:t>
      </w:r>
      <w:r w:rsidR="00FC2323" w:rsidRPr="74FBCDC6">
        <w:rPr>
          <w:rFonts w:ascii="Verdana" w:eastAsia="Times New Roman" w:hAnsi="Verdana"/>
          <w:kern w:val="0"/>
          <w:sz w:val="20"/>
          <w:szCs w:val="20"/>
          <w14:ligatures w14:val="none"/>
        </w:rPr>
        <w:t xml:space="preserve">Kolejne </w:t>
      </w:r>
      <w:r w:rsidR="00D0456B" w:rsidRPr="74FBCDC6">
        <w:rPr>
          <w:rFonts w:ascii="Verdana" w:eastAsia="Times New Roman" w:hAnsi="Verdana"/>
          <w:kern w:val="0"/>
          <w:sz w:val="20"/>
          <w:szCs w:val="20"/>
          <w14:ligatures w14:val="none"/>
        </w:rPr>
        <w:t xml:space="preserve">wyzwania stawiane </w:t>
      </w:r>
      <w:r w:rsidR="66D84C7C" w:rsidRPr="74FBCDC6">
        <w:rPr>
          <w:rFonts w:ascii="Verdana" w:eastAsia="Times New Roman" w:hAnsi="Verdana"/>
          <w:kern w:val="0"/>
          <w:sz w:val="20"/>
          <w:szCs w:val="20"/>
          <w14:ligatures w14:val="none"/>
        </w:rPr>
        <w:t xml:space="preserve">przed rynkiem </w:t>
      </w:r>
      <w:r w:rsidR="00FC2323" w:rsidRPr="74FBCDC6">
        <w:rPr>
          <w:rFonts w:ascii="Verdana" w:eastAsia="Times New Roman" w:hAnsi="Verdana"/>
          <w:kern w:val="0"/>
          <w:sz w:val="20"/>
          <w:szCs w:val="20"/>
          <w14:ligatures w14:val="none"/>
        </w:rPr>
        <w:t>to wymagania i trendy związane z</w:t>
      </w:r>
      <w:r w:rsidR="00B24B70" w:rsidRPr="74FBCDC6">
        <w:rPr>
          <w:rFonts w:ascii="Verdana" w:eastAsia="Times New Roman" w:hAnsi="Verdana"/>
          <w:kern w:val="0"/>
          <w:sz w:val="20"/>
          <w:szCs w:val="20"/>
          <w14:ligatures w14:val="none"/>
        </w:rPr>
        <w:t xml:space="preserve">e </w:t>
      </w:r>
      <w:r w:rsidR="00D0456B" w:rsidRPr="74FBCDC6">
        <w:rPr>
          <w:rFonts w:ascii="Verdana" w:eastAsia="Times New Roman" w:hAnsi="Verdana"/>
          <w:kern w:val="0"/>
          <w:sz w:val="20"/>
          <w:szCs w:val="20"/>
          <w14:ligatures w14:val="none"/>
        </w:rPr>
        <w:t xml:space="preserve">zrównoważonym rozwojem i rosnącym zapotrzebowaniem na </w:t>
      </w:r>
      <w:r w:rsidR="0055186E" w:rsidRPr="74FBCDC6">
        <w:rPr>
          <w:rFonts w:ascii="Verdana" w:eastAsia="Times New Roman" w:hAnsi="Verdana"/>
          <w:kern w:val="0"/>
          <w:sz w:val="20"/>
          <w:szCs w:val="20"/>
          <w14:ligatures w14:val="none"/>
        </w:rPr>
        <w:t xml:space="preserve">korzystanie przez </w:t>
      </w:r>
      <w:r w:rsidR="00B24B70" w:rsidRPr="74FBCDC6">
        <w:rPr>
          <w:rFonts w:ascii="Verdana" w:eastAsia="Times New Roman" w:hAnsi="Verdana"/>
          <w:kern w:val="0"/>
          <w:sz w:val="20"/>
          <w:szCs w:val="20"/>
          <w14:ligatures w14:val="none"/>
        </w:rPr>
        <w:t xml:space="preserve">firmy </w:t>
      </w:r>
      <w:r w:rsidR="0055186E" w:rsidRPr="74FBCDC6">
        <w:rPr>
          <w:rFonts w:ascii="Verdana" w:eastAsia="Times New Roman" w:hAnsi="Verdana"/>
          <w:kern w:val="0"/>
          <w:sz w:val="20"/>
          <w:szCs w:val="20"/>
          <w14:ligatures w14:val="none"/>
        </w:rPr>
        <w:t xml:space="preserve">z </w:t>
      </w:r>
      <w:r w:rsidR="00D0456B" w:rsidRPr="74FBCDC6">
        <w:rPr>
          <w:rFonts w:ascii="Verdana" w:eastAsia="Times New Roman" w:hAnsi="Verdana"/>
          <w:kern w:val="0"/>
          <w:sz w:val="20"/>
          <w:szCs w:val="20"/>
          <w14:ligatures w14:val="none"/>
        </w:rPr>
        <w:t>odnawialn</w:t>
      </w:r>
      <w:r w:rsidR="0055186E" w:rsidRPr="74FBCDC6">
        <w:rPr>
          <w:rFonts w:ascii="Verdana" w:eastAsia="Times New Roman" w:hAnsi="Verdana"/>
          <w:kern w:val="0"/>
          <w:sz w:val="20"/>
          <w:szCs w:val="20"/>
          <w14:ligatures w14:val="none"/>
        </w:rPr>
        <w:t>ych</w:t>
      </w:r>
      <w:r w:rsidR="00D0456B" w:rsidRPr="74FBCDC6">
        <w:rPr>
          <w:rFonts w:ascii="Verdana" w:eastAsia="Times New Roman" w:hAnsi="Verdana"/>
          <w:kern w:val="0"/>
          <w:sz w:val="20"/>
          <w:szCs w:val="20"/>
          <w14:ligatures w14:val="none"/>
        </w:rPr>
        <w:t xml:space="preserve"> źród</w:t>
      </w:r>
      <w:r w:rsidR="0055186E" w:rsidRPr="74FBCDC6">
        <w:rPr>
          <w:rFonts w:ascii="Verdana" w:eastAsia="Times New Roman" w:hAnsi="Verdana"/>
          <w:kern w:val="0"/>
          <w:sz w:val="20"/>
          <w:szCs w:val="20"/>
          <w14:ligatures w14:val="none"/>
        </w:rPr>
        <w:t>eł</w:t>
      </w:r>
      <w:r w:rsidR="00D0456B" w:rsidRPr="74FBCDC6">
        <w:rPr>
          <w:rFonts w:ascii="Verdana" w:eastAsia="Times New Roman" w:hAnsi="Verdana"/>
          <w:kern w:val="0"/>
          <w:sz w:val="20"/>
          <w:szCs w:val="20"/>
          <w14:ligatures w14:val="none"/>
        </w:rPr>
        <w:t xml:space="preserve"> energii.</w:t>
      </w:r>
      <w:r w:rsidR="0055186E" w:rsidRPr="74FBCDC6">
        <w:rPr>
          <w:rFonts w:ascii="Verdana" w:eastAsia="Times New Roman" w:hAnsi="Verdana"/>
          <w:kern w:val="0"/>
          <w:sz w:val="20"/>
          <w:szCs w:val="20"/>
          <w14:ligatures w14:val="none"/>
        </w:rPr>
        <w:t xml:space="preserve"> </w:t>
      </w:r>
      <w:r w:rsidR="006A6D91" w:rsidRPr="74FBCDC6">
        <w:rPr>
          <w:rFonts w:ascii="Verdana" w:eastAsia="Times New Roman" w:hAnsi="Verdana"/>
          <w:kern w:val="0"/>
          <w:sz w:val="20"/>
          <w:szCs w:val="20"/>
          <w14:ligatures w14:val="none"/>
        </w:rPr>
        <w:t>Mogłoby się wydawać, że będzie to powodować</w:t>
      </w:r>
      <w:r w:rsidR="00AE5096" w:rsidRPr="74FBCDC6">
        <w:rPr>
          <w:rFonts w:ascii="Verdana" w:eastAsia="Times New Roman" w:hAnsi="Verdana"/>
          <w:kern w:val="0"/>
          <w:sz w:val="20"/>
          <w:szCs w:val="20"/>
          <w14:ligatures w14:val="none"/>
        </w:rPr>
        <w:t xml:space="preserve"> pewne przetasowanie wśród klientów spółek obrotu</w:t>
      </w:r>
      <w:r w:rsidR="006A6D91" w:rsidRPr="74FBCDC6">
        <w:rPr>
          <w:rFonts w:ascii="Verdana" w:eastAsia="Times New Roman" w:hAnsi="Verdana"/>
          <w:kern w:val="0"/>
          <w:sz w:val="20"/>
          <w:szCs w:val="20"/>
          <w14:ligatures w14:val="none"/>
        </w:rPr>
        <w:t xml:space="preserve">, </w:t>
      </w:r>
      <w:r w:rsidR="0095301A" w:rsidRPr="74FBCDC6">
        <w:rPr>
          <w:rFonts w:ascii="Verdana" w:eastAsia="Times New Roman" w:hAnsi="Verdana"/>
          <w:kern w:val="0"/>
          <w:sz w:val="20"/>
          <w:szCs w:val="20"/>
          <w14:ligatures w14:val="none"/>
        </w:rPr>
        <w:t>a spółki MŚP będą</w:t>
      </w:r>
      <w:r w:rsidR="006A6D91" w:rsidRPr="74FBCDC6">
        <w:rPr>
          <w:rFonts w:ascii="Verdana" w:eastAsia="Times New Roman" w:hAnsi="Verdana"/>
          <w:kern w:val="0"/>
          <w:sz w:val="20"/>
          <w:szCs w:val="20"/>
          <w14:ligatures w14:val="none"/>
        </w:rPr>
        <w:t xml:space="preserve"> </w:t>
      </w:r>
      <w:r w:rsidR="0055186E" w:rsidRPr="74FBCDC6">
        <w:rPr>
          <w:rFonts w:ascii="Verdana" w:eastAsia="Times New Roman" w:hAnsi="Verdana"/>
          <w:kern w:val="0"/>
          <w:sz w:val="20"/>
          <w:szCs w:val="20"/>
          <w14:ligatures w14:val="none"/>
        </w:rPr>
        <w:t xml:space="preserve">bardziej skłonne do zmiany dotychczasowego sprzedawcy na takiego, który </w:t>
      </w:r>
      <w:r w:rsidR="129E7F35" w:rsidRPr="74FBCDC6">
        <w:rPr>
          <w:rFonts w:ascii="Verdana" w:eastAsia="Times New Roman" w:hAnsi="Verdana"/>
          <w:kern w:val="0"/>
          <w:sz w:val="20"/>
          <w:szCs w:val="20"/>
          <w14:ligatures w14:val="none"/>
        </w:rPr>
        <w:t xml:space="preserve">może </w:t>
      </w:r>
      <w:r w:rsidR="0055186E" w:rsidRPr="74FBCDC6">
        <w:rPr>
          <w:rFonts w:ascii="Verdana" w:eastAsia="Times New Roman" w:hAnsi="Verdana"/>
          <w:kern w:val="0"/>
          <w:sz w:val="20"/>
          <w:szCs w:val="20"/>
          <w14:ligatures w14:val="none"/>
        </w:rPr>
        <w:t>zaofer</w:t>
      </w:r>
      <w:r w:rsidR="569CA2FE" w:rsidRPr="74FBCDC6">
        <w:rPr>
          <w:rFonts w:ascii="Verdana" w:eastAsia="Times New Roman" w:hAnsi="Verdana"/>
          <w:kern w:val="0"/>
          <w:sz w:val="20"/>
          <w:szCs w:val="20"/>
          <w14:ligatures w14:val="none"/>
        </w:rPr>
        <w:t>ować</w:t>
      </w:r>
      <w:r w:rsidR="0055186E" w:rsidRPr="74FBCDC6">
        <w:rPr>
          <w:rFonts w:ascii="Verdana" w:eastAsia="Times New Roman" w:hAnsi="Verdana"/>
          <w:kern w:val="0"/>
          <w:sz w:val="20"/>
          <w:szCs w:val="20"/>
          <w14:ligatures w14:val="none"/>
        </w:rPr>
        <w:t xml:space="preserve"> produkt dopasowany do ich potrzeb. Jednak liczba klientów, którzy decydują się na </w:t>
      </w:r>
      <w:r w:rsidR="0CF86102" w:rsidRPr="74FBCDC6">
        <w:rPr>
          <w:rFonts w:ascii="Verdana" w:eastAsia="Times New Roman" w:hAnsi="Verdana"/>
          <w:kern w:val="0"/>
          <w:sz w:val="20"/>
          <w:szCs w:val="20"/>
          <w14:ligatures w14:val="none"/>
        </w:rPr>
        <w:t>zmianę sprzedawcy</w:t>
      </w:r>
      <w:r w:rsidR="0055186E" w:rsidRPr="74FBCDC6">
        <w:rPr>
          <w:rFonts w:ascii="Verdana" w:eastAsia="Times New Roman" w:hAnsi="Verdana"/>
          <w:kern w:val="0"/>
          <w:sz w:val="20"/>
          <w:szCs w:val="20"/>
          <w14:ligatures w14:val="none"/>
        </w:rPr>
        <w:t xml:space="preserve">, wciąż nie jest </w:t>
      </w:r>
      <w:r w:rsidR="005A76F9" w:rsidRPr="74FBCDC6">
        <w:rPr>
          <w:rFonts w:ascii="Verdana" w:eastAsia="Times New Roman" w:hAnsi="Verdana"/>
          <w:kern w:val="0"/>
          <w:sz w:val="20"/>
          <w:szCs w:val="20"/>
          <w14:ligatures w14:val="none"/>
        </w:rPr>
        <w:t xml:space="preserve">w Polsce </w:t>
      </w:r>
      <w:r w:rsidR="0055186E" w:rsidRPr="74FBCDC6">
        <w:rPr>
          <w:rFonts w:ascii="Verdana" w:eastAsia="Times New Roman" w:hAnsi="Verdana"/>
          <w:kern w:val="0"/>
          <w:sz w:val="20"/>
          <w:szCs w:val="20"/>
          <w14:ligatures w14:val="none"/>
        </w:rPr>
        <w:t>spektakularna. Od września 2022 r. do września 2023 r. sprzedawcę energii zmieniło zaledwie 8,5 tys. klientów biznesowych</w:t>
      </w:r>
      <w:r w:rsidR="00365791">
        <w:rPr>
          <w:rStyle w:val="Odwoanieprzypisudolnego"/>
          <w:rFonts w:ascii="Verdana" w:eastAsia="Times New Roman" w:hAnsi="Verdana"/>
          <w:kern w:val="0"/>
          <w:sz w:val="20"/>
          <w:szCs w:val="20"/>
          <w14:ligatures w14:val="none"/>
        </w:rPr>
        <w:footnoteReference w:id="2"/>
      </w:r>
      <w:r w:rsidR="0055186E" w:rsidRPr="74FBCDC6">
        <w:rPr>
          <w:rFonts w:ascii="Verdana" w:eastAsia="Times New Roman" w:hAnsi="Verdana"/>
          <w:kern w:val="0"/>
          <w:sz w:val="20"/>
          <w:szCs w:val="20"/>
          <w14:ligatures w14:val="none"/>
        </w:rPr>
        <w:t>.</w:t>
      </w:r>
    </w:p>
    <w:p w14:paraId="0DF65833" w14:textId="77777777" w:rsidR="00D0456B" w:rsidRPr="00B5201B" w:rsidRDefault="00D0456B" w:rsidP="00D0456B">
      <w:pPr>
        <w:rPr>
          <w:rFonts w:ascii="Verdana" w:eastAsia="Times New Roman" w:hAnsi="Verdana" w:cstheme="minorHAnsi"/>
          <w:b/>
          <w:bCs/>
          <w:kern w:val="0"/>
          <w:sz w:val="20"/>
          <w:szCs w:val="20"/>
          <w14:ligatures w14:val="none"/>
        </w:rPr>
      </w:pPr>
    </w:p>
    <w:p w14:paraId="1F00C06C" w14:textId="3AD9106B" w:rsidR="002A2906" w:rsidRDefault="004730D0">
      <w:pPr>
        <w:spacing w:line="252" w:lineRule="auto"/>
        <w:rPr>
          <w:rFonts w:ascii="Verdana" w:eastAsia="Times New Roman" w:hAnsi="Verdana"/>
          <w:sz w:val="20"/>
          <w:szCs w:val="20"/>
        </w:rPr>
      </w:pPr>
      <w:r w:rsidRPr="41F2529F">
        <w:rPr>
          <w:rFonts w:ascii="Verdana" w:eastAsia="Times New Roman" w:hAnsi="Verdana"/>
          <w:kern w:val="0"/>
          <w:sz w:val="20"/>
          <w:szCs w:val="20"/>
          <w14:ligatures w14:val="none"/>
        </w:rPr>
        <w:t>–</w:t>
      </w:r>
      <w:r w:rsidR="00D0456B" w:rsidRPr="41F2529F">
        <w:rPr>
          <w:rFonts w:ascii="Verdana" w:eastAsia="Times New Roman" w:hAnsi="Verdana"/>
          <w:kern w:val="0"/>
          <w:sz w:val="20"/>
          <w:szCs w:val="20"/>
          <w14:ligatures w14:val="none"/>
        </w:rPr>
        <w:t xml:space="preserve"> </w:t>
      </w:r>
      <w:r w:rsidR="00D0456B" w:rsidRPr="41F2529F">
        <w:rPr>
          <w:rFonts w:ascii="Verdana" w:eastAsia="Times New Roman" w:hAnsi="Verdana"/>
          <w:i/>
          <w:iCs/>
          <w:kern w:val="0"/>
          <w:sz w:val="20"/>
          <w:szCs w:val="20"/>
          <w14:ligatures w14:val="none"/>
        </w:rPr>
        <w:t>Od wybuchu pandemii obserwujemy wyraźny zwrot klientów MŚP w stronę stabilności i przewidywalności. Widmo zastoju gospodarczego i niepewność cen energii skłoniły ich do powrotu do bardziej bezpiecznych wyborów. Stabilność partnera stała się kluczowym kryterium decyzyjnym. Warto jednak zauważyć, że część klientów nie jest przekonana do zmiany sprzedawcy energii, nawet na takiego z dużym doświadczeniem, który przetrwał na rynku niejeden kryzys. Wciąż brakuje zrozumienia korzyści płynących z takiej decyzji, co stanowi istotne wyzwanie dla branży</w:t>
      </w:r>
      <w:r w:rsidR="47194099" w:rsidRPr="41F2529F">
        <w:rPr>
          <w:rFonts w:ascii="Verdana" w:eastAsia="Times New Roman" w:hAnsi="Verdana"/>
          <w:i/>
          <w:iCs/>
          <w:kern w:val="0"/>
          <w:sz w:val="20"/>
          <w:szCs w:val="20"/>
          <w14:ligatures w14:val="none"/>
        </w:rPr>
        <w:t>.</w:t>
      </w:r>
      <w:r w:rsidR="34EDE1B1" w:rsidRPr="41F2529F">
        <w:rPr>
          <w:rFonts w:ascii="Verdana" w:eastAsia="Times New Roman" w:hAnsi="Verdana"/>
          <w:i/>
          <w:iCs/>
          <w:kern w:val="0"/>
          <w:sz w:val="20"/>
          <w:szCs w:val="20"/>
          <w14:ligatures w14:val="none"/>
        </w:rPr>
        <w:t xml:space="preserve"> </w:t>
      </w:r>
      <w:r w:rsidR="186DB6D5" w:rsidRPr="41F2529F">
        <w:rPr>
          <w:rFonts w:ascii="Verdana" w:eastAsia="Times New Roman" w:hAnsi="Verdana"/>
          <w:i/>
          <w:iCs/>
          <w:kern w:val="0"/>
          <w:sz w:val="20"/>
          <w:szCs w:val="20"/>
          <w14:ligatures w14:val="none"/>
        </w:rPr>
        <w:t>J</w:t>
      </w:r>
      <w:r w:rsidR="5F2E3421" w:rsidRPr="41F2529F">
        <w:rPr>
          <w:rFonts w:ascii="Verdana" w:eastAsia="Times New Roman" w:hAnsi="Verdana"/>
          <w:i/>
          <w:iCs/>
          <w:kern w:val="0"/>
          <w:sz w:val="20"/>
          <w:szCs w:val="20"/>
          <w14:ligatures w14:val="none"/>
        </w:rPr>
        <w:t>e</w:t>
      </w:r>
      <w:r w:rsidR="186DB6D5" w:rsidRPr="41F2529F">
        <w:rPr>
          <w:rFonts w:ascii="Verdana" w:eastAsia="Times New Roman" w:hAnsi="Verdana"/>
          <w:i/>
          <w:iCs/>
          <w:kern w:val="0"/>
          <w:sz w:val="20"/>
          <w:szCs w:val="20"/>
          <w14:ligatures w14:val="none"/>
        </w:rPr>
        <w:t>dnak r</w:t>
      </w:r>
      <w:r w:rsidR="34EDE1B1" w:rsidRPr="41F2529F">
        <w:rPr>
          <w:rFonts w:ascii="Verdana" w:eastAsia="Verdana" w:hAnsi="Verdana" w:cs="Verdana"/>
          <w:i/>
          <w:iCs/>
          <w:sz w:val="19"/>
          <w:szCs w:val="19"/>
        </w:rPr>
        <w:t xml:space="preserve">osnące ceny </w:t>
      </w:r>
      <w:r w:rsidR="34EDE1B1" w:rsidRPr="0012694D">
        <w:rPr>
          <w:rFonts w:ascii="Verdana" w:eastAsia="Times New Roman" w:hAnsi="Verdana"/>
          <w:i/>
          <w:iCs/>
          <w:sz w:val="20"/>
          <w:szCs w:val="20"/>
        </w:rPr>
        <w:t xml:space="preserve">energii elektrycznej </w:t>
      </w:r>
      <w:r w:rsidR="34EDE1B1" w:rsidRPr="41F2529F">
        <w:rPr>
          <w:rFonts w:ascii="Verdana" w:eastAsia="Verdana" w:hAnsi="Verdana" w:cs="Verdana"/>
          <w:i/>
          <w:iCs/>
          <w:sz w:val="19"/>
          <w:szCs w:val="19"/>
        </w:rPr>
        <w:t>skłoniły</w:t>
      </w:r>
      <w:r w:rsidR="23703C40" w:rsidRPr="41F2529F">
        <w:rPr>
          <w:rFonts w:ascii="Verdana" w:eastAsia="Verdana" w:hAnsi="Verdana" w:cs="Verdana"/>
          <w:i/>
          <w:iCs/>
          <w:sz w:val="19"/>
          <w:szCs w:val="19"/>
        </w:rPr>
        <w:t xml:space="preserve"> część</w:t>
      </w:r>
      <w:r w:rsidR="34EDE1B1" w:rsidRPr="41F2529F">
        <w:rPr>
          <w:rFonts w:ascii="Verdana" w:eastAsia="Verdana" w:hAnsi="Verdana" w:cs="Verdana"/>
          <w:i/>
          <w:iCs/>
          <w:sz w:val="19"/>
          <w:szCs w:val="19"/>
        </w:rPr>
        <w:t xml:space="preserve"> klientów do poszukiwania nowych produktów. Rynek SPOT daje im możliwość bycia blisko cen rynkowych</w:t>
      </w:r>
      <w:r w:rsidR="14B7EE12" w:rsidRPr="41F2529F">
        <w:rPr>
          <w:rFonts w:ascii="Verdana" w:eastAsia="Verdana" w:hAnsi="Verdana" w:cs="Verdana"/>
          <w:i/>
          <w:iCs/>
          <w:sz w:val="19"/>
          <w:szCs w:val="19"/>
        </w:rPr>
        <w:t>,</w:t>
      </w:r>
      <w:r w:rsidR="34EDE1B1" w:rsidRPr="41F2529F">
        <w:rPr>
          <w:rFonts w:ascii="Verdana" w:eastAsia="Verdana" w:hAnsi="Verdana" w:cs="Verdana"/>
          <w:i/>
          <w:iCs/>
          <w:sz w:val="19"/>
          <w:szCs w:val="19"/>
        </w:rPr>
        <w:t xml:space="preserve"> dzięki czemu unikają ryzyka złego momentu kontraktacji.</w:t>
      </w:r>
      <w:r w:rsidR="00D0456B" w:rsidRPr="41F2529F">
        <w:rPr>
          <w:rFonts w:ascii="Verdana" w:eastAsia="Times New Roman" w:hAnsi="Verdana"/>
          <w:i/>
          <w:iCs/>
          <w:kern w:val="0"/>
          <w:sz w:val="20"/>
          <w:szCs w:val="20"/>
          <w14:ligatures w14:val="none"/>
        </w:rPr>
        <w:t xml:space="preserve"> Ciekawym zjawiskiem na </w:t>
      </w:r>
      <w:r w:rsidR="00D0456B" w:rsidRPr="41F2529F">
        <w:rPr>
          <w:rFonts w:ascii="Verdana" w:eastAsia="Times New Roman" w:hAnsi="Verdana"/>
          <w:i/>
          <w:iCs/>
          <w:kern w:val="0"/>
          <w:sz w:val="20"/>
          <w:szCs w:val="20"/>
          <w14:ligatures w14:val="none"/>
        </w:rPr>
        <w:lastRenderedPageBreak/>
        <w:t>rynku jest</w:t>
      </w:r>
      <w:r w:rsidR="00162C80" w:rsidRPr="41F2529F">
        <w:rPr>
          <w:rFonts w:ascii="Verdana" w:eastAsia="Times New Roman" w:hAnsi="Verdana"/>
          <w:i/>
          <w:iCs/>
          <w:kern w:val="0"/>
          <w:sz w:val="20"/>
          <w:szCs w:val="20"/>
          <w14:ligatures w14:val="none"/>
        </w:rPr>
        <w:t xml:space="preserve"> na pewno</w:t>
      </w:r>
      <w:r w:rsidR="00D0456B" w:rsidRPr="41F2529F">
        <w:rPr>
          <w:rFonts w:ascii="Verdana" w:eastAsia="Times New Roman" w:hAnsi="Verdana"/>
          <w:i/>
          <w:iCs/>
          <w:kern w:val="0"/>
          <w:sz w:val="20"/>
          <w:szCs w:val="20"/>
          <w14:ligatures w14:val="none"/>
        </w:rPr>
        <w:t xml:space="preserve"> </w:t>
      </w:r>
      <w:r w:rsidR="1DD9059E" w:rsidRPr="41F2529F">
        <w:rPr>
          <w:rFonts w:ascii="Verdana" w:eastAsia="Times New Roman" w:hAnsi="Verdana"/>
          <w:i/>
          <w:iCs/>
          <w:kern w:val="0"/>
          <w:sz w:val="20"/>
          <w:szCs w:val="20"/>
          <w14:ligatures w14:val="none"/>
        </w:rPr>
        <w:t xml:space="preserve">także </w:t>
      </w:r>
      <w:r w:rsidR="00D0456B" w:rsidRPr="41F2529F">
        <w:rPr>
          <w:rFonts w:ascii="Verdana" w:eastAsia="Times New Roman" w:hAnsi="Verdana"/>
          <w:i/>
          <w:iCs/>
          <w:kern w:val="0"/>
          <w:sz w:val="20"/>
          <w:szCs w:val="20"/>
          <w14:ligatures w14:val="none"/>
        </w:rPr>
        <w:t xml:space="preserve">pojawienie się nowych, mniejszych </w:t>
      </w:r>
      <w:r w:rsidR="002A1C1B" w:rsidRPr="41F2529F">
        <w:rPr>
          <w:rFonts w:ascii="Verdana" w:eastAsia="Times New Roman" w:hAnsi="Verdana"/>
          <w:i/>
          <w:iCs/>
          <w:kern w:val="0"/>
          <w:sz w:val="20"/>
          <w:szCs w:val="20"/>
          <w14:ligatures w14:val="none"/>
        </w:rPr>
        <w:t xml:space="preserve">podmiotów </w:t>
      </w:r>
      <w:r w:rsidR="00D0456B" w:rsidRPr="41F2529F">
        <w:rPr>
          <w:rFonts w:ascii="Verdana" w:eastAsia="Times New Roman" w:hAnsi="Verdana"/>
          <w:i/>
          <w:iCs/>
          <w:kern w:val="0"/>
          <w:sz w:val="20"/>
          <w:szCs w:val="20"/>
          <w14:ligatures w14:val="none"/>
        </w:rPr>
        <w:t>w związku z rozwojem odnawialnych źródeł energii. Depozyty</w:t>
      </w:r>
      <w:r w:rsidR="0012694D">
        <w:rPr>
          <w:rFonts w:ascii="Verdana" w:eastAsia="Times New Roman" w:hAnsi="Verdana"/>
          <w:i/>
          <w:iCs/>
          <w:kern w:val="0"/>
          <w:sz w:val="20"/>
          <w:szCs w:val="20"/>
          <w14:ligatures w14:val="none"/>
        </w:rPr>
        <w:t xml:space="preserve"> giełdowe</w:t>
      </w:r>
      <w:r w:rsidR="00D0456B" w:rsidRPr="41F2529F">
        <w:rPr>
          <w:rFonts w:ascii="Verdana" w:eastAsia="Times New Roman" w:hAnsi="Verdana"/>
          <w:i/>
          <w:iCs/>
          <w:kern w:val="0"/>
          <w:sz w:val="20"/>
          <w:szCs w:val="20"/>
          <w14:ligatures w14:val="none"/>
        </w:rPr>
        <w:t xml:space="preserve"> przestają być barierą wejścia, co otwiera przestrzeń dla konkurencji</w:t>
      </w:r>
      <w:r w:rsidR="00162C80" w:rsidRPr="41F2529F">
        <w:rPr>
          <w:rFonts w:ascii="Verdana" w:eastAsia="Times New Roman" w:hAnsi="Verdana"/>
          <w:i/>
          <w:iCs/>
          <w:kern w:val="0"/>
          <w:sz w:val="20"/>
          <w:szCs w:val="20"/>
          <w14:ligatures w14:val="none"/>
        </w:rPr>
        <w:t>. Na pewno będzie to miało wpływ na kształtowanie się rynku w kolejnych latach</w:t>
      </w:r>
      <w:r w:rsidR="00D0456B" w:rsidRPr="41F2529F">
        <w:rPr>
          <w:rFonts w:ascii="Verdana" w:eastAsia="Times New Roman" w:hAnsi="Verdana"/>
          <w:i/>
          <w:iCs/>
          <w:kern w:val="0"/>
          <w:sz w:val="20"/>
          <w:szCs w:val="20"/>
          <w14:ligatures w14:val="none"/>
        </w:rPr>
        <w:t xml:space="preserve"> </w:t>
      </w:r>
      <w:r w:rsidR="00D0456B" w:rsidRPr="41F2529F">
        <w:rPr>
          <w:rFonts w:ascii="Verdana" w:eastAsia="Times New Roman" w:hAnsi="Verdana"/>
          <w:kern w:val="0"/>
          <w:sz w:val="20"/>
          <w:szCs w:val="20"/>
          <w14:ligatures w14:val="none"/>
        </w:rPr>
        <w:t xml:space="preserve">– </w:t>
      </w:r>
      <w:r w:rsidR="00783C05" w:rsidRPr="41F2529F">
        <w:rPr>
          <w:rFonts w:ascii="Verdana" w:eastAsia="Times New Roman" w:hAnsi="Verdana"/>
          <w:kern w:val="0"/>
          <w:sz w:val="20"/>
          <w:szCs w:val="20"/>
          <w14:ligatures w14:val="none"/>
        </w:rPr>
        <w:t>mówi Łukasz Pawłowski, Senior Sales Manager w Axpo Polska.</w:t>
      </w:r>
    </w:p>
    <w:p w14:paraId="59C7F7A6" w14:textId="77777777" w:rsidR="002A2906" w:rsidRDefault="002A2906" w:rsidP="00490080">
      <w:pPr>
        <w:spacing w:line="252" w:lineRule="auto"/>
        <w:rPr>
          <w:rFonts w:ascii="Verdana" w:eastAsia="Times New Roman" w:hAnsi="Verdana" w:cstheme="minorHAnsi"/>
          <w:kern w:val="0"/>
          <w:sz w:val="20"/>
          <w:szCs w:val="20"/>
          <w14:ligatures w14:val="none"/>
        </w:rPr>
      </w:pPr>
    </w:p>
    <w:p w14:paraId="7198C78D" w14:textId="77777777" w:rsidR="00365791" w:rsidRDefault="00365791" w:rsidP="00490080">
      <w:pPr>
        <w:spacing w:line="252" w:lineRule="auto"/>
        <w:rPr>
          <w:rFonts w:ascii="Verdana" w:eastAsia="Times New Roman" w:hAnsi="Verdana" w:cstheme="minorHAnsi"/>
          <w:kern w:val="0"/>
          <w:sz w:val="20"/>
          <w:szCs w:val="20"/>
          <w14:ligatures w14:val="none"/>
        </w:rPr>
      </w:pPr>
    </w:p>
    <w:p w14:paraId="7B3A2F7F" w14:textId="77777777" w:rsidR="00365791" w:rsidRDefault="00365791" w:rsidP="00490080">
      <w:pPr>
        <w:spacing w:line="252" w:lineRule="auto"/>
        <w:rPr>
          <w:rFonts w:ascii="Verdana" w:eastAsia="Times New Roman" w:hAnsi="Verdana" w:cstheme="minorHAnsi"/>
          <w:kern w:val="0"/>
          <w:sz w:val="20"/>
          <w:szCs w:val="20"/>
          <w14:ligatures w14:val="none"/>
        </w:rPr>
      </w:pPr>
    </w:p>
    <w:p w14:paraId="675765F2" w14:textId="09C17ADF" w:rsidR="002A2906" w:rsidRPr="002A2906" w:rsidRDefault="002A2906" w:rsidP="002A2906">
      <w:pPr>
        <w:jc w:val="right"/>
        <w:rPr>
          <w:rFonts w:ascii="Verdana" w:hAnsi="Verdana"/>
          <w:i/>
          <w:iCs/>
          <w:sz w:val="20"/>
          <w:szCs w:val="20"/>
        </w:rPr>
      </w:pPr>
      <w:r w:rsidRPr="00692E87">
        <w:rPr>
          <w:rFonts w:ascii="Verdana" w:hAnsi="Verdana"/>
          <w:i/>
          <w:iCs/>
          <w:sz w:val="20"/>
          <w:szCs w:val="20"/>
        </w:rPr>
        <w:t>Źródło: Axpo Polska</w:t>
      </w:r>
    </w:p>
    <w:sectPr w:rsidR="002A2906" w:rsidRPr="002A2906" w:rsidSect="005805EA">
      <w:headerReference w:type="default" r:id="rId8"/>
      <w:footerReference w:type="default" r:id="rId9"/>
      <w:pgSz w:w="12240" w:h="15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7CE3" w14:textId="77777777" w:rsidR="005805EA" w:rsidRDefault="005805EA" w:rsidP="00254249">
      <w:r>
        <w:separator/>
      </w:r>
    </w:p>
  </w:endnote>
  <w:endnote w:type="continuationSeparator" w:id="0">
    <w:p w14:paraId="3BD4DF1C" w14:textId="77777777" w:rsidR="005805EA" w:rsidRDefault="005805EA" w:rsidP="00254249">
      <w:r>
        <w:continuationSeparator/>
      </w:r>
    </w:p>
  </w:endnote>
  <w:endnote w:type="continuationNotice" w:id="1">
    <w:p w14:paraId="7C429275" w14:textId="77777777" w:rsidR="005805EA" w:rsidRDefault="00580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AF646" w14:textId="77777777" w:rsidR="00127E8F" w:rsidRDefault="00127E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909A" w14:textId="77777777" w:rsidR="005805EA" w:rsidRDefault="005805EA" w:rsidP="00254249">
      <w:r>
        <w:separator/>
      </w:r>
    </w:p>
  </w:footnote>
  <w:footnote w:type="continuationSeparator" w:id="0">
    <w:p w14:paraId="5BFE440D" w14:textId="77777777" w:rsidR="005805EA" w:rsidRDefault="005805EA" w:rsidP="00254249">
      <w:r>
        <w:continuationSeparator/>
      </w:r>
    </w:p>
  </w:footnote>
  <w:footnote w:type="continuationNotice" w:id="1">
    <w:p w14:paraId="54FA53EF" w14:textId="77777777" w:rsidR="005805EA" w:rsidRDefault="005805EA"/>
  </w:footnote>
  <w:footnote w:id="2">
    <w:p w14:paraId="5195EA34" w14:textId="63352F4C" w:rsidR="00365791" w:rsidRDefault="00365791">
      <w:pPr>
        <w:pStyle w:val="Tekstprzypisudolnego"/>
      </w:pPr>
      <w:r>
        <w:rPr>
          <w:rStyle w:val="Odwoanieprzypisudolnego"/>
        </w:rPr>
        <w:footnoteRef/>
      </w:r>
      <w:r>
        <w:t xml:space="preserve"> </w:t>
      </w:r>
      <w:r w:rsidR="00635533">
        <w:t>Dane 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DEB6" w14:textId="77777777" w:rsidR="00127E8F" w:rsidRDefault="00127E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DFF"/>
    <w:multiLevelType w:val="hybridMultilevel"/>
    <w:tmpl w:val="536CB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7CC686A"/>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314C6449"/>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6A070DE"/>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2DC5E04"/>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7F6945C3"/>
    <w:multiLevelType w:val="hybridMultilevel"/>
    <w:tmpl w:val="FFFFFFFF"/>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16cid:durableId="904609579">
    <w:abstractNumId w:val="3"/>
  </w:num>
  <w:num w:numId="2" w16cid:durableId="217209983">
    <w:abstractNumId w:val="1"/>
  </w:num>
  <w:num w:numId="3" w16cid:durableId="975791250">
    <w:abstractNumId w:val="2"/>
  </w:num>
  <w:num w:numId="4" w16cid:durableId="145636718">
    <w:abstractNumId w:val="4"/>
  </w:num>
  <w:num w:numId="5" w16cid:durableId="1383753222">
    <w:abstractNumId w:val="5"/>
  </w:num>
  <w:num w:numId="6" w16cid:durableId="2004240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A1"/>
    <w:rsid w:val="00003F26"/>
    <w:rsid w:val="00013D0F"/>
    <w:rsid w:val="000158F2"/>
    <w:rsid w:val="00027BDC"/>
    <w:rsid w:val="000335D3"/>
    <w:rsid w:val="00042C4A"/>
    <w:rsid w:val="0005710E"/>
    <w:rsid w:val="00060D28"/>
    <w:rsid w:val="00083F4B"/>
    <w:rsid w:val="0009157A"/>
    <w:rsid w:val="00097A16"/>
    <w:rsid w:val="000A7D49"/>
    <w:rsid w:val="000B2C06"/>
    <w:rsid w:val="000B5420"/>
    <w:rsid w:val="000B7CA8"/>
    <w:rsid w:val="000C6970"/>
    <w:rsid w:val="000C6B98"/>
    <w:rsid w:val="000D5A61"/>
    <w:rsid w:val="000E02AB"/>
    <w:rsid w:val="000E310B"/>
    <w:rsid w:val="000E6296"/>
    <w:rsid w:val="000F6EA1"/>
    <w:rsid w:val="00100AA2"/>
    <w:rsid w:val="00102CCC"/>
    <w:rsid w:val="0012694D"/>
    <w:rsid w:val="00127E8F"/>
    <w:rsid w:val="00144934"/>
    <w:rsid w:val="00145D9D"/>
    <w:rsid w:val="00162C80"/>
    <w:rsid w:val="0016671B"/>
    <w:rsid w:val="00170F8A"/>
    <w:rsid w:val="00196BDC"/>
    <w:rsid w:val="001A3EDA"/>
    <w:rsid w:val="001A5C21"/>
    <w:rsid w:val="001B3996"/>
    <w:rsid w:val="001C4EAE"/>
    <w:rsid w:val="001C6A19"/>
    <w:rsid w:val="001D2F18"/>
    <w:rsid w:val="001E20BA"/>
    <w:rsid w:val="001F5EE6"/>
    <w:rsid w:val="001F7C2D"/>
    <w:rsid w:val="002028CD"/>
    <w:rsid w:val="00215923"/>
    <w:rsid w:val="00233872"/>
    <w:rsid w:val="0024465E"/>
    <w:rsid w:val="0025334A"/>
    <w:rsid w:val="00254249"/>
    <w:rsid w:val="00271A49"/>
    <w:rsid w:val="00276000"/>
    <w:rsid w:val="00280108"/>
    <w:rsid w:val="00291D9C"/>
    <w:rsid w:val="002A1C1B"/>
    <w:rsid w:val="002A2906"/>
    <w:rsid w:val="002B01CB"/>
    <w:rsid w:val="002F5DF2"/>
    <w:rsid w:val="00304A05"/>
    <w:rsid w:val="00306D2A"/>
    <w:rsid w:val="0032505B"/>
    <w:rsid w:val="00327030"/>
    <w:rsid w:val="0033320E"/>
    <w:rsid w:val="00335ACD"/>
    <w:rsid w:val="0035694B"/>
    <w:rsid w:val="00365791"/>
    <w:rsid w:val="00382992"/>
    <w:rsid w:val="00390387"/>
    <w:rsid w:val="00392E0C"/>
    <w:rsid w:val="003A0F1D"/>
    <w:rsid w:val="003A4C9F"/>
    <w:rsid w:val="003A6CD4"/>
    <w:rsid w:val="003B0825"/>
    <w:rsid w:val="003C1977"/>
    <w:rsid w:val="003C3E97"/>
    <w:rsid w:val="003F4408"/>
    <w:rsid w:val="0040230E"/>
    <w:rsid w:val="004429AF"/>
    <w:rsid w:val="00450588"/>
    <w:rsid w:val="00463A5D"/>
    <w:rsid w:val="004730D0"/>
    <w:rsid w:val="004731BF"/>
    <w:rsid w:val="004734DA"/>
    <w:rsid w:val="0048249F"/>
    <w:rsid w:val="00484699"/>
    <w:rsid w:val="00485469"/>
    <w:rsid w:val="00490080"/>
    <w:rsid w:val="00496893"/>
    <w:rsid w:val="004A37C4"/>
    <w:rsid w:val="004C5BEA"/>
    <w:rsid w:val="004D3806"/>
    <w:rsid w:val="0050211E"/>
    <w:rsid w:val="00521909"/>
    <w:rsid w:val="00531E1E"/>
    <w:rsid w:val="00533A74"/>
    <w:rsid w:val="00535CBC"/>
    <w:rsid w:val="00540D79"/>
    <w:rsid w:val="0055186E"/>
    <w:rsid w:val="0057021E"/>
    <w:rsid w:val="005805EA"/>
    <w:rsid w:val="00593CC7"/>
    <w:rsid w:val="00595405"/>
    <w:rsid w:val="005A76F9"/>
    <w:rsid w:val="005B0B9B"/>
    <w:rsid w:val="005B4488"/>
    <w:rsid w:val="005D61CE"/>
    <w:rsid w:val="005F18DB"/>
    <w:rsid w:val="005F7836"/>
    <w:rsid w:val="00614D83"/>
    <w:rsid w:val="00616C65"/>
    <w:rsid w:val="00622F48"/>
    <w:rsid w:val="00627A28"/>
    <w:rsid w:val="00635533"/>
    <w:rsid w:val="006355C7"/>
    <w:rsid w:val="00681654"/>
    <w:rsid w:val="006918A9"/>
    <w:rsid w:val="006A6D91"/>
    <w:rsid w:val="006B3B03"/>
    <w:rsid w:val="006B5701"/>
    <w:rsid w:val="006C149A"/>
    <w:rsid w:val="006C5193"/>
    <w:rsid w:val="006E1A08"/>
    <w:rsid w:val="006F0430"/>
    <w:rsid w:val="00707958"/>
    <w:rsid w:val="00713375"/>
    <w:rsid w:val="00715B2D"/>
    <w:rsid w:val="00726CE3"/>
    <w:rsid w:val="007310A2"/>
    <w:rsid w:val="007319DB"/>
    <w:rsid w:val="00734EE1"/>
    <w:rsid w:val="0073574D"/>
    <w:rsid w:val="00774DF6"/>
    <w:rsid w:val="00781122"/>
    <w:rsid w:val="00783C05"/>
    <w:rsid w:val="0078507C"/>
    <w:rsid w:val="007A7DAE"/>
    <w:rsid w:val="007D6EAC"/>
    <w:rsid w:val="007E4D80"/>
    <w:rsid w:val="007E6CF8"/>
    <w:rsid w:val="007F2810"/>
    <w:rsid w:val="00805058"/>
    <w:rsid w:val="00805DFA"/>
    <w:rsid w:val="00820DEB"/>
    <w:rsid w:val="008458E8"/>
    <w:rsid w:val="008512A2"/>
    <w:rsid w:val="0085465A"/>
    <w:rsid w:val="0087068E"/>
    <w:rsid w:val="00870AC9"/>
    <w:rsid w:val="00884D1B"/>
    <w:rsid w:val="008971F7"/>
    <w:rsid w:val="008A64A1"/>
    <w:rsid w:val="008B2516"/>
    <w:rsid w:val="008C6FB9"/>
    <w:rsid w:val="008D453A"/>
    <w:rsid w:val="008D4BE7"/>
    <w:rsid w:val="008E1555"/>
    <w:rsid w:val="009169A7"/>
    <w:rsid w:val="00917D26"/>
    <w:rsid w:val="009211B4"/>
    <w:rsid w:val="0095301A"/>
    <w:rsid w:val="00956E63"/>
    <w:rsid w:val="009618E9"/>
    <w:rsid w:val="0096439E"/>
    <w:rsid w:val="0097667F"/>
    <w:rsid w:val="00977F7D"/>
    <w:rsid w:val="009915A5"/>
    <w:rsid w:val="009A026D"/>
    <w:rsid w:val="009A0516"/>
    <w:rsid w:val="009A5394"/>
    <w:rsid w:val="009B073A"/>
    <w:rsid w:val="009B4FD9"/>
    <w:rsid w:val="009B51CF"/>
    <w:rsid w:val="009C6422"/>
    <w:rsid w:val="009D126D"/>
    <w:rsid w:val="009D2DDE"/>
    <w:rsid w:val="009E099F"/>
    <w:rsid w:val="009E3CA9"/>
    <w:rsid w:val="00A0342D"/>
    <w:rsid w:val="00A04882"/>
    <w:rsid w:val="00A3005C"/>
    <w:rsid w:val="00A335F3"/>
    <w:rsid w:val="00A457E2"/>
    <w:rsid w:val="00A63ACF"/>
    <w:rsid w:val="00A653B7"/>
    <w:rsid w:val="00A83AF9"/>
    <w:rsid w:val="00A93212"/>
    <w:rsid w:val="00AA718B"/>
    <w:rsid w:val="00AC0648"/>
    <w:rsid w:val="00AC35BF"/>
    <w:rsid w:val="00AC3758"/>
    <w:rsid w:val="00AE5096"/>
    <w:rsid w:val="00AE690B"/>
    <w:rsid w:val="00AF3A36"/>
    <w:rsid w:val="00B0714B"/>
    <w:rsid w:val="00B10140"/>
    <w:rsid w:val="00B111B4"/>
    <w:rsid w:val="00B167B8"/>
    <w:rsid w:val="00B24B70"/>
    <w:rsid w:val="00B35455"/>
    <w:rsid w:val="00B40954"/>
    <w:rsid w:val="00B5201B"/>
    <w:rsid w:val="00B570A4"/>
    <w:rsid w:val="00B65C93"/>
    <w:rsid w:val="00B83561"/>
    <w:rsid w:val="00B87A16"/>
    <w:rsid w:val="00B92FD3"/>
    <w:rsid w:val="00BB7437"/>
    <w:rsid w:val="00BC5BEE"/>
    <w:rsid w:val="00BE3ADC"/>
    <w:rsid w:val="00BF4ADE"/>
    <w:rsid w:val="00C03AF1"/>
    <w:rsid w:val="00C12D60"/>
    <w:rsid w:val="00C23112"/>
    <w:rsid w:val="00C3022B"/>
    <w:rsid w:val="00C3079E"/>
    <w:rsid w:val="00C50BD3"/>
    <w:rsid w:val="00C635EE"/>
    <w:rsid w:val="00C63BC7"/>
    <w:rsid w:val="00CA5AD9"/>
    <w:rsid w:val="00CE1C79"/>
    <w:rsid w:val="00D0456B"/>
    <w:rsid w:val="00D2214D"/>
    <w:rsid w:val="00D26B55"/>
    <w:rsid w:val="00D43E18"/>
    <w:rsid w:val="00D61344"/>
    <w:rsid w:val="00D90CB1"/>
    <w:rsid w:val="00D93BC4"/>
    <w:rsid w:val="00DA2F66"/>
    <w:rsid w:val="00DC0AD9"/>
    <w:rsid w:val="00DC7871"/>
    <w:rsid w:val="00DC7B1B"/>
    <w:rsid w:val="00DE79FD"/>
    <w:rsid w:val="00E04745"/>
    <w:rsid w:val="00E076B5"/>
    <w:rsid w:val="00E1480E"/>
    <w:rsid w:val="00E16012"/>
    <w:rsid w:val="00E160C1"/>
    <w:rsid w:val="00E27903"/>
    <w:rsid w:val="00E35DA7"/>
    <w:rsid w:val="00E5244A"/>
    <w:rsid w:val="00E70596"/>
    <w:rsid w:val="00E73541"/>
    <w:rsid w:val="00E76058"/>
    <w:rsid w:val="00E8763B"/>
    <w:rsid w:val="00E929F5"/>
    <w:rsid w:val="00EA0E34"/>
    <w:rsid w:val="00EB4DBE"/>
    <w:rsid w:val="00EC1F53"/>
    <w:rsid w:val="00ED60A6"/>
    <w:rsid w:val="00EE178C"/>
    <w:rsid w:val="00EF55BE"/>
    <w:rsid w:val="00F01AB2"/>
    <w:rsid w:val="00F06B9F"/>
    <w:rsid w:val="00F071E9"/>
    <w:rsid w:val="00F210FB"/>
    <w:rsid w:val="00F2197E"/>
    <w:rsid w:val="00F21C69"/>
    <w:rsid w:val="00F24D78"/>
    <w:rsid w:val="00F33428"/>
    <w:rsid w:val="00F35728"/>
    <w:rsid w:val="00F364A6"/>
    <w:rsid w:val="00F57314"/>
    <w:rsid w:val="00F60CEE"/>
    <w:rsid w:val="00F61D5E"/>
    <w:rsid w:val="00F95CEB"/>
    <w:rsid w:val="00FA3101"/>
    <w:rsid w:val="00FC2323"/>
    <w:rsid w:val="00FC23AE"/>
    <w:rsid w:val="00FC7513"/>
    <w:rsid w:val="00FD5840"/>
    <w:rsid w:val="0211D912"/>
    <w:rsid w:val="062F65DB"/>
    <w:rsid w:val="065A4DDE"/>
    <w:rsid w:val="06E21377"/>
    <w:rsid w:val="09E51CA1"/>
    <w:rsid w:val="0A44BFE6"/>
    <w:rsid w:val="0B84E3B6"/>
    <w:rsid w:val="0C6275CD"/>
    <w:rsid w:val="0C77A4FD"/>
    <w:rsid w:val="0C9C09E9"/>
    <w:rsid w:val="0CF86102"/>
    <w:rsid w:val="0D4B21DE"/>
    <w:rsid w:val="0E3FA8E7"/>
    <w:rsid w:val="0F2B49C4"/>
    <w:rsid w:val="10076A96"/>
    <w:rsid w:val="101B3CB2"/>
    <w:rsid w:val="129E7F35"/>
    <w:rsid w:val="12B4FABE"/>
    <w:rsid w:val="1357791B"/>
    <w:rsid w:val="1367A286"/>
    <w:rsid w:val="139140E5"/>
    <w:rsid w:val="14B7EE12"/>
    <w:rsid w:val="1594B3A4"/>
    <w:rsid w:val="161CFA2F"/>
    <w:rsid w:val="184E38AA"/>
    <w:rsid w:val="186DB6D5"/>
    <w:rsid w:val="187A364E"/>
    <w:rsid w:val="1A79C36A"/>
    <w:rsid w:val="1AE9BE14"/>
    <w:rsid w:val="1B45B38B"/>
    <w:rsid w:val="1B8AF505"/>
    <w:rsid w:val="1C2462F9"/>
    <w:rsid w:val="1C331267"/>
    <w:rsid w:val="1D1DF923"/>
    <w:rsid w:val="1D1FA025"/>
    <w:rsid w:val="1DD9059E"/>
    <w:rsid w:val="1FE97677"/>
    <w:rsid w:val="212E2563"/>
    <w:rsid w:val="23703C40"/>
    <w:rsid w:val="23E4D8DE"/>
    <w:rsid w:val="244FD184"/>
    <w:rsid w:val="24747768"/>
    <w:rsid w:val="285B7E73"/>
    <w:rsid w:val="28FBF4E2"/>
    <w:rsid w:val="292BD209"/>
    <w:rsid w:val="2BA08E97"/>
    <w:rsid w:val="2BF91C97"/>
    <w:rsid w:val="2D8C801C"/>
    <w:rsid w:val="2DE772D4"/>
    <w:rsid w:val="2DFF432C"/>
    <w:rsid w:val="2FAE7B2A"/>
    <w:rsid w:val="304EC3D2"/>
    <w:rsid w:val="3136E3EE"/>
    <w:rsid w:val="324BDE7D"/>
    <w:rsid w:val="34EDE1B1"/>
    <w:rsid w:val="3689F823"/>
    <w:rsid w:val="37439C9E"/>
    <w:rsid w:val="375D3D0C"/>
    <w:rsid w:val="377A37DD"/>
    <w:rsid w:val="37A4174E"/>
    <w:rsid w:val="3A94DDCE"/>
    <w:rsid w:val="3AC7EDCA"/>
    <w:rsid w:val="3B98F52C"/>
    <w:rsid w:val="3BA1C91E"/>
    <w:rsid w:val="3C2BFA7A"/>
    <w:rsid w:val="3E7130CA"/>
    <w:rsid w:val="3FC3F461"/>
    <w:rsid w:val="4073F71B"/>
    <w:rsid w:val="41866B82"/>
    <w:rsid w:val="41C78C44"/>
    <w:rsid w:val="41F2529F"/>
    <w:rsid w:val="42B810D2"/>
    <w:rsid w:val="44E84457"/>
    <w:rsid w:val="4661C6D7"/>
    <w:rsid w:val="47194099"/>
    <w:rsid w:val="47A13E54"/>
    <w:rsid w:val="48554C2C"/>
    <w:rsid w:val="4AC1E1C8"/>
    <w:rsid w:val="4D7DBC92"/>
    <w:rsid w:val="4E6B7F9D"/>
    <w:rsid w:val="4F0D5C2A"/>
    <w:rsid w:val="4F19325D"/>
    <w:rsid w:val="4FB9D73F"/>
    <w:rsid w:val="52A088F7"/>
    <w:rsid w:val="52B14165"/>
    <w:rsid w:val="52F3B559"/>
    <w:rsid w:val="53E41C6E"/>
    <w:rsid w:val="54C87D91"/>
    <w:rsid w:val="55B0F35A"/>
    <w:rsid w:val="55C76C72"/>
    <w:rsid w:val="55E09296"/>
    <w:rsid w:val="56565183"/>
    <w:rsid w:val="569CA2FE"/>
    <w:rsid w:val="58165701"/>
    <w:rsid w:val="5979E675"/>
    <w:rsid w:val="5B83CCA9"/>
    <w:rsid w:val="5B924C1F"/>
    <w:rsid w:val="5C3BC61B"/>
    <w:rsid w:val="5DEDADC2"/>
    <w:rsid w:val="5F119BB7"/>
    <w:rsid w:val="5F2E3421"/>
    <w:rsid w:val="5F379E43"/>
    <w:rsid w:val="604B0FCA"/>
    <w:rsid w:val="60771EA1"/>
    <w:rsid w:val="60C4176C"/>
    <w:rsid w:val="610F03BD"/>
    <w:rsid w:val="616B5BEE"/>
    <w:rsid w:val="6192B417"/>
    <w:rsid w:val="61A41A44"/>
    <w:rsid w:val="62FEC46F"/>
    <w:rsid w:val="63A0ABBA"/>
    <w:rsid w:val="63E96F89"/>
    <w:rsid w:val="63FE5288"/>
    <w:rsid w:val="641C6688"/>
    <w:rsid w:val="64FDC0E6"/>
    <w:rsid w:val="66D84C7C"/>
    <w:rsid w:val="66F32873"/>
    <w:rsid w:val="67051BB8"/>
    <w:rsid w:val="679EDF67"/>
    <w:rsid w:val="67EB0EFB"/>
    <w:rsid w:val="68155D38"/>
    <w:rsid w:val="684C71CD"/>
    <w:rsid w:val="6882331D"/>
    <w:rsid w:val="6974A81E"/>
    <w:rsid w:val="699035E9"/>
    <w:rsid w:val="69C53BB8"/>
    <w:rsid w:val="6A68DB1C"/>
    <w:rsid w:val="6AAD1C5A"/>
    <w:rsid w:val="6BE99151"/>
    <w:rsid w:val="6BFCF8EE"/>
    <w:rsid w:val="6C351245"/>
    <w:rsid w:val="6C697C64"/>
    <w:rsid w:val="6EF3A903"/>
    <w:rsid w:val="6EFA4DF9"/>
    <w:rsid w:val="7038AF09"/>
    <w:rsid w:val="705F0D18"/>
    <w:rsid w:val="71B0C567"/>
    <w:rsid w:val="73A6F94B"/>
    <w:rsid w:val="73CAEDE0"/>
    <w:rsid w:val="74BE7E02"/>
    <w:rsid w:val="74FBCDC6"/>
    <w:rsid w:val="784F8092"/>
    <w:rsid w:val="79E4E6C1"/>
    <w:rsid w:val="7A7FDA36"/>
    <w:rsid w:val="7B8B8848"/>
    <w:rsid w:val="7C8EB0DA"/>
    <w:rsid w:val="7CE465F3"/>
    <w:rsid w:val="7D2F3FAF"/>
    <w:rsid w:val="7D7C0AED"/>
    <w:rsid w:val="7D86158D"/>
    <w:rsid w:val="7D98229C"/>
    <w:rsid w:val="7EA2B00C"/>
    <w:rsid w:val="7FECA5AA"/>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5B9E"/>
  <w15:chartTrackingRefBased/>
  <w15:docId w15:val="{EA5B1036-35BF-4DC9-B26A-E9929C12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64A1"/>
    <w:pPr>
      <w:ind w:left="720"/>
    </w:pPr>
    <w:rPr>
      <w:rFonts w:ascii="Calibri" w:eastAsia="Times New Roman" w:hAnsi="Calibri" w:cs="Calibri"/>
      <w:kern w:val="0"/>
      <w:sz w:val="22"/>
      <w:szCs w:val="22"/>
      <w:lang w:val="de-CH"/>
      <w14:ligatures w14:val="none"/>
    </w:rPr>
  </w:style>
  <w:style w:type="character" w:styleId="Odwoaniedokomentarza">
    <w:name w:val="annotation reference"/>
    <w:basedOn w:val="Domylnaczcionkaakapitu"/>
    <w:uiPriority w:val="99"/>
    <w:semiHidden/>
    <w:unhideWhenUsed/>
    <w:rsid w:val="0085465A"/>
    <w:rPr>
      <w:sz w:val="16"/>
      <w:szCs w:val="16"/>
    </w:rPr>
  </w:style>
  <w:style w:type="paragraph" w:styleId="Tekstkomentarza">
    <w:name w:val="annotation text"/>
    <w:basedOn w:val="Normalny"/>
    <w:link w:val="TekstkomentarzaZnak"/>
    <w:uiPriority w:val="99"/>
    <w:unhideWhenUsed/>
    <w:rsid w:val="0085465A"/>
    <w:rPr>
      <w:sz w:val="20"/>
      <w:szCs w:val="20"/>
    </w:rPr>
  </w:style>
  <w:style w:type="character" w:customStyle="1" w:styleId="TekstkomentarzaZnak">
    <w:name w:val="Tekst komentarza Znak"/>
    <w:basedOn w:val="Domylnaczcionkaakapitu"/>
    <w:link w:val="Tekstkomentarza"/>
    <w:uiPriority w:val="99"/>
    <w:rsid w:val="0085465A"/>
    <w:rPr>
      <w:sz w:val="20"/>
      <w:szCs w:val="20"/>
    </w:rPr>
  </w:style>
  <w:style w:type="paragraph" w:styleId="Tematkomentarza">
    <w:name w:val="annotation subject"/>
    <w:basedOn w:val="Tekstkomentarza"/>
    <w:next w:val="Tekstkomentarza"/>
    <w:link w:val="TematkomentarzaZnak"/>
    <w:uiPriority w:val="99"/>
    <w:semiHidden/>
    <w:unhideWhenUsed/>
    <w:rsid w:val="0085465A"/>
    <w:rPr>
      <w:b/>
      <w:bCs/>
    </w:rPr>
  </w:style>
  <w:style w:type="character" w:customStyle="1" w:styleId="TematkomentarzaZnak">
    <w:name w:val="Temat komentarza Znak"/>
    <w:basedOn w:val="TekstkomentarzaZnak"/>
    <w:link w:val="Tematkomentarza"/>
    <w:uiPriority w:val="99"/>
    <w:semiHidden/>
    <w:rsid w:val="0085465A"/>
    <w:rPr>
      <w:b/>
      <w:bCs/>
      <w:sz w:val="20"/>
      <w:szCs w:val="20"/>
    </w:rPr>
  </w:style>
  <w:style w:type="character" w:styleId="Wzmianka">
    <w:name w:val="Mention"/>
    <w:basedOn w:val="Domylnaczcionkaakapitu"/>
    <w:uiPriority w:val="99"/>
    <w:unhideWhenUsed/>
    <w:rsid w:val="006C5193"/>
    <w:rPr>
      <w:color w:val="2B579A"/>
      <w:shd w:val="clear" w:color="auto" w:fill="E1DFDD"/>
    </w:rPr>
  </w:style>
  <w:style w:type="paragraph" w:styleId="Poprawka">
    <w:name w:val="Revision"/>
    <w:hidden/>
    <w:uiPriority w:val="99"/>
    <w:semiHidden/>
    <w:rsid w:val="006918A9"/>
  </w:style>
  <w:style w:type="character" w:customStyle="1" w:styleId="cf01">
    <w:name w:val="cf01"/>
    <w:basedOn w:val="Domylnaczcionkaakapitu"/>
    <w:rsid w:val="0033320E"/>
    <w:rPr>
      <w:rFonts w:ascii="Segoe UI" w:hAnsi="Segoe UI" w:cs="Segoe UI" w:hint="default"/>
      <w:sz w:val="18"/>
      <w:szCs w:val="18"/>
    </w:rPr>
  </w:style>
  <w:style w:type="paragraph" w:styleId="NormalnyWeb">
    <w:name w:val="Normal (Web)"/>
    <w:basedOn w:val="Normalny"/>
    <w:uiPriority w:val="99"/>
    <w:semiHidden/>
    <w:unhideWhenUsed/>
    <w:rsid w:val="003B0825"/>
    <w:pPr>
      <w:spacing w:before="100" w:beforeAutospacing="1" w:after="100" w:afterAutospacing="1"/>
    </w:pPr>
    <w:rPr>
      <w:rFonts w:ascii="Times New Roman" w:eastAsia="Times New Roman" w:hAnsi="Times New Roman" w:cs="Times New Roman"/>
      <w:kern w:val="0"/>
      <w:lang w:eastAsia="pl-PL"/>
      <w14:ligatures w14:val="none"/>
    </w:rPr>
  </w:style>
  <w:style w:type="paragraph" w:styleId="Tekstprzypisukocowego">
    <w:name w:val="endnote text"/>
    <w:basedOn w:val="Normalny"/>
    <w:link w:val="TekstprzypisukocowegoZnak"/>
    <w:uiPriority w:val="99"/>
    <w:semiHidden/>
    <w:unhideWhenUsed/>
    <w:rsid w:val="00254249"/>
    <w:rPr>
      <w:sz w:val="20"/>
      <w:szCs w:val="20"/>
    </w:rPr>
  </w:style>
  <w:style w:type="character" w:customStyle="1" w:styleId="TekstprzypisukocowegoZnak">
    <w:name w:val="Tekst przypisu końcowego Znak"/>
    <w:basedOn w:val="Domylnaczcionkaakapitu"/>
    <w:link w:val="Tekstprzypisukocowego"/>
    <w:uiPriority w:val="99"/>
    <w:semiHidden/>
    <w:rsid w:val="00254249"/>
    <w:rPr>
      <w:sz w:val="20"/>
      <w:szCs w:val="20"/>
    </w:rPr>
  </w:style>
  <w:style w:type="character" w:styleId="Odwoanieprzypisukocowego">
    <w:name w:val="endnote reference"/>
    <w:basedOn w:val="Domylnaczcionkaakapitu"/>
    <w:uiPriority w:val="99"/>
    <w:semiHidden/>
    <w:unhideWhenUsed/>
    <w:rsid w:val="00254249"/>
    <w:rPr>
      <w:vertAlign w:val="superscript"/>
    </w:rPr>
  </w:style>
  <w:style w:type="paragraph" w:styleId="Nagwek">
    <w:name w:val="header"/>
    <w:basedOn w:val="Normalny"/>
    <w:link w:val="NagwekZnak"/>
    <w:uiPriority w:val="99"/>
    <w:unhideWhenUsed/>
    <w:rsid w:val="00127E8F"/>
    <w:pPr>
      <w:tabs>
        <w:tab w:val="center" w:pos="4536"/>
        <w:tab w:val="right" w:pos="9072"/>
      </w:tabs>
    </w:pPr>
  </w:style>
  <w:style w:type="character" w:customStyle="1" w:styleId="NagwekZnak">
    <w:name w:val="Nagłówek Znak"/>
    <w:basedOn w:val="Domylnaczcionkaakapitu"/>
    <w:link w:val="Nagwek"/>
    <w:uiPriority w:val="99"/>
    <w:rsid w:val="00127E8F"/>
  </w:style>
  <w:style w:type="paragraph" w:styleId="Stopka">
    <w:name w:val="footer"/>
    <w:basedOn w:val="Normalny"/>
    <w:link w:val="StopkaZnak"/>
    <w:uiPriority w:val="99"/>
    <w:unhideWhenUsed/>
    <w:rsid w:val="00127E8F"/>
    <w:pPr>
      <w:tabs>
        <w:tab w:val="center" w:pos="4536"/>
        <w:tab w:val="right" w:pos="9072"/>
      </w:tabs>
    </w:pPr>
  </w:style>
  <w:style w:type="character" w:customStyle="1" w:styleId="StopkaZnak">
    <w:name w:val="Stopka Znak"/>
    <w:basedOn w:val="Domylnaczcionkaakapitu"/>
    <w:link w:val="Stopka"/>
    <w:uiPriority w:val="99"/>
    <w:rsid w:val="00127E8F"/>
  </w:style>
  <w:style w:type="character" w:styleId="Hipercze">
    <w:name w:val="Hyperlink"/>
    <w:basedOn w:val="Domylnaczcionkaakapitu"/>
    <w:uiPriority w:val="99"/>
    <w:unhideWhenUsed/>
    <w:rsid w:val="009A5394"/>
    <w:rPr>
      <w:color w:val="0563C1" w:themeColor="hyperlink"/>
      <w:u w:val="single"/>
    </w:rPr>
  </w:style>
  <w:style w:type="character" w:styleId="Nierozpoznanawzmianka">
    <w:name w:val="Unresolved Mention"/>
    <w:basedOn w:val="Domylnaczcionkaakapitu"/>
    <w:uiPriority w:val="99"/>
    <w:semiHidden/>
    <w:unhideWhenUsed/>
    <w:rsid w:val="009A5394"/>
    <w:rPr>
      <w:color w:val="605E5C"/>
      <w:shd w:val="clear" w:color="auto" w:fill="E1DFDD"/>
    </w:rPr>
  </w:style>
  <w:style w:type="paragraph" w:styleId="Tekstprzypisudolnego">
    <w:name w:val="footnote text"/>
    <w:basedOn w:val="Normalny"/>
    <w:link w:val="TekstprzypisudolnegoZnak"/>
    <w:uiPriority w:val="99"/>
    <w:semiHidden/>
    <w:unhideWhenUsed/>
    <w:rsid w:val="00365791"/>
    <w:rPr>
      <w:sz w:val="20"/>
      <w:szCs w:val="20"/>
    </w:rPr>
  </w:style>
  <w:style w:type="character" w:customStyle="1" w:styleId="TekstprzypisudolnegoZnak">
    <w:name w:val="Tekst przypisu dolnego Znak"/>
    <w:basedOn w:val="Domylnaczcionkaakapitu"/>
    <w:link w:val="Tekstprzypisudolnego"/>
    <w:uiPriority w:val="99"/>
    <w:semiHidden/>
    <w:rsid w:val="00365791"/>
    <w:rPr>
      <w:sz w:val="20"/>
      <w:szCs w:val="20"/>
    </w:rPr>
  </w:style>
  <w:style w:type="character" w:styleId="Odwoanieprzypisudolnego">
    <w:name w:val="footnote reference"/>
    <w:basedOn w:val="Domylnaczcionkaakapitu"/>
    <w:uiPriority w:val="99"/>
    <w:semiHidden/>
    <w:unhideWhenUsed/>
    <w:rsid w:val="003657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E6BCA-EC84-48C5-8558-5C619AAC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1071</Words>
  <Characters>6431</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Kurpiewska</dc:creator>
  <cp:keywords/>
  <dc:description/>
  <cp:lastModifiedBy>Kinga Chodacka-Seruga</cp:lastModifiedBy>
  <cp:revision>3</cp:revision>
  <dcterms:created xsi:type="dcterms:W3CDTF">2024-01-31T19:14:00Z</dcterms:created>
  <dcterms:modified xsi:type="dcterms:W3CDTF">2024-01-31T19:23:00Z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