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D5E1" w14:textId="3242E82C" w:rsidR="00DF5434" w:rsidRPr="00A07C1B" w:rsidRDefault="00DF5434" w:rsidP="00D53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397AD2" w14:textId="2D9CFC81" w:rsidR="00905BBF" w:rsidRPr="00905BBF" w:rsidRDefault="00905BBF" w:rsidP="00905BBF">
      <w:pPr>
        <w:jc w:val="right"/>
        <w:rPr>
          <w:rFonts w:ascii="Century Gothic" w:hAnsi="Century Gothic"/>
          <w:sz w:val="16"/>
          <w:szCs w:val="16"/>
        </w:rPr>
      </w:pPr>
      <w:r w:rsidRPr="00905BBF">
        <w:rPr>
          <w:rFonts w:ascii="Century Gothic" w:hAnsi="Century Gothic"/>
          <w:sz w:val="16"/>
          <w:szCs w:val="16"/>
        </w:rPr>
        <w:t xml:space="preserve">materiał prasowy, </w:t>
      </w:r>
      <w:r w:rsidR="00E362C0">
        <w:rPr>
          <w:rFonts w:ascii="Century Gothic" w:hAnsi="Century Gothic"/>
          <w:sz w:val="16"/>
          <w:szCs w:val="16"/>
        </w:rPr>
        <w:t>0</w:t>
      </w:r>
      <w:r w:rsidR="00D63B07">
        <w:rPr>
          <w:rFonts w:ascii="Century Gothic" w:hAnsi="Century Gothic"/>
          <w:sz w:val="16"/>
          <w:szCs w:val="16"/>
        </w:rPr>
        <w:t>7</w:t>
      </w:r>
      <w:r w:rsidRPr="00905BBF">
        <w:rPr>
          <w:rFonts w:ascii="Century Gothic" w:hAnsi="Century Gothic"/>
          <w:sz w:val="16"/>
          <w:szCs w:val="16"/>
        </w:rPr>
        <w:t>.</w:t>
      </w:r>
      <w:r w:rsidR="00E362C0">
        <w:rPr>
          <w:rFonts w:ascii="Century Gothic" w:hAnsi="Century Gothic"/>
          <w:sz w:val="16"/>
          <w:szCs w:val="16"/>
        </w:rPr>
        <w:t>0</w:t>
      </w:r>
      <w:r w:rsidR="00E34A65">
        <w:rPr>
          <w:rFonts w:ascii="Century Gothic" w:hAnsi="Century Gothic"/>
          <w:sz w:val="16"/>
          <w:szCs w:val="16"/>
        </w:rPr>
        <w:t>2</w:t>
      </w:r>
      <w:r w:rsidRPr="00905BBF">
        <w:rPr>
          <w:rFonts w:ascii="Century Gothic" w:hAnsi="Century Gothic"/>
          <w:sz w:val="16"/>
          <w:szCs w:val="16"/>
        </w:rPr>
        <w:t>.202</w:t>
      </w:r>
      <w:r w:rsidR="00E362C0">
        <w:rPr>
          <w:rFonts w:ascii="Century Gothic" w:hAnsi="Century Gothic"/>
          <w:sz w:val="16"/>
          <w:szCs w:val="16"/>
        </w:rPr>
        <w:t>4</w:t>
      </w:r>
    </w:p>
    <w:p w14:paraId="59E6AA8A" w14:textId="77777777" w:rsidR="00905BBF" w:rsidRDefault="00905BBF" w:rsidP="00C6425D">
      <w:pPr>
        <w:rPr>
          <w:rFonts w:ascii="Century Gothic" w:hAnsi="Century Gothic"/>
          <w:b/>
          <w:bCs/>
          <w:sz w:val="32"/>
          <w:szCs w:val="32"/>
        </w:rPr>
      </w:pPr>
    </w:p>
    <w:p w14:paraId="4047D9ED" w14:textId="30D20333" w:rsidR="00E362C0" w:rsidRPr="00E03BDF" w:rsidRDefault="00E362C0" w:rsidP="00E362C0">
      <w:pPr>
        <w:rPr>
          <w:rFonts w:ascii="Arial" w:hAnsi="Arial" w:cs="Arial"/>
          <w:b/>
          <w:bCs/>
          <w:sz w:val="32"/>
          <w:szCs w:val="32"/>
        </w:rPr>
      </w:pPr>
      <w:r w:rsidRPr="00E03BDF">
        <w:rPr>
          <w:rFonts w:ascii="Arial" w:hAnsi="Arial" w:cs="Arial"/>
          <w:b/>
          <w:bCs/>
          <w:sz w:val="32"/>
          <w:szCs w:val="32"/>
        </w:rPr>
        <w:t>Transport drogowy 2024:</w:t>
      </w:r>
      <w:r>
        <w:rPr>
          <w:rFonts w:ascii="Arial" w:hAnsi="Arial" w:cs="Arial"/>
          <w:b/>
          <w:bCs/>
          <w:sz w:val="32"/>
          <w:szCs w:val="32"/>
        </w:rPr>
        <w:t xml:space="preserve"> przedsiębiorców czekają kolejne podwyżki. Jakie?</w:t>
      </w:r>
    </w:p>
    <w:p w14:paraId="1F80205B" w14:textId="77777777" w:rsidR="00E362C0" w:rsidRPr="00AA4454" w:rsidRDefault="00E362C0" w:rsidP="00D620AB">
      <w:pPr>
        <w:jc w:val="both"/>
        <w:rPr>
          <w:rFonts w:ascii="Arial" w:hAnsi="Arial" w:cs="Arial"/>
          <w:sz w:val="20"/>
          <w:szCs w:val="20"/>
        </w:rPr>
      </w:pPr>
    </w:p>
    <w:p w14:paraId="13F1266E" w14:textId="178EFD69" w:rsidR="00E362C0" w:rsidRPr="00AA4454" w:rsidRDefault="00E362C0" w:rsidP="00D620A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Poprzedni rok upłynął pod znakiem licznych zmian w obszarze rozliczania czasu pracy kierowców, jaki i automatyzacji procesów wewnątrz firm transportowych. Spowolnienie gospodarcze, które dało się we znaki w tym sektorze przełożyło się na potrzebę ograniczania wydatków i jeszcze większej kontroli kosztów. Wszystko wskazuje na to, że trend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technologizacji</w:t>
      </w:r>
      <w:proofErr w:type="spellEnd"/>
      <w:r w:rsidR="0072639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polskich przedsiębiorstw i postępującej optymalizacji działań będzie się umacniał w tym roku. A to między innymi za sprawą kolejnych podwyżek, które czekają branżę TSL. Jakich? Przewoźnicy muszą przygotować się na 12 proc. wzrost odprowadzanych składek, związanych z wyższym przeciętnym prognozowanym wynagrodzeniem dla kierowców w transporcie międzynarodowym czy </w:t>
      </w:r>
      <w:r w:rsidR="001D6DB3">
        <w:rPr>
          <w:rFonts w:ascii="Arial" w:hAnsi="Arial" w:cs="Arial"/>
          <w:b/>
          <w:bCs/>
          <w:sz w:val="20"/>
          <w:szCs w:val="20"/>
        </w:rPr>
        <w:t xml:space="preserve">szacowanym </w:t>
      </w:r>
      <w:r>
        <w:rPr>
          <w:rFonts w:ascii="Arial" w:hAnsi="Arial" w:cs="Arial"/>
          <w:b/>
          <w:bCs/>
          <w:sz w:val="20"/>
          <w:szCs w:val="20"/>
        </w:rPr>
        <w:t xml:space="preserve">wzrostem cen oleju napędowego. Jakie jeszcze wyzwania i podwyżki czekają MŚP w tym roku? Na pytania odpowiadają eksperci Inelo i Grupy Eurowag. </w:t>
      </w:r>
    </w:p>
    <w:p w14:paraId="255C0801" w14:textId="77777777" w:rsidR="00E362C0" w:rsidRDefault="00E362C0" w:rsidP="00D620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ABD120" w14:textId="77777777" w:rsidR="00E362C0" w:rsidRPr="00AE5494" w:rsidRDefault="00E362C0" w:rsidP="00D620A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Jak wyglądał 2023 rok w transporcie?</w:t>
      </w:r>
    </w:p>
    <w:p w14:paraId="18828C66" w14:textId="77777777" w:rsidR="00E362C0" w:rsidRPr="00AE5494" w:rsidRDefault="00E362C0" w:rsidP="00D620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350DB60" w14:textId="77777777" w:rsidR="00E362C0" w:rsidRPr="00AE5494" w:rsidRDefault="00E362C0" w:rsidP="00D620AB">
      <w:pPr>
        <w:jc w:val="both"/>
        <w:rPr>
          <w:rFonts w:ascii="Arial" w:hAnsi="Arial" w:cs="Arial"/>
          <w:sz w:val="20"/>
          <w:szCs w:val="20"/>
        </w:rPr>
      </w:pPr>
      <w:r w:rsidRPr="00AE5494">
        <w:rPr>
          <w:rFonts w:ascii="Arial" w:hAnsi="Arial" w:cs="Arial"/>
          <w:sz w:val="20"/>
          <w:szCs w:val="20"/>
        </w:rPr>
        <w:t>Ubiegły rok przyniósł wiele zmian w rozliczaniu czasu pracy kierowców. Przede wszystkim był pełnym rokiem rozliczeń</w:t>
      </w:r>
      <w:r>
        <w:rPr>
          <w:rFonts w:ascii="Arial" w:hAnsi="Arial" w:cs="Arial"/>
          <w:sz w:val="20"/>
          <w:szCs w:val="20"/>
        </w:rPr>
        <w:t xml:space="preserve"> wg. nowych zasad</w:t>
      </w:r>
      <w:r w:rsidRPr="00AE5494">
        <w:rPr>
          <w:rFonts w:ascii="Arial" w:hAnsi="Arial" w:cs="Arial"/>
          <w:sz w:val="20"/>
          <w:szCs w:val="20"/>
        </w:rPr>
        <w:t xml:space="preserve">, co oznacza, że rewolucyjne zmiany w wynagrodzeniach polskich kierowców, wprowadzone w lutym 2022, obowiązywały przewoźników przez 12 – miesięcy. Z tego względu po raz pierwszy firmy, wykonujące transport międzynarodowy, odczuły </w:t>
      </w:r>
      <w:r>
        <w:rPr>
          <w:rFonts w:ascii="Arial" w:hAnsi="Arial" w:cs="Arial"/>
          <w:sz w:val="20"/>
          <w:szCs w:val="20"/>
        </w:rPr>
        <w:t xml:space="preserve">wzrost </w:t>
      </w:r>
      <w:r w:rsidRPr="00AE5494">
        <w:rPr>
          <w:rFonts w:ascii="Arial" w:hAnsi="Arial" w:cs="Arial"/>
          <w:sz w:val="20"/>
          <w:szCs w:val="20"/>
        </w:rPr>
        <w:t>kwot</w:t>
      </w:r>
      <w:r>
        <w:rPr>
          <w:rFonts w:ascii="Arial" w:hAnsi="Arial" w:cs="Arial"/>
          <w:sz w:val="20"/>
          <w:szCs w:val="20"/>
        </w:rPr>
        <w:t>y</w:t>
      </w:r>
      <w:r w:rsidRPr="00AE5494">
        <w:rPr>
          <w:rFonts w:ascii="Arial" w:hAnsi="Arial" w:cs="Arial"/>
          <w:sz w:val="20"/>
          <w:szCs w:val="20"/>
        </w:rPr>
        <w:t xml:space="preserve"> przeciętnego prognozowanego wynagrodzenia, która podniosła się o ponad </w:t>
      </w:r>
      <w:r w:rsidRPr="00A64089">
        <w:rPr>
          <w:rFonts w:ascii="Arial" w:hAnsi="Arial" w:cs="Arial"/>
          <w:b/>
          <w:bCs/>
          <w:sz w:val="20"/>
          <w:szCs w:val="20"/>
        </w:rPr>
        <w:t>1000 zł względem 2022 roku</w:t>
      </w:r>
      <w:r w:rsidRPr="00AE5494">
        <w:rPr>
          <w:rFonts w:ascii="Arial" w:hAnsi="Arial" w:cs="Arial"/>
          <w:sz w:val="20"/>
          <w:szCs w:val="20"/>
        </w:rPr>
        <w:t xml:space="preserve">. Oznaczało to znaczny wzrost odprowadzanych składek. Przełomowym momentem dla przewoźników był okres wakacyjny. W lipcu druga zmiana stawki minimalnego wynagrodzenia wiązała się z koniecznością uaktualnienia umów kierowców. Wtedy to wprowadzono również istotne zmiany w rozliczeniach tzw. wirtualnych diet - ulg określających wysokość wynagrodzenia bez ZUS i podatku, a przewoźnicy byli zobowiązani do ich natychmiastowego wdrożenia. Latem zaczął się okres urlopowy, który okazał się również nie lada wyzwaniem dla przewoźników. </w:t>
      </w:r>
    </w:p>
    <w:p w14:paraId="2FFCE62A" w14:textId="77777777" w:rsidR="00E362C0" w:rsidRPr="00AC03E1" w:rsidRDefault="00E362C0" w:rsidP="00D620AB">
      <w:pPr>
        <w:pStyle w:val="NormalnyWeb"/>
        <w:shd w:val="clear" w:color="auto" w:fill="FEFEFE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5494">
        <w:rPr>
          <w:rFonts w:ascii="Arial" w:hAnsi="Arial" w:cs="Arial"/>
          <w:sz w:val="20"/>
          <w:szCs w:val="20"/>
        </w:rPr>
        <w:t xml:space="preserve">-  </w:t>
      </w:r>
      <w:r w:rsidRPr="00AE5494">
        <w:rPr>
          <w:rFonts w:ascii="Arial" w:hAnsi="Arial" w:cs="Arial"/>
          <w:i/>
          <w:iCs/>
          <w:sz w:val="20"/>
          <w:szCs w:val="20"/>
        </w:rPr>
        <w:t>Firmy transportowe przy planowaniu firmowego budżetu nie do końca uwzględniły w nim wszystkich wydatków i taką luką były właśnie koszty związane z wypłaceniem wynagrodzenia urlopowego, które sprawiały wiele problemów przewoźnikom. Zgodnie z przepisami za</w:t>
      </w:r>
      <w:r>
        <w:rPr>
          <w:rFonts w:ascii="Arial" w:hAnsi="Arial" w:cs="Arial"/>
          <w:i/>
          <w:iCs/>
          <w:sz w:val="20"/>
          <w:szCs w:val="20"/>
        </w:rPr>
        <w:t xml:space="preserve"> tego typu</w:t>
      </w:r>
      <w:r w:rsidRPr="00AE5494">
        <w:rPr>
          <w:rFonts w:ascii="Arial" w:hAnsi="Arial" w:cs="Arial"/>
          <w:i/>
          <w:iCs/>
          <w:sz w:val="20"/>
          <w:szCs w:val="20"/>
        </w:rPr>
        <w:t xml:space="preserve"> nieobecnoś</w:t>
      </w:r>
      <w:r>
        <w:rPr>
          <w:rFonts w:ascii="Arial" w:hAnsi="Arial" w:cs="Arial"/>
          <w:i/>
          <w:iCs/>
          <w:sz w:val="20"/>
          <w:szCs w:val="20"/>
        </w:rPr>
        <w:t>ci</w:t>
      </w:r>
      <w:r w:rsidRPr="00AE5494">
        <w:rPr>
          <w:rFonts w:ascii="Arial" w:hAnsi="Arial" w:cs="Arial"/>
          <w:i/>
          <w:iCs/>
          <w:sz w:val="20"/>
          <w:szCs w:val="20"/>
        </w:rPr>
        <w:t xml:space="preserve"> w pracy kierowca powinien dostać prawie identyczne wynagrodzenie, jakie otrzymałby normalnie za przepracowane dni, a na to nie każdy pracodawca był przygotowany. Podobna sytuacja dotyczyła szkoleń okresowych w wymiarze 35 godzin</w:t>
      </w:r>
      <w:r w:rsidRPr="00F431C6">
        <w:rPr>
          <w:rFonts w:ascii="Arial" w:hAnsi="Arial" w:cs="Arial"/>
          <w:i/>
          <w:iCs/>
          <w:sz w:val="20"/>
          <w:szCs w:val="20"/>
        </w:rPr>
        <w:t>, które powinny być uwzględnione na ewidencji czasu pracy. Co przekłada się</w:t>
      </w:r>
      <w:r>
        <w:rPr>
          <w:rFonts w:ascii="Arial" w:hAnsi="Arial" w:cs="Arial"/>
          <w:i/>
          <w:iCs/>
          <w:sz w:val="20"/>
          <w:szCs w:val="20"/>
        </w:rPr>
        <w:t xml:space="preserve"> to</w:t>
      </w:r>
      <w:r w:rsidRPr="00F431C6">
        <w:rPr>
          <w:rFonts w:ascii="Arial" w:hAnsi="Arial" w:cs="Arial"/>
          <w:i/>
          <w:iCs/>
          <w:sz w:val="20"/>
          <w:szCs w:val="20"/>
        </w:rPr>
        <w:t xml:space="preserve"> na dalsze nadwyrężenie budżetu firmowego.</w:t>
      </w:r>
      <w:r w:rsidRPr="00AE5494">
        <w:rPr>
          <w:rFonts w:ascii="Arial" w:hAnsi="Arial" w:cs="Arial"/>
          <w:i/>
          <w:iCs/>
          <w:sz w:val="20"/>
          <w:szCs w:val="20"/>
        </w:rPr>
        <w:t xml:space="preserve">  Z kolei, wprowadzone zmiany w rozliczeniu tzw. „wirtualnych dietach” pozwoliły złapać oddech firmom transportowym, bo dzięki nim można było obniżyć zobowiązania podatkowo-</w:t>
      </w:r>
      <w:proofErr w:type="spellStart"/>
      <w:r w:rsidRPr="00AE5494">
        <w:rPr>
          <w:rFonts w:ascii="Arial" w:hAnsi="Arial" w:cs="Arial"/>
          <w:i/>
          <w:iCs/>
          <w:sz w:val="20"/>
          <w:szCs w:val="20"/>
        </w:rPr>
        <w:t>zusowe</w:t>
      </w:r>
      <w:proofErr w:type="spellEnd"/>
      <w:r w:rsidRPr="00AE5494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3168C3">
        <w:rPr>
          <w:rFonts w:ascii="Arial" w:hAnsi="Arial" w:cs="Arial"/>
          <w:i/>
          <w:iCs/>
          <w:sz w:val="20"/>
          <w:szCs w:val="20"/>
        </w:rPr>
        <w:t>Dodano także możliwość wprowadzenia zwrotu kosztów sanitariatów, które są zwolnione z podatku oraz najczęściej także ze składek. Pozwala to zoptymalizować wynagrodzenie k</w:t>
      </w:r>
      <w:r>
        <w:rPr>
          <w:rFonts w:ascii="Arial" w:hAnsi="Arial" w:cs="Arial"/>
          <w:i/>
          <w:iCs/>
          <w:sz w:val="20"/>
          <w:szCs w:val="20"/>
        </w:rPr>
        <w:t xml:space="preserve">ierowców. </w:t>
      </w:r>
      <w:r w:rsidRPr="00AE5494">
        <w:rPr>
          <w:rFonts w:ascii="Arial" w:hAnsi="Arial" w:cs="Arial"/>
          <w:i/>
          <w:iCs/>
          <w:sz w:val="20"/>
          <w:szCs w:val="20"/>
        </w:rPr>
        <w:t xml:space="preserve">I to właśnie na prawidłowym przeliczaniu wynagrodzeń kierowców, uwzględniających nowe zmiany i ulgi, koncentrowały się działania ekspertów OCRK. </w:t>
      </w:r>
      <w:r>
        <w:rPr>
          <w:rFonts w:ascii="Arial" w:hAnsi="Arial" w:cs="Arial"/>
          <w:i/>
          <w:iCs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webinarach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p</w:t>
      </w:r>
      <w:r w:rsidRPr="00AE5494">
        <w:rPr>
          <w:rFonts w:ascii="Arial" w:hAnsi="Arial" w:cs="Arial"/>
          <w:i/>
          <w:iCs/>
          <w:sz w:val="20"/>
          <w:szCs w:val="20"/>
        </w:rPr>
        <w:t xml:space="preserve">rzypominaliśmy również o korzyściach, wynikających z wypłaty wynagrodzenia zgodnie z przepisami. Zaktualizowaliśmy także system 4Trans, który jest w stanie automatycznie na podstawie danych z kart kierowców i tachografów, przeliczyć liczbę </w:t>
      </w:r>
      <w:r>
        <w:rPr>
          <w:rFonts w:ascii="Arial" w:hAnsi="Arial" w:cs="Arial"/>
          <w:i/>
          <w:iCs/>
          <w:sz w:val="20"/>
          <w:szCs w:val="20"/>
        </w:rPr>
        <w:t xml:space="preserve">dniówek </w:t>
      </w:r>
      <w:r w:rsidRPr="00AE5494">
        <w:rPr>
          <w:rFonts w:ascii="Arial" w:hAnsi="Arial" w:cs="Arial"/>
          <w:i/>
          <w:iCs/>
          <w:sz w:val="20"/>
          <w:szCs w:val="20"/>
        </w:rPr>
        <w:t xml:space="preserve">w trasie, a następnie pomnożyć przez odpowiednią stawkę wynagrodzenia netto i podać kwotę brutto, biorąc pod uwagę wszystkie ulgi i wymagane składniki wynagrodzenia, zgodne z przepisami – </w:t>
      </w:r>
      <w:r w:rsidRPr="00AE5494">
        <w:rPr>
          <w:rFonts w:ascii="Arial" w:hAnsi="Arial" w:cs="Arial"/>
          <w:b/>
          <w:bCs/>
          <w:sz w:val="20"/>
          <w:szCs w:val="20"/>
        </w:rPr>
        <w:t xml:space="preserve">komentuje Mateusz Włoch, </w:t>
      </w:r>
      <w:r w:rsidRPr="00AC03E1">
        <w:rPr>
          <w:rStyle w:val="Pogrubienie"/>
          <w:rFonts w:ascii="Arial" w:hAnsi="Arial" w:cs="Arial"/>
          <w:color w:val="000000" w:themeColor="text1"/>
          <w:sz w:val="20"/>
          <w:szCs w:val="20"/>
        </w:rPr>
        <w:t>ekspert ds. rozwoju i szkoleń, Inelo z Grupy Eurowag.</w:t>
      </w:r>
    </w:p>
    <w:p w14:paraId="1416AF81" w14:textId="77777777" w:rsidR="00E362C0" w:rsidRPr="00AE5494" w:rsidRDefault="00E362C0" w:rsidP="00D620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E5494">
        <w:rPr>
          <w:rFonts w:ascii="Arial" w:hAnsi="Arial" w:cs="Arial"/>
          <w:b/>
          <w:bCs/>
          <w:sz w:val="20"/>
          <w:szCs w:val="20"/>
        </w:rPr>
        <w:t xml:space="preserve">Transportowe spowolnienie w 2023 </w:t>
      </w:r>
      <w:r>
        <w:rPr>
          <w:rFonts w:ascii="Arial" w:hAnsi="Arial" w:cs="Arial"/>
          <w:b/>
          <w:bCs/>
          <w:sz w:val="20"/>
          <w:szCs w:val="20"/>
        </w:rPr>
        <w:t>roku</w:t>
      </w:r>
    </w:p>
    <w:p w14:paraId="45579DF6" w14:textId="77777777" w:rsidR="00E362C0" w:rsidRPr="00AE5494" w:rsidRDefault="00E362C0" w:rsidP="00D620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D53C5C0" w14:textId="77777777" w:rsidR="00E362C0" w:rsidRPr="00AE5494" w:rsidRDefault="00E362C0" w:rsidP="00D620AB">
      <w:pPr>
        <w:jc w:val="both"/>
        <w:rPr>
          <w:rFonts w:ascii="Arial" w:hAnsi="Arial" w:cs="Arial"/>
          <w:sz w:val="20"/>
          <w:szCs w:val="20"/>
        </w:rPr>
      </w:pPr>
      <w:r w:rsidRPr="00AE5494">
        <w:rPr>
          <w:rFonts w:ascii="Arial" w:hAnsi="Arial" w:cs="Arial"/>
          <w:sz w:val="20"/>
          <w:szCs w:val="20"/>
        </w:rPr>
        <w:t>Jak wynika z raportu „</w:t>
      </w:r>
      <w:r w:rsidRPr="00AE5494">
        <w:rPr>
          <w:rFonts w:ascii="Arial" w:hAnsi="Arial" w:cs="Arial"/>
          <w:i/>
          <w:iCs/>
          <w:sz w:val="20"/>
          <w:szCs w:val="20"/>
        </w:rPr>
        <w:t>Rynek transportowo-logistyczny w Europie”,</w:t>
      </w:r>
      <w:r w:rsidRPr="00AE5494">
        <w:rPr>
          <w:rFonts w:ascii="Arial" w:hAnsi="Arial" w:cs="Arial"/>
          <w:sz w:val="20"/>
          <w:szCs w:val="20"/>
        </w:rPr>
        <w:t xml:space="preserve"> platformy Trans.eu, polska gospodarka zmniejszyła się średnio o </w:t>
      </w:r>
      <w:r w:rsidRPr="00617917">
        <w:rPr>
          <w:rFonts w:ascii="Arial" w:hAnsi="Arial" w:cs="Arial"/>
          <w:b/>
          <w:bCs/>
          <w:sz w:val="20"/>
          <w:szCs w:val="20"/>
        </w:rPr>
        <w:t>0,5 proc.</w:t>
      </w:r>
      <w:r w:rsidRPr="00AE5494">
        <w:rPr>
          <w:rFonts w:ascii="Arial" w:hAnsi="Arial" w:cs="Arial"/>
          <w:sz w:val="20"/>
          <w:szCs w:val="20"/>
        </w:rPr>
        <w:t xml:space="preserve"> w pierwszym półroczu 2023 roku. Choć druga połowa roku była nieco lepsza - III kwartał przyniósł wzrost PKB na poziomie </w:t>
      </w:r>
      <w:r w:rsidRPr="00617917">
        <w:rPr>
          <w:rFonts w:ascii="Arial" w:hAnsi="Arial" w:cs="Arial"/>
          <w:b/>
          <w:bCs/>
          <w:sz w:val="20"/>
          <w:szCs w:val="20"/>
        </w:rPr>
        <w:t>0,4 proc. r/r</w:t>
      </w:r>
      <w:r w:rsidRPr="00AE549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E5494">
        <w:rPr>
          <w:rFonts w:ascii="Arial" w:hAnsi="Arial" w:cs="Arial"/>
          <w:sz w:val="20"/>
          <w:szCs w:val="20"/>
        </w:rPr>
        <w:t xml:space="preserve">, a do 2024 roku ma wzrosnąć </w:t>
      </w:r>
      <w:r w:rsidRPr="00617917">
        <w:rPr>
          <w:rFonts w:ascii="Arial" w:hAnsi="Arial" w:cs="Arial"/>
          <w:b/>
          <w:bCs/>
          <w:sz w:val="20"/>
          <w:szCs w:val="20"/>
        </w:rPr>
        <w:t xml:space="preserve">do 2 proc. </w:t>
      </w:r>
      <w:r w:rsidRPr="00AE5494">
        <w:rPr>
          <w:rFonts w:ascii="Arial" w:hAnsi="Arial" w:cs="Arial"/>
          <w:sz w:val="20"/>
          <w:szCs w:val="20"/>
        </w:rPr>
        <w:t xml:space="preserve">- to i tak firmy przewozowe mierzyły się z niższym zapotrzebowaniem na usługi transportowe. Wynikał on m.in. z mniejszej konsumpcji, inflacji czy obniżki stawek </w:t>
      </w:r>
      <w:proofErr w:type="spellStart"/>
      <w:r w:rsidRPr="00AE5494">
        <w:rPr>
          <w:rFonts w:ascii="Arial" w:hAnsi="Arial" w:cs="Arial"/>
          <w:sz w:val="20"/>
          <w:szCs w:val="20"/>
        </w:rPr>
        <w:t>spotowych</w:t>
      </w:r>
      <w:proofErr w:type="spellEnd"/>
      <w:r w:rsidRPr="00AE5494">
        <w:rPr>
          <w:rFonts w:ascii="Arial" w:hAnsi="Arial" w:cs="Arial"/>
          <w:sz w:val="20"/>
          <w:szCs w:val="20"/>
        </w:rPr>
        <w:t>, które znacznie spadły (</w:t>
      </w:r>
      <w:r w:rsidRPr="00617917">
        <w:rPr>
          <w:rFonts w:ascii="Arial" w:hAnsi="Arial" w:cs="Arial"/>
          <w:b/>
          <w:bCs/>
          <w:sz w:val="20"/>
          <w:szCs w:val="20"/>
        </w:rPr>
        <w:t xml:space="preserve">blisko o 15 </w:t>
      </w:r>
      <w:r w:rsidRPr="00617917">
        <w:rPr>
          <w:rFonts w:ascii="Arial" w:hAnsi="Arial" w:cs="Arial"/>
          <w:b/>
          <w:bCs/>
          <w:sz w:val="20"/>
          <w:szCs w:val="20"/>
        </w:rPr>
        <w:lastRenderedPageBreak/>
        <w:t>pkt.)</w:t>
      </w:r>
      <w:r w:rsidRPr="00AE5494">
        <w:rPr>
          <w:rFonts w:ascii="Arial" w:hAnsi="Arial" w:cs="Arial"/>
          <w:sz w:val="20"/>
          <w:szCs w:val="20"/>
        </w:rPr>
        <w:t xml:space="preserve"> pod koniec roku w porównaniu do 2022.</w:t>
      </w:r>
      <w:r w:rsidRPr="00AE549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AE5494">
        <w:rPr>
          <w:rFonts w:ascii="Arial" w:hAnsi="Arial" w:cs="Arial"/>
          <w:sz w:val="20"/>
          <w:szCs w:val="20"/>
        </w:rPr>
        <w:t xml:space="preserve"> Rynek transportowy cechuje niepewność, więc kluczowym elementem strategii firm transportowych staje się zbieranie i analiza danych.</w:t>
      </w:r>
    </w:p>
    <w:p w14:paraId="21D6395C" w14:textId="77777777" w:rsidR="00E362C0" w:rsidRPr="00AE5494" w:rsidRDefault="00E362C0" w:rsidP="00D620AB">
      <w:pPr>
        <w:jc w:val="both"/>
        <w:rPr>
          <w:rFonts w:ascii="Arial" w:hAnsi="Arial" w:cs="Arial"/>
          <w:sz w:val="20"/>
          <w:szCs w:val="20"/>
        </w:rPr>
      </w:pPr>
    </w:p>
    <w:p w14:paraId="32633366" w14:textId="67602C3A" w:rsidR="00E362C0" w:rsidRPr="00AE5494" w:rsidRDefault="00E362C0" w:rsidP="00D620AB">
      <w:pPr>
        <w:jc w:val="both"/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r w:rsidRPr="00AE5494">
        <w:rPr>
          <w:rFonts w:ascii="Arial" w:hAnsi="Arial" w:cs="Arial"/>
          <w:i/>
          <w:iCs/>
          <w:sz w:val="20"/>
          <w:szCs w:val="20"/>
        </w:rPr>
        <w:t xml:space="preserve">- Tematem przewodnim wśród przewoźników w poprzednim roku była kontrola nad kosztami i optymalizacja procesów transportowych. Firmy musiały stawić czoła zmniejszonej rentowności przewozów i wysokim kosztom stałym i zmiennym. Z tego względu dużym zainteresowaniem cieszyły się systemy TMS, które w zależności od indywidualnych potrzeb firm i stopnia zaawansowania mogą służyć jako prosty rejestr zleceń, ale także mogą być kompleksowym narzędziem do planowania, trasowania, obliczania kosztów, a dzięki temu mieć niebagatelny wpływ na podejmowanie trafnych decyzji biznesowych. Biorąc pod uwagę ten trend technologiczny, do telematyki GBox dodaliśmy moduł </w:t>
      </w:r>
      <w:proofErr w:type="spellStart"/>
      <w:r w:rsidRPr="00AE5494">
        <w:rPr>
          <w:rFonts w:ascii="Arial" w:hAnsi="Arial" w:cs="Arial"/>
          <w:i/>
          <w:iCs/>
          <w:sz w:val="20"/>
          <w:szCs w:val="20"/>
        </w:rPr>
        <w:t>FireMini</w:t>
      </w:r>
      <w:proofErr w:type="spellEnd"/>
      <w:r w:rsidRPr="00AE5494">
        <w:rPr>
          <w:rFonts w:ascii="Arial" w:hAnsi="Arial" w:cs="Arial"/>
          <w:i/>
          <w:iCs/>
          <w:sz w:val="20"/>
          <w:szCs w:val="20"/>
        </w:rPr>
        <w:t xml:space="preserve">, który stał się standardowym elementem systemu. Oznacza to, że przewoźnik, który wyposaży się w </w:t>
      </w:r>
      <w:proofErr w:type="spellStart"/>
      <w:r w:rsidRPr="00AE5494">
        <w:rPr>
          <w:rFonts w:ascii="Arial" w:hAnsi="Arial" w:cs="Arial"/>
          <w:i/>
          <w:iCs/>
          <w:sz w:val="20"/>
          <w:szCs w:val="20"/>
        </w:rPr>
        <w:t>telematykę</w:t>
      </w:r>
      <w:proofErr w:type="spellEnd"/>
      <w:r w:rsidRPr="00AE5494">
        <w:rPr>
          <w:rFonts w:ascii="Arial" w:hAnsi="Arial" w:cs="Arial"/>
          <w:i/>
          <w:iCs/>
          <w:sz w:val="20"/>
          <w:szCs w:val="20"/>
        </w:rPr>
        <w:t xml:space="preserve"> Inelo, otrzyma również w pakiecie </w:t>
      </w:r>
      <w:proofErr w:type="spellStart"/>
      <w:r w:rsidRPr="00AE5494">
        <w:rPr>
          <w:rFonts w:ascii="Arial" w:hAnsi="Arial" w:cs="Arial"/>
          <w:i/>
          <w:iCs/>
          <w:sz w:val="20"/>
          <w:szCs w:val="20"/>
        </w:rPr>
        <w:t>TMSa</w:t>
      </w:r>
      <w:proofErr w:type="spellEnd"/>
      <w:r w:rsidRPr="00AE5494">
        <w:rPr>
          <w:rFonts w:ascii="Arial" w:hAnsi="Arial" w:cs="Arial"/>
          <w:i/>
          <w:iCs/>
          <w:sz w:val="20"/>
          <w:szCs w:val="20"/>
        </w:rPr>
        <w:t xml:space="preserve"> w wersji mini, pozwalający na tworzenie zleceń, wystawienie faktur czy zaplanowanie tras z uwzględnieniem opłat drogowych. Warto dodać, że ta ostatnia funkcja nabrała szczególnego znaczenia w perspektywie ogromnych podwyżek niemieckiego myta pod koniec 2023. Ich wzrost zmobilizował firmy transportowe do dokładniejszej analizy opłacalności trasy – niezbędnej informacji do negocjacji stawek z klientami. Cyfrowe mapy, które umożliwiają liczenie kosztów stały się narzędziem bardzo potrzebnym firmom, biorąc pod uwagę również fakt, że w bieżącym roku kolejne kraje zapowiedziały wzrost opłat drogowych </w:t>
      </w:r>
      <w:r w:rsidR="00EF0797">
        <w:rPr>
          <w:rFonts w:ascii="Arial" w:hAnsi="Arial" w:cs="Arial"/>
          <w:i/>
          <w:iCs/>
          <w:color w:val="000000" w:themeColor="text1"/>
          <w:sz w:val="20"/>
          <w:szCs w:val="20"/>
        </w:rPr>
        <w:t>–</w:t>
      </w:r>
      <w:r w:rsidRPr="00AE549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EF079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komentuje </w:t>
      </w:r>
      <w:r w:rsidRPr="00AE5494">
        <w:rPr>
          <w:rFonts w:ascii="Arial" w:hAnsi="Arial" w:cs="Arial"/>
          <w:b/>
          <w:bCs/>
          <w:color w:val="000000" w:themeColor="text1"/>
          <w:sz w:val="20"/>
          <w:szCs w:val="20"/>
        </w:rPr>
        <w:t>Tomasz Czyż,</w:t>
      </w:r>
      <w:r w:rsidRPr="00AE549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AE5494">
        <w:rPr>
          <w:rFonts w:ascii="Arial" w:hAnsi="Arial" w:cs="Arial"/>
          <w:b/>
          <w:bCs/>
          <w:color w:val="000000" w:themeColor="text1"/>
          <w:sz w:val="20"/>
          <w:szCs w:val="20"/>
        </w:rPr>
        <w:t>g</w:t>
      </w:r>
      <w:r w:rsidRPr="00AE5494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łówny ekspert ds. rozwiązań technologicznych, Inelo z Grupy Eurowag. </w:t>
      </w:r>
    </w:p>
    <w:p w14:paraId="22B793A4" w14:textId="77777777" w:rsidR="00E362C0" w:rsidRPr="00AE5494" w:rsidRDefault="00E362C0" w:rsidP="00D620AB">
      <w:pPr>
        <w:jc w:val="both"/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14:paraId="77A7CE45" w14:textId="77777777" w:rsidR="00E362C0" w:rsidRPr="00AE5494" w:rsidRDefault="00E362C0" w:rsidP="00D620AB">
      <w:pPr>
        <w:jc w:val="both"/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r w:rsidRPr="00AE5494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Z kolei Jakub Jabłoński z Grupy Eurowag </w:t>
      </w:r>
      <w:r w:rsidRPr="00DF625A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  <w:t xml:space="preserve">zauważa, że spadek stawek za transport, a w konsekwencji spowolnienie na rynku mógł być związany m.in. z obniżką cen paliw, zauważalnym zwłaszcza w drugiej połowie 2023 roku – </w:t>
      </w:r>
      <w:r w:rsidRPr="00DF625A">
        <w:rPr>
          <w:rStyle w:val="Pogrubienie"/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  <w:shd w:val="clear" w:color="auto" w:fill="FEFEFE"/>
        </w:rPr>
        <w:t xml:space="preserve">Wtedy to w Polsce ceny paliw pozostawały na niskim poziomie w porównaniu do sąsiednich krajów, co przyczyniło się do braku opłacalności importu oleju napędowego, a w konsekwencji pojawiły się trudności z jego dostępnością na niektórych stacjach. Niemniej jednak nasze stacje paliwowe tzw. Truck Parki Eurowag pracowały przez cały ten okres bez przerwy i nie mieliśmy trudności z dostarczeniem paliwa, dzięki stałej współpracy z producentami i kluczowymi importerami </w:t>
      </w:r>
      <w:r w:rsidRPr="00AE5494">
        <w:rPr>
          <w:rStyle w:val="Pogrubienie"/>
          <w:rFonts w:ascii="Arial" w:hAnsi="Arial" w:cs="Arial"/>
          <w:i/>
          <w:iCs/>
          <w:color w:val="000000" w:themeColor="text1"/>
          <w:sz w:val="20"/>
          <w:szCs w:val="20"/>
          <w:shd w:val="clear" w:color="auto" w:fill="FEFEFE"/>
        </w:rPr>
        <w:t xml:space="preserve">- </w:t>
      </w:r>
      <w:r w:rsidRPr="00AE5494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dodaje ekspert.</w:t>
      </w:r>
    </w:p>
    <w:p w14:paraId="7BA12925" w14:textId="77777777" w:rsidR="00E362C0" w:rsidRPr="00AE5494" w:rsidRDefault="00E362C0" w:rsidP="00D620AB">
      <w:pPr>
        <w:jc w:val="both"/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14:paraId="70B468D9" w14:textId="77777777" w:rsidR="00E362C0" w:rsidRPr="00AE5494" w:rsidRDefault="00E362C0" w:rsidP="00D620AB">
      <w:pPr>
        <w:jc w:val="both"/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r w:rsidRPr="00AE5494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Trend nr. 1 na 2024 – </w:t>
      </w:r>
      <w:r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digitalizacja łańcucha dostaw</w:t>
      </w:r>
    </w:p>
    <w:p w14:paraId="54274923" w14:textId="77777777" w:rsidR="00E362C0" w:rsidRPr="00AE5494" w:rsidRDefault="00E362C0" w:rsidP="00D620AB">
      <w:pPr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</w:pPr>
    </w:p>
    <w:p w14:paraId="022DAABF" w14:textId="77777777" w:rsidR="00E362C0" w:rsidRPr="00DF625A" w:rsidRDefault="00E362C0" w:rsidP="00D620AB">
      <w:pPr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</w:pPr>
      <w:r w:rsidRPr="00DF625A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  <w:t xml:space="preserve">Coraz większe oczekiwania zleceniobiorców w zakresie realizacji przewozów, konieczność ograniczania kosztów na każdym kroku i analiza zleceń sprawiają, że już same kręcące się kółka nie wystarczają w transporcie. Dlatego też budowanie świadomości z wykorzystaniem nowoczesnych rozwiązań to trend, który będzie się umacniał. </w:t>
      </w:r>
    </w:p>
    <w:p w14:paraId="2CFC0B7F" w14:textId="77777777" w:rsidR="00E362C0" w:rsidRPr="00AE5494" w:rsidRDefault="00E362C0" w:rsidP="00D620AB">
      <w:pPr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</w:pPr>
    </w:p>
    <w:p w14:paraId="4CA97A10" w14:textId="52A6C043" w:rsidR="00E362C0" w:rsidRDefault="00E362C0" w:rsidP="00D620AB">
      <w:pPr>
        <w:jc w:val="both"/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r w:rsidRPr="00AE5494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- </w:t>
      </w:r>
      <w:r w:rsidRPr="00DF625A">
        <w:rPr>
          <w:rStyle w:val="Pogrubienie"/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  <w:shd w:val="clear" w:color="auto" w:fill="FEFEFE"/>
        </w:rPr>
        <w:t xml:space="preserve">Nie wszystko jest jeszcze zrobione na tym polu, bo są firmy, które mogą nie do końca wiedzieć o wszystkich możliwościach zaawansowanych narzędzi dla transportu, ale zmierzamy w dobrym kierunku. Oznacza to, że integracja systemów TMS z </w:t>
      </w:r>
      <w:proofErr w:type="spellStart"/>
      <w:r w:rsidRPr="00DF625A">
        <w:rPr>
          <w:rStyle w:val="Pogrubienie"/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  <w:shd w:val="clear" w:color="auto" w:fill="FEFEFE"/>
        </w:rPr>
        <w:t>telematyką</w:t>
      </w:r>
      <w:proofErr w:type="spellEnd"/>
      <w:r w:rsidRPr="00DF625A">
        <w:rPr>
          <w:rStyle w:val="Pogrubienie"/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  <w:shd w:val="clear" w:color="auto" w:fill="FEFEFE"/>
        </w:rPr>
        <w:t xml:space="preserve"> to zjawisko, które będzie się dalej pogłębiać. Do bycia bardziej elastycznym wobec klientów i podejmowania trafniejszych decyzji niezbędna jest analiza danych. I tutaj trzeba pamiętać o tym, że nie wystarczy mieć systemu, ale trzeba zadbać także o jakość wprowadzanych danych. To one są kluczem do wdrożenia oprogramowania z sukcesem</w:t>
      </w:r>
      <w:r w:rsidRPr="00AE5494">
        <w:rPr>
          <w:rStyle w:val="Pogrubienie"/>
          <w:rFonts w:ascii="Arial" w:hAnsi="Arial" w:cs="Arial"/>
          <w:i/>
          <w:iCs/>
          <w:color w:val="000000" w:themeColor="text1"/>
          <w:sz w:val="20"/>
          <w:szCs w:val="20"/>
          <w:shd w:val="clear" w:color="auto" w:fill="FEFEFE"/>
        </w:rPr>
        <w:t xml:space="preserve"> </w:t>
      </w:r>
      <w:r w:rsidRPr="00AE5494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–</w:t>
      </w:r>
      <w:r w:rsidR="002A7E6C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mówi</w:t>
      </w:r>
      <w:r w:rsidR="00AC03E1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Tomasz Czyż,</w:t>
      </w:r>
      <w:r w:rsidR="007A7E7E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ekspert Inelo z Grupy Eurowag. </w:t>
      </w:r>
    </w:p>
    <w:p w14:paraId="42B4BE00" w14:textId="77777777" w:rsidR="00AC03E1" w:rsidRPr="00AE5494" w:rsidRDefault="00AC03E1" w:rsidP="00D620AB">
      <w:pPr>
        <w:jc w:val="both"/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14:paraId="1CBC9ADF" w14:textId="77777777" w:rsidR="00E362C0" w:rsidRPr="00492C26" w:rsidRDefault="00E362C0" w:rsidP="00D620AB">
      <w:pPr>
        <w:jc w:val="both"/>
        <w:rPr>
          <w:rStyle w:val="Pogrubienie"/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  <w:shd w:val="clear" w:color="auto" w:fill="FEFEFE"/>
        </w:rPr>
      </w:pPr>
      <w:r w:rsidRPr="00AE5494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Trend nr. 2 na 2024 – paliw</w:t>
      </w:r>
      <w:r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o</w:t>
      </w:r>
      <w:r w:rsidRPr="00AE5494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w górę</w:t>
      </w:r>
      <w:r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?</w:t>
      </w:r>
    </w:p>
    <w:p w14:paraId="0A8E1570" w14:textId="77777777" w:rsidR="00E362C0" w:rsidRPr="00274F89" w:rsidRDefault="00E362C0" w:rsidP="00D620AB">
      <w:pPr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</w:pPr>
    </w:p>
    <w:p w14:paraId="07D9148D" w14:textId="5236DAA2" w:rsidR="00E362C0" w:rsidRPr="00274F89" w:rsidRDefault="00E362C0" w:rsidP="00D620AB">
      <w:pPr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</w:pPr>
      <w:r w:rsidRPr="00274F89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  <w:t xml:space="preserve">Bank inwestycyjny Goldman </w:t>
      </w:r>
      <w:proofErr w:type="spellStart"/>
      <w:r w:rsidRPr="00274F89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  <w:t>Sachs</w:t>
      </w:r>
      <w:proofErr w:type="spellEnd"/>
      <w:r w:rsidRPr="00274F89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  <w:t xml:space="preserve"> szacuje, że cena baryłki ropy będzie prawdopodobnie wahać się w przedziale od </w:t>
      </w:r>
      <w:r w:rsidRPr="00297682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70 USD do nawet 100 USD</w:t>
      </w:r>
      <w:r w:rsidRPr="00274F89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  <w:t xml:space="preserve"> przez większą część 2024 roku.</w:t>
      </w:r>
      <w:r w:rsidRPr="00274F89">
        <w:rPr>
          <w:rStyle w:val="Odwoanieprzypisudolnego"/>
          <w:rFonts w:ascii="Arial" w:hAnsi="Arial" w:cs="Arial"/>
          <w:b/>
          <w:bCs/>
          <w:color w:val="000000" w:themeColor="text1"/>
          <w:sz w:val="20"/>
          <w:szCs w:val="20"/>
          <w:shd w:val="clear" w:color="auto" w:fill="FEFEFE"/>
        </w:rPr>
        <w:footnoteReference w:id="3"/>
      </w:r>
      <w:r w:rsidRPr="00274F89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  <w:t xml:space="preserve">  Aktualnie kosztuje około </w:t>
      </w:r>
      <w:r w:rsidR="00297682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  <w:t>79</w:t>
      </w:r>
      <w:r w:rsidRPr="00274F89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  <w:t xml:space="preserve"> USD za dolarów (stan </w:t>
      </w:r>
      <w:proofErr w:type="gramStart"/>
      <w:r w:rsidRPr="00274F89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  <w:t xml:space="preserve">na  </w:t>
      </w:r>
      <w:r w:rsidR="00297682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  <w:t>01</w:t>
      </w:r>
      <w:r w:rsidRPr="00274F89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  <w:t>.0</w:t>
      </w:r>
      <w:r w:rsidR="00297682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  <w:t>2</w:t>
      </w:r>
      <w:r w:rsidRPr="00274F89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  <w:t>.2024</w:t>
      </w:r>
      <w:proofErr w:type="gramEnd"/>
      <w:r w:rsidRPr="00274F89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  <w:t>).</w:t>
      </w:r>
      <w:r w:rsidRPr="00274F89">
        <w:rPr>
          <w:rStyle w:val="Odwoanieprzypisudolnego"/>
          <w:rFonts w:ascii="Arial" w:hAnsi="Arial" w:cs="Arial"/>
          <w:b/>
          <w:bCs/>
          <w:color w:val="000000" w:themeColor="text1"/>
          <w:sz w:val="20"/>
          <w:szCs w:val="20"/>
          <w:shd w:val="clear" w:color="auto" w:fill="FEFEFE"/>
        </w:rPr>
        <w:footnoteReference w:id="4"/>
      </w:r>
      <w:r w:rsidRPr="00274F89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  <w:t xml:space="preserve">, a już niewielkie zmiany ceny mogą przełożyć się na wyższą cenę paliwa.  </w:t>
      </w:r>
    </w:p>
    <w:p w14:paraId="2DF614CE" w14:textId="77777777" w:rsidR="00E362C0" w:rsidRPr="00AE5494" w:rsidRDefault="00E362C0" w:rsidP="00D620AB">
      <w:pPr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</w:pPr>
    </w:p>
    <w:p w14:paraId="5488E36C" w14:textId="77777777" w:rsidR="00E362C0" w:rsidRPr="00AC6B03" w:rsidRDefault="00E362C0" w:rsidP="00D620A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EFEFE"/>
        </w:rPr>
      </w:pPr>
      <w:r w:rsidRPr="00AE5494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-  </w:t>
      </w:r>
      <w:r w:rsidRPr="00AC6B03">
        <w:rPr>
          <w:rStyle w:val="Pogrubienie"/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  <w:shd w:val="clear" w:color="auto" w:fill="FEFEFE"/>
        </w:rPr>
        <w:t>Już widzimy na rodzimym podwórku, że ceny paliwa są wyższe niż jeszcze klika tygodni temu, a pochodną tych zmian jest również m.in. wzrost opłaty paliwowej w Polsce od początku roku, gdzie paliwo podrożało od 2 do 5 groszy za litr w zależności od wybranego rodzaju oleju napędowego. Nie inaczej jest również w innych krajach. Na przykład w ostatnim czasie na Węgrzech weszła zaplanowana podwyżka akcyzy od paliwa o około 0,08 euro za litr. Z kolei w Niemczech olej</w:t>
      </w:r>
      <w:r w:rsidRPr="00AE5494">
        <w:rPr>
          <w:rStyle w:val="Pogrubienie"/>
          <w:rFonts w:ascii="Arial" w:hAnsi="Arial" w:cs="Arial"/>
          <w:i/>
          <w:iCs/>
          <w:color w:val="000000" w:themeColor="text1"/>
          <w:sz w:val="20"/>
          <w:szCs w:val="20"/>
          <w:shd w:val="clear" w:color="auto" w:fill="FEFEFE"/>
        </w:rPr>
        <w:t xml:space="preserve"> </w:t>
      </w:r>
      <w:r w:rsidRPr="00AC6B03">
        <w:rPr>
          <w:rStyle w:val="Pogrubienie"/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  <w:shd w:val="clear" w:color="auto" w:fill="FEFEFE"/>
        </w:rPr>
        <w:t xml:space="preserve">napędowy również zdrożał, czego konsekwencją jest prawdopodobnie znacząca podwyżka podatku od emisji CO2, która od niedawna </w:t>
      </w:r>
      <w:r w:rsidRPr="00AC6B03">
        <w:rPr>
          <w:rStyle w:val="Pogrubienie"/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  <w:shd w:val="clear" w:color="auto" w:fill="FEFEFE"/>
        </w:rPr>
        <w:lastRenderedPageBreak/>
        <w:t xml:space="preserve">obowiązuje w tamtym regionie. Na to wszystko nakłada się również niestabilna sytuacja geopolityczna na Bliskim Wschodzie, która może ograniczyć produkcję i import ropy. Pozostaje więc pytanie o skalę ewentualnych dalszych wzrostów cen paliwa i jak one przełożą się na rentowność frachtów przewoźników – </w:t>
      </w:r>
      <w:r w:rsidRPr="00AC6B03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zaznacza</w:t>
      </w:r>
      <w:r w:rsidRPr="00AC6B03">
        <w:rPr>
          <w:rStyle w:val="Pogrubienie"/>
          <w:rFonts w:ascii="Arial" w:hAnsi="Arial" w:cs="Arial"/>
          <w:i/>
          <w:iCs/>
          <w:color w:val="000000" w:themeColor="text1"/>
          <w:sz w:val="20"/>
          <w:szCs w:val="20"/>
          <w:shd w:val="clear" w:color="auto" w:fill="FEFEFE"/>
        </w:rPr>
        <w:t xml:space="preserve"> </w:t>
      </w:r>
      <w:r w:rsidRPr="00AC6B03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Tomasz Góralewicz,</w:t>
      </w:r>
      <w:r w:rsidRPr="00AC6B03">
        <w:rPr>
          <w:rStyle w:val="Pogrubienie"/>
          <w:rFonts w:ascii="Arial" w:hAnsi="Arial" w:cs="Arial"/>
          <w:i/>
          <w:iCs/>
          <w:color w:val="000000" w:themeColor="text1"/>
          <w:sz w:val="20"/>
          <w:szCs w:val="20"/>
          <w:shd w:val="clear" w:color="auto" w:fill="FEFEFE"/>
        </w:rPr>
        <w:t xml:space="preserve"> </w:t>
      </w:r>
      <w:r w:rsidRPr="00AC6B0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EFEFE"/>
        </w:rPr>
        <w:t xml:space="preserve">Sales </w:t>
      </w:r>
      <w:proofErr w:type="spellStart"/>
      <w:r w:rsidRPr="00AC6B0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EFEFE"/>
        </w:rPr>
        <w:t>National</w:t>
      </w:r>
      <w:proofErr w:type="spellEnd"/>
      <w:r w:rsidRPr="00AC6B0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EFEFE"/>
        </w:rPr>
        <w:t xml:space="preserve"> Manager z polskiego oddziału Eurowag.</w:t>
      </w:r>
    </w:p>
    <w:p w14:paraId="2289961B" w14:textId="77777777" w:rsidR="00E362C0" w:rsidRDefault="00E362C0" w:rsidP="00D620A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EFEFE"/>
        </w:rPr>
      </w:pPr>
    </w:p>
    <w:p w14:paraId="1350448E" w14:textId="77777777" w:rsidR="00E362C0" w:rsidRPr="00AE5494" w:rsidRDefault="00E362C0" w:rsidP="00D620AB">
      <w:pPr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</w:pPr>
      <w:r w:rsidRPr="00AE5494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Z kolei Tomasz Czyż zauważa, że w temacie redukcji kosztów</w:t>
      </w:r>
      <w:r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transportowych</w:t>
      </w:r>
      <w:r w:rsidRPr="00AE5494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jednym z obszarów do za</w:t>
      </w:r>
      <w:r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opiekowania się jest </w:t>
      </w:r>
      <w:r w:rsidRPr="00AE5494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kwestia planowania </w:t>
      </w:r>
      <w:proofErr w:type="spellStart"/>
      <w:r w:rsidRPr="00AE5494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tankowań</w:t>
      </w:r>
      <w:proofErr w:type="spellEnd"/>
      <w:r w:rsidRPr="00AE5494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– </w:t>
      </w:r>
      <w:r w:rsidRPr="00AC6B03">
        <w:rPr>
          <w:rStyle w:val="Pogrubienie"/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  <w:shd w:val="clear" w:color="auto" w:fill="FEFEFE"/>
        </w:rPr>
        <w:t xml:space="preserve">W systemach TMS podczas planowania trasy można uwzględnić tankowania wraz z poglądem cen na stacjach lub bezpośrednio na portalach kart paliwowych. Dzięki temu możemy obserwować ceny w czasie rzeczywistym i na ich podstawie decydować, gdzie i ile litrów ma zatankować kierowca. Z kolei integracja telematyki z TMS-em pozwala na raportowanie wykonania tej czynności. Wtedy to kierowca na swoje zainstalowane urządzenie w pojeździe otrzymuje zadanie zatankowania, które następnie musi potwierdzić. A w perspektywie rosnących kosztów paliwa możliwość zaplanowania odpowiednio </w:t>
      </w:r>
      <w:proofErr w:type="spellStart"/>
      <w:r w:rsidRPr="00AC6B03">
        <w:rPr>
          <w:rStyle w:val="Pogrubienie"/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  <w:shd w:val="clear" w:color="auto" w:fill="FEFEFE"/>
        </w:rPr>
        <w:t>tankowań</w:t>
      </w:r>
      <w:proofErr w:type="spellEnd"/>
      <w:r w:rsidRPr="00AC6B03">
        <w:rPr>
          <w:rStyle w:val="Pogrubienie"/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  <w:shd w:val="clear" w:color="auto" w:fill="FEFEFE"/>
        </w:rPr>
        <w:t xml:space="preserve"> staje się kluczowa </w:t>
      </w:r>
      <w:r w:rsidRPr="00AE5494">
        <w:rPr>
          <w:rStyle w:val="Pogrubienie"/>
          <w:rFonts w:ascii="Arial" w:hAnsi="Arial" w:cs="Arial"/>
          <w:i/>
          <w:iCs/>
          <w:color w:val="000000" w:themeColor="text1"/>
          <w:sz w:val="20"/>
          <w:szCs w:val="20"/>
          <w:shd w:val="clear" w:color="auto" w:fill="FEFEFE"/>
        </w:rPr>
        <w:t>–</w:t>
      </w:r>
      <w:r w:rsidRPr="00AE5494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dodaje ekspert. </w:t>
      </w:r>
    </w:p>
    <w:p w14:paraId="0962BEA7" w14:textId="77777777" w:rsidR="00E362C0" w:rsidRPr="00AE5494" w:rsidRDefault="00E362C0" w:rsidP="00D620AB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EFEFE"/>
        </w:rPr>
      </w:pPr>
    </w:p>
    <w:p w14:paraId="2C38AF96" w14:textId="77777777" w:rsidR="00E362C0" w:rsidRPr="00AE5494" w:rsidRDefault="00E362C0" w:rsidP="00D620AB">
      <w:pPr>
        <w:jc w:val="both"/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r w:rsidRPr="00AE5494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Trend nr. 3 na 2024 – strategia przed wszystkim</w:t>
      </w:r>
    </w:p>
    <w:p w14:paraId="15B4D9B2" w14:textId="77777777" w:rsidR="00E362C0" w:rsidRPr="00AE5494" w:rsidRDefault="00E362C0" w:rsidP="00D620AB">
      <w:pPr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</w:pPr>
    </w:p>
    <w:p w14:paraId="56105116" w14:textId="77777777" w:rsidR="00E362C0" w:rsidRPr="00AC6B03" w:rsidRDefault="00E362C0" w:rsidP="00D620AB">
      <w:pPr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</w:pPr>
      <w:r w:rsidRPr="00AC6B03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  <w:t>Rok 2024 rozpoczął się znacznym podniesieniem przeciętnego prognozowanego wynagrodzenia –</w:t>
      </w:r>
      <w:r w:rsidRPr="00246C11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do 7 824 zł,</w:t>
      </w:r>
      <w:r w:rsidRPr="00AC6B03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  <w:t xml:space="preserve"> co oznacza, że przewoźników czekają kolejne podwyżki opłat. Tylko przemyślana strategia i odpowiednio rozplanowany budżet pomogą firmom przewozowym utrzymać stabilność finansową. </w:t>
      </w:r>
    </w:p>
    <w:p w14:paraId="4B03A783" w14:textId="77777777" w:rsidR="00E362C0" w:rsidRPr="00AE5494" w:rsidRDefault="00E362C0" w:rsidP="00D620AB">
      <w:pPr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</w:pPr>
    </w:p>
    <w:p w14:paraId="663E235B" w14:textId="1FC9DD36" w:rsidR="00E362C0" w:rsidRPr="00AE5494" w:rsidRDefault="007526B5" w:rsidP="00D620AB">
      <w:pPr>
        <w:jc w:val="both"/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r w:rsidRPr="007526B5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  <w:t>-</w:t>
      </w:r>
      <w:r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</w:t>
      </w:r>
      <w:r w:rsidR="00E362C0" w:rsidRPr="00256CB9">
        <w:rPr>
          <w:rFonts w:ascii="Arial" w:hAnsi="Arial" w:cs="Arial"/>
          <w:i/>
          <w:iCs/>
          <w:color w:val="000000"/>
          <w:sz w:val="20"/>
          <w:szCs w:val="20"/>
        </w:rPr>
        <w:t xml:space="preserve">Podniesienie progu przeciętnego prognozowanego wynagrodzenia powoduje najczęściej </w:t>
      </w:r>
      <w:r w:rsidR="00E362C0" w:rsidRPr="002A394F">
        <w:rPr>
          <w:rStyle w:val="Pogrubienie"/>
          <w:rFonts w:ascii="Arial" w:hAnsi="Arial" w:cs="Arial"/>
          <w:i/>
          <w:iCs/>
          <w:color w:val="000000" w:themeColor="text1"/>
          <w:sz w:val="20"/>
          <w:szCs w:val="20"/>
          <w:shd w:val="clear" w:color="auto" w:fill="FEFEFE"/>
        </w:rPr>
        <w:t>ponad 12 proc.</w:t>
      </w:r>
      <w:r w:rsidR="00E362C0" w:rsidRPr="00AE5494">
        <w:rPr>
          <w:rStyle w:val="Pogrubienie"/>
          <w:rFonts w:ascii="Arial" w:hAnsi="Arial" w:cs="Arial"/>
          <w:i/>
          <w:iCs/>
          <w:color w:val="000000" w:themeColor="text1"/>
          <w:sz w:val="20"/>
          <w:szCs w:val="20"/>
          <w:shd w:val="clear" w:color="auto" w:fill="FEFEFE"/>
        </w:rPr>
        <w:t xml:space="preserve"> </w:t>
      </w:r>
      <w:r w:rsidR="00E362C0" w:rsidRPr="00AC6B03">
        <w:rPr>
          <w:rStyle w:val="Pogrubienie"/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  <w:shd w:val="clear" w:color="auto" w:fill="FEFEFE"/>
        </w:rPr>
        <w:t>wzrost odprowadzanych składek od pensji dla pracodawców. Warto dodać, że firmy transportowe czeka ponownie dwukrotny wzrost minimalnego wynagrodzenia kierowców, który w wielu przypadkach oznacza podwyżkę również wynagrodzenia o 700 zł brutto. Pracodawcy jednak mogą zmniejszyć skalę tych kosztów, wprowadzając do swojej firmy odpowiednią strategię np. stosowanie zwrotu kosztów sanitariatów i odpowiednią strukturę wynagrodzenia</w:t>
      </w:r>
      <w:r w:rsidR="00E362C0">
        <w:rPr>
          <w:rStyle w:val="Pogrubienie"/>
          <w:rFonts w:ascii="Arial" w:hAnsi="Arial" w:cs="Arial"/>
          <w:i/>
          <w:iCs/>
          <w:color w:val="000000" w:themeColor="text1"/>
          <w:sz w:val="20"/>
          <w:szCs w:val="20"/>
          <w:shd w:val="clear" w:color="auto" w:fill="FEFEFE"/>
        </w:rPr>
        <w:t xml:space="preserve"> </w:t>
      </w:r>
      <w:r w:rsidR="00E362C0" w:rsidRPr="00AE5494">
        <w:rPr>
          <w:rStyle w:val="Pogrubienie"/>
          <w:rFonts w:ascii="Arial" w:hAnsi="Arial" w:cs="Arial"/>
          <w:i/>
          <w:iCs/>
          <w:color w:val="000000" w:themeColor="text1"/>
          <w:sz w:val="20"/>
          <w:szCs w:val="20"/>
          <w:shd w:val="clear" w:color="auto" w:fill="FEFEFE"/>
        </w:rPr>
        <w:t xml:space="preserve">– </w:t>
      </w:r>
      <w:r w:rsidR="00E362C0" w:rsidRPr="00AE5494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podkreśla Mateusz Włoch, ekspert Inelo z Grupy Eurowag </w:t>
      </w:r>
    </w:p>
    <w:p w14:paraId="78DF40EF" w14:textId="77777777" w:rsidR="00E362C0" w:rsidRPr="00AE5494" w:rsidRDefault="00E362C0" w:rsidP="00D620AB">
      <w:pPr>
        <w:jc w:val="both"/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14:paraId="27CAF9BA" w14:textId="77777777" w:rsidR="00E362C0" w:rsidRPr="00AE5494" w:rsidRDefault="00E362C0" w:rsidP="00D620AB">
      <w:pPr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</w:pPr>
      <w:r w:rsidRPr="00AE5494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Trend nr. 4 na 2024 – </w:t>
      </w:r>
      <w:r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coraz mniej manipulacji na drodze</w:t>
      </w:r>
    </w:p>
    <w:p w14:paraId="30DB1370" w14:textId="77777777" w:rsidR="00E362C0" w:rsidRPr="00AE5494" w:rsidRDefault="00E362C0" w:rsidP="00D620AB">
      <w:pPr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</w:pPr>
    </w:p>
    <w:p w14:paraId="5F85725F" w14:textId="1E382FAB" w:rsidR="00E362C0" w:rsidRPr="00EA7173" w:rsidRDefault="00E362C0" w:rsidP="00D620AB">
      <w:pPr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</w:pPr>
      <w:r w:rsidRPr="00EA7173"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  <w:t xml:space="preserve">W 2024 roku firmy transportowe czeka pierwsza, obowiązkowa wymiana tachografów, które mają na to czas do 31 grudnia. Będzie trzeba zastąpić tachografy analogowe i cyfrowe zamontowane przed 2019 roku w pojazdach przeznaczonych do transportu międzynarodowego na </w:t>
      </w:r>
      <w:r w:rsidRPr="007526B5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tachografy inteligentne drugiej wersji (G2V2)</w:t>
      </w:r>
      <w:r w:rsidR="007526B5"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.</w:t>
      </w:r>
    </w:p>
    <w:p w14:paraId="1D8199AE" w14:textId="77777777" w:rsidR="00E362C0" w:rsidRPr="00AE5494" w:rsidRDefault="00E362C0" w:rsidP="00D620AB">
      <w:pPr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EFEFE"/>
        </w:rPr>
      </w:pPr>
    </w:p>
    <w:p w14:paraId="0FF162A9" w14:textId="77777777" w:rsidR="00E362C0" w:rsidRPr="00AE5494" w:rsidRDefault="00E362C0" w:rsidP="00D620A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E5494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-  </w:t>
      </w:r>
      <w:r w:rsidRPr="00EA7173">
        <w:rPr>
          <w:rStyle w:val="Pogrubienie"/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  <w:shd w:val="clear" w:color="auto" w:fill="FEFEFE"/>
        </w:rPr>
        <w:t>Nie można zaktualizować dotychczasowo działających tachografów z racji tego, że najnowsze tachografy mają zupełnie inne wymagania dotyczące sygnału lokalizacji. Oznacza to, że konieczna jest ich fizyczna wymiana w pojedzie, którą przewoźnicy pokryją z własnej kieszeni</w:t>
      </w:r>
      <w:r w:rsidRPr="00EA7173">
        <w:rPr>
          <w:rStyle w:val="Pogrubienie"/>
          <w:rFonts w:ascii="Arial" w:hAnsi="Arial" w:cs="Arial"/>
          <w:i/>
          <w:iCs/>
          <w:color w:val="000000" w:themeColor="text1"/>
          <w:sz w:val="20"/>
          <w:szCs w:val="20"/>
          <w:shd w:val="clear" w:color="auto" w:fill="FEFEFE"/>
        </w:rPr>
        <w:t xml:space="preserve">. </w:t>
      </w:r>
      <w:r w:rsidRPr="00EA7173">
        <w:rPr>
          <w:rStyle w:val="Pogrubienie"/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  <w:shd w:val="clear" w:color="auto" w:fill="FEFEFE"/>
        </w:rPr>
        <w:t xml:space="preserve">Już teraz </w:t>
      </w:r>
      <w:r w:rsidRPr="00EA7173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EFEFE"/>
        </w:rPr>
        <w:t>wymiana tachografu wiąże się z kosztem co najmniej kilku tysięcy złotych i jest tym większa im starszy pojazd oraz im więcej komponentów trzeba wymienić lub dodać</w:t>
      </w:r>
      <w:r w:rsidRPr="00EA717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shd w:val="clear" w:color="auto" w:fill="FEFEFE"/>
        </w:rPr>
        <w:t xml:space="preserve">. </w:t>
      </w:r>
      <w:r w:rsidRPr="00EA7173">
        <w:rPr>
          <w:rStyle w:val="Pogrubienie"/>
          <w:rFonts w:ascii="Arial" w:hAnsi="Arial" w:cs="Arial"/>
          <w:b w:val="0"/>
          <w:bCs w:val="0"/>
          <w:i/>
          <w:iCs/>
          <w:color w:val="000000" w:themeColor="text1"/>
          <w:sz w:val="20"/>
          <w:szCs w:val="20"/>
          <w:shd w:val="clear" w:color="auto" w:fill="FEFEFE"/>
        </w:rPr>
        <w:t xml:space="preserve">Trzeba również pamiętać o tym, że pojazd musi pojawić się w warsztacie tachografów, co zajmuje czas, dlatego też całą procedurę wymiany dobrze jest zaplanować ze sporym wyprzedzeniem i najlepiej rozłożyć ją w czasie </w:t>
      </w:r>
      <w:r w:rsidRPr="00AE5494">
        <w:rPr>
          <w:rStyle w:val="Pogrubienie"/>
          <w:rFonts w:ascii="Arial" w:hAnsi="Arial" w:cs="Arial"/>
          <w:i/>
          <w:iCs/>
          <w:color w:val="000000" w:themeColor="text1"/>
          <w:sz w:val="20"/>
          <w:szCs w:val="20"/>
          <w:shd w:val="clear" w:color="auto" w:fill="FEFEFE"/>
        </w:rPr>
        <w:t xml:space="preserve">– </w:t>
      </w:r>
      <w:r w:rsidRPr="00AE5494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komentuje Mateusz Włoch, ekspert Inelo z Grupy Eurowag.</w:t>
      </w:r>
      <w:r w:rsidRPr="00AE5494">
        <w:rPr>
          <w:rStyle w:val="Pogrubienie"/>
          <w:rFonts w:ascii="Arial" w:hAnsi="Arial" w:cs="Arial"/>
          <w:i/>
          <w:iCs/>
          <w:color w:val="000000" w:themeColor="text1"/>
          <w:sz w:val="20"/>
          <w:szCs w:val="20"/>
          <w:shd w:val="clear" w:color="auto" w:fill="FEFEFE"/>
        </w:rPr>
        <w:t xml:space="preserve"> </w:t>
      </w:r>
    </w:p>
    <w:p w14:paraId="3A629495" w14:textId="77777777" w:rsidR="00E362C0" w:rsidRPr="00AE5494" w:rsidRDefault="00E362C0" w:rsidP="00D620A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A0BC1F" w14:textId="72EAF1E4" w:rsidR="00BE18CC" w:rsidRPr="00646B7C" w:rsidRDefault="00BE18CC" w:rsidP="002247CC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sectPr w:rsidR="00BE18CC" w:rsidRPr="00646B7C" w:rsidSect="00315411">
      <w:headerReference w:type="default" r:id="rId8"/>
      <w:footerReference w:type="default" r:id="rId9"/>
      <w:pgSz w:w="11906" w:h="16838"/>
      <w:pgMar w:top="1417" w:right="1133" w:bottom="1417" w:left="1417" w:header="885" w:footer="2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D13A" w14:textId="77777777" w:rsidR="00B758F7" w:rsidRDefault="00B758F7">
      <w:r>
        <w:separator/>
      </w:r>
    </w:p>
  </w:endnote>
  <w:endnote w:type="continuationSeparator" w:id="0">
    <w:p w14:paraId="650AE2D4" w14:textId="77777777" w:rsidR="00B758F7" w:rsidRDefault="00B7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B0604020202020204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D7BA" w14:textId="79008376" w:rsidR="00DD045B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8"/>
        <w:szCs w:val="18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3A0B659" wp14:editId="2E22681A">
          <wp:simplePos x="0" y="0"/>
          <wp:positionH relativeFrom="margin">
            <wp:posOffset>-1152525</wp:posOffset>
          </wp:positionH>
          <wp:positionV relativeFrom="margin">
            <wp:posOffset>8891905</wp:posOffset>
          </wp:positionV>
          <wp:extent cx="7814945" cy="1104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945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5D1">
      <w:rPr>
        <w:rFonts w:ascii="Arial" w:eastAsia="Minion Pro" w:hAnsi="Arial" w:cs="Minion Pro"/>
        <w:b/>
        <w:bCs/>
        <w:color w:val="1F4E79"/>
        <w:sz w:val="18"/>
        <w:szCs w:val="18"/>
      </w:rPr>
      <w:t>INELO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 </w:t>
    </w:r>
    <w:r w:rsidR="00DD045B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Polska </w:t>
    </w:r>
    <w:r w:rsidR="006E2B2F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s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półka z ogran</w:t>
    </w:r>
    <w:r w:rsidR="003607D8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iczoną odpowiedzialnością</w:t>
    </w:r>
  </w:p>
  <w:p w14:paraId="5EFCC9C5" w14:textId="58F551F6" w:rsidR="00067A35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8240" behindDoc="0" locked="0" layoutInCell="1" allowOverlap="1" wp14:anchorId="178029E9" wp14:editId="068FE29D">
          <wp:simplePos x="0" y="0"/>
          <wp:positionH relativeFrom="margin">
            <wp:posOffset>-572135</wp:posOffset>
          </wp:positionH>
          <wp:positionV relativeFrom="margin">
            <wp:posOffset>9958705</wp:posOffset>
          </wp:positionV>
          <wp:extent cx="7666990" cy="10795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7216" behindDoc="0" locked="0" layoutInCell="1" allowOverlap="1" wp14:anchorId="2AD47E40" wp14:editId="73AB5A7E">
          <wp:simplePos x="0" y="0"/>
          <wp:positionH relativeFrom="margin">
            <wp:posOffset>-724535</wp:posOffset>
          </wp:positionH>
          <wp:positionV relativeFrom="margin">
            <wp:posOffset>9806305</wp:posOffset>
          </wp:positionV>
          <wp:extent cx="7666990" cy="1079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ul. Karpacka 24/U2b, 43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300 Bielsko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Biała 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• REGON: 356687662 • NIP: 551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23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463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• tel.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 xml:space="preserve">+48 33 496 58 71, </w:t>
    </w:r>
  </w:p>
  <w:p w14:paraId="22D5642F" w14:textId="77777777" w:rsidR="00474E49" w:rsidRPr="00D026C1" w:rsidRDefault="00474E49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 xml:space="preserve">fax. +48 33 496 58 71 </w:t>
    </w:r>
    <w:proofErr w:type="spellStart"/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wew</w:t>
    </w:r>
    <w:proofErr w:type="spellEnd"/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 111 • e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–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mail: biuro@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 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 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GBOX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67D5" w14:textId="77777777" w:rsidR="00B758F7" w:rsidRDefault="00B758F7">
      <w:r>
        <w:rPr>
          <w:color w:val="000000"/>
        </w:rPr>
        <w:separator/>
      </w:r>
    </w:p>
  </w:footnote>
  <w:footnote w:type="continuationSeparator" w:id="0">
    <w:p w14:paraId="792EE32B" w14:textId="77777777" w:rsidR="00B758F7" w:rsidRDefault="00B758F7">
      <w:r>
        <w:continuationSeparator/>
      </w:r>
    </w:p>
  </w:footnote>
  <w:footnote w:id="1">
    <w:p w14:paraId="3A4EA8E5" w14:textId="77777777" w:rsidR="00E362C0" w:rsidRPr="00E91FAF" w:rsidRDefault="00E362C0" w:rsidP="00E362C0">
      <w:pPr>
        <w:pStyle w:val="Tekstprzypisudolnego"/>
        <w:rPr>
          <w:rFonts w:ascii="Arial" w:hAnsi="Arial" w:cs="Arial"/>
          <w:sz w:val="18"/>
          <w:szCs w:val="18"/>
        </w:rPr>
      </w:pPr>
      <w:r w:rsidRPr="00E91FA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91FAF">
        <w:rPr>
          <w:rFonts w:ascii="Arial" w:hAnsi="Arial" w:cs="Arial"/>
          <w:sz w:val="18"/>
          <w:szCs w:val="18"/>
        </w:rPr>
        <w:t xml:space="preserve"> Raport Rynek transportowo-logistyczny w Europie”, Trans.eu</w:t>
      </w:r>
    </w:p>
  </w:footnote>
  <w:footnote w:id="2">
    <w:p w14:paraId="7309844D" w14:textId="30C2C466" w:rsidR="001E4AA2" w:rsidRPr="001E4AA2" w:rsidRDefault="00E362C0" w:rsidP="00E362C0">
      <w:pPr>
        <w:pStyle w:val="Tekstprzypisudolnego"/>
      </w:pPr>
      <w:r w:rsidRPr="00E91FA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91FAF">
        <w:rPr>
          <w:rFonts w:ascii="Arial" w:hAnsi="Arial" w:cs="Arial"/>
          <w:sz w:val="18"/>
          <w:szCs w:val="18"/>
        </w:rPr>
        <w:t xml:space="preserve"> Tamże.</w:t>
      </w:r>
      <w:r>
        <w:t xml:space="preserve"> </w:t>
      </w:r>
    </w:p>
  </w:footnote>
  <w:footnote w:id="3">
    <w:p w14:paraId="75C85D80" w14:textId="3F7DAE1D" w:rsidR="001E4AA2" w:rsidRPr="001E4AA2" w:rsidRDefault="00E362C0" w:rsidP="00E362C0">
      <w:pPr>
        <w:pStyle w:val="Tekstprzypisudolnego"/>
        <w:rPr>
          <w:rFonts w:ascii="Arial" w:hAnsi="Arial" w:cs="Arial"/>
          <w:sz w:val="18"/>
          <w:szCs w:val="18"/>
          <w:lang w:val="en-US"/>
        </w:rPr>
      </w:pPr>
      <w:r w:rsidRPr="001E4A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E4AA2">
        <w:rPr>
          <w:rFonts w:ascii="Arial" w:hAnsi="Arial" w:cs="Arial"/>
          <w:sz w:val="18"/>
          <w:szCs w:val="18"/>
          <w:lang w:val="en-US"/>
        </w:rPr>
        <w:t xml:space="preserve"> </w:t>
      </w:r>
      <w:r w:rsidR="001E4AA2" w:rsidRPr="001E4AA2">
        <w:rPr>
          <w:rFonts w:ascii="Arial" w:hAnsi="Arial" w:cs="Arial"/>
          <w:sz w:val="18"/>
          <w:szCs w:val="18"/>
          <w:lang w:val="en-US"/>
        </w:rPr>
        <w:t>Oil prices are forecast to trade between $70 and $100 a barrel in 2024</w:t>
      </w:r>
      <w:r w:rsidR="001E4AA2">
        <w:rPr>
          <w:rFonts w:ascii="Arial" w:hAnsi="Arial" w:cs="Arial"/>
          <w:sz w:val="18"/>
          <w:szCs w:val="18"/>
          <w:lang w:val="en-US"/>
        </w:rPr>
        <w:t>, Goldmansachs.com</w:t>
      </w:r>
    </w:p>
  </w:footnote>
  <w:footnote w:id="4">
    <w:p w14:paraId="5C2434B0" w14:textId="231E6245" w:rsidR="00E362C0" w:rsidRPr="001E4AA2" w:rsidRDefault="00E362C0" w:rsidP="00E362C0">
      <w:pPr>
        <w:pStyle w:val="Tekstprzypisudolnego"/>
      </w:pPr>
      <w:r w:rsidRPr="00E91FA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E4AA2">
        <w:rPr>
          <w:rFonts w:ascii="Arial" w:hAnsi="Arial" w:cs="Arial"/>
          <w:sz w:val="18"/>
          <w:szCs w:val="18"/>
        </w:rPr>
        <w:t xml:space="preserve"> </w:t>
      </w:r>
      <w:r w:rsidR="001E4AA2" w:rsidRPr="001E4AA2">
        <w:rPr>
          <w:rFonts w:ascii="Arial" w:hAnsi="Arial" w:cs="Arial"/>
          <w:sz w:val="18"/>
          <w:szCs w:val="18"/>
        </w:rPr>
        <w:t xml:space="preserve">Kontrakty terminowe na </w:t>
      </w:r>
      <w:proofErr w:type="spellStart"/>
      <w:r w:rsidR="001E4AA2" w:rsidRPr="001E4AA2">
        <w:rPr>
          <w:rFonts w:ascii="Arial" w:hAnsi="Arial" w:cs="Arial"/>
          <w:sz w:val="18"/>
          <w:szCs w:val="18"/>
        </w:rPr>
        <w:t>rope</w:t>
      </w:r>
      <w:proofErr w:type="spellEnd"/>
      <w:r w:rsidR="001E4AA2" w:rsidRPr="001E4AA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E4AA2" w:rsidRPr="001E4AA2">
        <w:rPr>
          <w:rFonts w:ascii="Arial" w:hAnsi="Arial" w:cs="Arial"/>
          <w:sz w:val="18"/>
          <w:szCs w:val="18"/>
        </w:rPr>
        <w:t>Brent</w:t>
      </w:r>
      <w:proofErr w:type="spellEnd"/>
      <w:r w:rsidR="001E4AA2" w:rsidRPr="001E4AA2">
        <w:rPr>
          <w:rFonts w:ascii="Arial" w:hAnsi="Arial" w:cs="Arial"/>
          <w:sz w:val="18"/>
          <w:szCs w:val="18"/>
        </w:rPr>
        <w:t xml:space="preserve">, </w:t>
      </w:r>
      <w:r w:rsidR="001E4AA2">
        <w:rPr>
          <w:rFonts w:ascii="Arial" w:hAnsi="Arial" w:cs="Arial"/>
          <w:sz w:val="18"/>
          <w:szCs w:val="18"/>
        </w:rPr>
        <w:t>Investing.com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880C" w14:textId="52A497BC" w:rsidR="0029326A" w:rsidRDefault="00D97B77" w:rsidP="0008375F">
    <w:pPr>
      <w:pStyle w:val="Nagwek"/>
      <w:tabs>
        <w:tab w:val="left" w:pos="2580"/>
      </w:tabs>
    </w:pPr>
    <w:r>
      <w:rPr>
        <w:noProof/>
        <w:lang w:eastAsia="pl-PL" w:bidi="ar-SA"/>
      </w:rPr>
      <w:drawing>
        <wp:anchor distT="0" distB="0" distL="114300" distR="114300" simplePos="0" relativeHeight="251656192" behindDoc="0" locked="0" layoutInCell="1" allowOverlap="1" wp14:anchorId="529C812C" wp14:editId="215EF332">
          <wp:simplePos x="0" y="0"/>
          <wp:positionH relativeFrom="margin">
            <wp:posOffset>2172335</wp:posOffset>
          </wp:positionH>
          <wp:positionV relativeFrom="margin">
            <wp:posOffset>-583565</wp:posOffset>
          </wp:positionV>
          <wp:extent cx="3336290" cy="25654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29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914593D" wp14:editId="41DCABFF">
          <wp:simplePos x="0" y="0"/>
          <wp:positionH relativeFrom="margin">
            <wp:posOffset>-1064895</wp:posOffset>
          </wp:positionH>
          <wp:positionV relativeFrom="margin">
            <wp:posOffset>-987425</wp:posOffset>
          </wp:positionV>
          <wp:extent cx="7752080" cy="90678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5168" behindDoc="0" locked="0" layoutInCell="1" allowOverlap="1" wp14:anchorId="7CB05458" wp14:editId="220CA25F">
          <wp:simplePos x="0" y="0"/>
          <wp:positionH relativeFrom="margin">
            <wp:posOffset>-387350</wp:posOffset>
          </wp:positionH>
          <wp:positionV relativeFrom="margin">
            <wp:posOffset>-800100</wp:posOffset>
          </wp:positionV>
          <wp:extent cx="868680" cy="67056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122"/>
    <w:multiLevelType w:val="multilevel"/>
    <w:tmpl w:val="854AF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8379A"/>
    <w:multiLevelType w:val="hybridMultilevel"/>
    <w:tmpl w:val="89DAF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6BA8"/>
    <w:multiLevelType w:val="hybridMultilevel"/>
    <w:tmpl w:val="D20A4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2E64"/>
    <w:multiLevelType w:val="multilevel"/>
    <w:tmpl w:val="F1F28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50A8B"/>
    <w:multiLevelType w:val="multilevel"/>
    <w:tmpl w:val="362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811ED5"/>
    <w:multiLevelType w:val="multilevel"/>
    <w:tmpl w:val="2596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D075D"/>
    <w:multiLevelType w:val="multilevel"/>
    <w:tmpl w:val="558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D92BF0"/>
    <w:multiLevelType w:val="multilevel"/>
    <w:tmpl w:val="96C8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2E636D"/>
    <w:multiLevelType w:val="multilevel"/>
    <w:tmpl w:val="0AF0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8618BA"/>
    <w:multiLevelType w:val="multilevel"/>
    <w:tmpl w:val="88409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0A472F"/>
    <w:multiLevelType w:val="multilevel"/>
    <w:tmpl w:val="51660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EB5A9A"/>
    <w:multiLevelType w:val="multilevel"/>
    <w:tmpl w:val="384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E22AAF"/>
    <w:multiLevelType w:val="hybridMultilevel"/>
    <w:tmpl w:val="799E1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FD5A09"/>
    <w:multiLevelType w:val="hybridMultilevel"/>
    <w:tmpl w:val="93C46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E5585"/>
    <w:multiLevelType w:val="multilevel"/>
    <w:tmpl w:val="187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8D56F9"/>
    <w:multiLevelType w:val="multilevel"/>
    <w:tmpl w:val="CEA40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2D770C"/>
    <w:multiLevelType w:val="multilevel"/>
    <w:tmpl w:val="C2F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676472"/>
    <w:multiLevelType w:val="multilevel"/>
    <w:tmpl w:val="4A503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FC381E"/>
    <w:multiLevelType w:val="multilevel"/>
    <w:tmpl w:val="0A12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540A52"/>
    <w:multiLevelType w:val="multilevel"/>
    <w:tmpl w:val="4436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CA315B"/>
    <w:multiLevelType w:val="multilevel"/>
    <w:tmpl w:val="598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284D9A"/>
    <w:multiLevelType w:val="multilevel"/>
    <w:tmpl w:val="BE9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3933CC"/>
    <w:multiLevelType w:val="multilevel"/>
    <w:tmpl w:val="8C1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E161C5"/>
    <w:multiLevelType w:val="multilevel"/>
    <w:tmpl w:val="212E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E21A7E"/>
    <w:multiLevelType w:val="multilevel"/>
    <w:tmpl w:val="F85E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205F9E"/>
    <w:multiLevelType w:val="multilevel"/>
    <w:tmpl w:val="D482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FF551A"/>
    <w:multiLevelType w:val="hybridMultilevel"/>
    <w:tmpl w:val="2C40DB3A"/>
    <w:lvl w:ilvl="0" w:tplc="4342B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5722C"/>
    <w:multiLevelType w:val="hybridMultilevel"/>
    <w:tmpl w:val="61906906"/>
    <w:lvl w:ilvl="0" w:tplc="AB04645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B0F5B"/>
    <w:multiLevelType w:val="multilevel"/>
    <w:tmpl w:val="8AB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D930CF"/>
    <w:multiLevelType w:val="multilevel"/>
    <w:tmpl w:val="7950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EA376D7"/>
    <w:multiLevelType w:val="multilevel"/>
    <w:tmpl w:val="B15E1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54401573">
    <w:abstractNumId w:val="1"/>
  </w:num>
  <w:num w:numId="2" w16cid:durableId="729813862">
    <w:abstractNumId w:val="2"/>
  </w:num>
  <w:num w:numId="3" w16cid:durableId="1253662900">
    <w:abstractNumId w:val="12"/>
  </w:num>
  <w:num w:numId="4" w16cid:durableId="317611413">
    <w:abstractNumId w:val="26"/>
  </w:num>
  <w:num w:numId="5" w16cid:durableId="116413236">
    <w:abstractNumId w:val="13"/>
  </w:num>
  <w:num w:numId="6" w16cid:durableId="1106383916">
    <w:abstractNumId w:val="15"/>
  </w:num>
  <w:num w:numId="7" w16cid:durableId="2019382368">
    <w:abstractNumId w:val="0"/>
  </w:num>
  <w:num w:numId="8" w16cid:durableId="32778959">
    <w:abstractNumId w:val="10"/>
  </w:num>
  <w:num w:numId="9" w16cid:durableId="83042235">
    <w:abstractNumId w:val="9"/>
  </w:num>
  <w:num w:numId="10" w16cid:durableId="1401635920">
    <w:abstractNumId w:val="7"/>
  </w:num>
  <w:num w:numId="11" w16cid:durableId="531529017">
    <w:abstractNumId w:val="19"/>
  </w:num>
  <w:num w:numId="12" w16cid:durableId="1014845797">
    <w:abstractNumId w:val="23"/>
  </w:num>
  <w:num w:numId="13" w16cid:durableId="2046901365">
    <w:abstractNumId w:val="22"/>
  </w:num>
  <w:num w:numId="14" w16cid:durableId="871192330">
    <w:abstractNumId w:val="28"/>
  </w:num>
  <w:num w:numId="15" w16cid:durableId="1246496975">
    <w:abstractNumId w:val="20"/>
  </w:num>
  <w:num w:numId="16" w16cid:durableId="1439983794">
    <w:abstractNumId w:val="24"/>
  </w:num>
  <w:num w:numId="17" w16cid:durableId="994649018">
    <w:abstractNumId w:val="6"/>
  </w:num>
  <w:num w:numId="18" w16cid:durableId="1039665304">
    <w:abstractNumId w:val="14"/>
  </w:num>
  <w:num w:numId="19" w16cid:durableId="1334262881">
    <w:abstractNumId w:val="21"/>
  </w:num>
  <w:num w:numId="20" w16cid:durableId="598413045">
    <w:abstractNumId w:val="29"/>
  </w:num>
  <w:num w:numId="21" w16cid:durableId="1809012291">
    <w:abstractNumId w:val="18"/>
  </w:num>
  <w:num w:numId="22" w16cid:durableId="1869637317">
    <w:abstractNumId w:val="4"/>
  </w:num>
  <w:num w:numId="23" w16cid:durableId="1077628420">
    <w:abstractNumId w:val="25"/>
  </w:num>
  <w:num w:numId="24" w16cid:durableId="1793553449">
    <w:abstractNumId w:val="8"/>
  </w:num>
  <w:num w:numId="25" w16cid:durableId="1017928731">
    <w:abstractNumId w:val="3"/>
  </w:num>
  <w:num w:numId="26" w16cid:durableId="494104453">
    <w:abstractNumId w:val="11"/>
  </w:num>
  <w:num w:numId="27" w16cid:durableId="1899247691">
    <w:abstractNumId w:val="17"/>
  </w:num>
  <w:num w:numId="28" w16cid:durableId="268128717">
    <w:abstractNumId w:val="27"/>
  </w:num>
  <w:num w:numId="29" w16cid:durableId="1075589165">
    <w:abstractNumId w:val="30"/>
  </w:num>
  <w:num w:numId="30" w16cid:durableId="1569657748">
    <w:abstractNumId w:val="5"/>
  </w:num>
  <w:num w:numId="31" w16cid:durableId="14061429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E2"/>
    <w:rsid w:val="00000299"/>
    <w:rsid w:val="00013F82"/>
    <w:rsid w:val="00015144"/>
    <w:rsid w:val="00026D7C"/>
    <w:rsid w:val="00027D50"/>
    <w:rsid w:val="00037D37"/>
    <w:rsid w:val="0005535C"/>
    <w:rsid w:val="00067A35"/>
    <w:rsid w:val="00073A93"/>
    <w:rsid w:val="00074FFF"/>
    <w:rsid w:val="00083414"/>
    <w:rsid w:val="0008375F"/>
    <w:rsid w:val="0008550B"/>
    <w:rsid w:val="00086A45"/>
    <w:rsid w:val="00091752"/>
    <w:rsid w:val="000919D0"/>
    <w:rsid w:val="00093E1E"/>
    <w:rsid w:val="0009588E"/>
    <w:rsid w:val="000A78DB"/>
    <w:rsid w:val="000C7E32"/>
    <w:rsid w:val="000E0718"/>
    <w:rsid w:val="000E230A"/>
    <w:rsid w:val="000E7686"/>
    <w:rsid w:val="000F56A8"/>
    <w:rsid w:val="0010461F"/>
    <w:rsid w:val="00106AB4"/>
    <w:rsid w:val="001070F3"/>
    <w:rsid w:val="001071CA"/>
    <w:rsid w:val="00111799"/>
    <w:rsid w:val="001126A1"/>
    <w:rsid w:val="00114605"/>
    <w:rsid w:val="00122DB1"/>
    <w:rsid w:val="001305D1"/>
    <w:rsid w:val="00134E4C"/>
    <w:rsid w:val="00135BB6"/>
    <w:rsid w:val="001444CD"/>
    <w:rsid w:val="001447E3"/>
    <w:rsid w:val="00161448"/>
    <w:rsid w:val="001642CF"/>
    <w:rsid w:val="0017514D"/>
    <w:rsid w:val="00184A79"/>
    <w:rsid w:val="001A37E9"/>
    <w:rsid w:val="001A6266"/>
    <w:rsid w:val="001B22D2"/>
    <w:rsid w:val="001B4C81"/>
    <w:rsid w:val="001C16C5"/>
    <w:rsid w:val="001C5272"/>
    <w:rsid w:val="001D194A"/>
    <w:rsid w:val="001D503A"/>
    <w:rsid w:val="001D6DB3"/>
    <w:rsid w:val="001E4AA2"/>
    <w:rsid w:val="001F3F17"/>
    <w:rsid w:val="00200B62"/>
    <w:rsid w:val="00203395"/>
    <w:rsid w:val="0020476F"/>
    <w:rsid w:val="00222EEF"/>
    <w:rsid w:val="002247CC"/>
    <w:rsid w:val="002305CB"/>
    <w:rsid w:val="002317CF"/>
    <w:rsid w:val="002358EB"/>
    <w:rsid w:val="002359F3"/>
    <w:rsid w:val="00240E42"/>
    <w:rsid w:val="0024574D"/>
    <w:rsid w:val="00245E12"/>
    <w:rsid w:val="00246BD1"/>
    <w:rsid w:val="00246C11"/>
    <w:rsid w:val="002471EE"/>
    <w:rsid w:val="00274F89"/>
    <w:rsid w:val="002831D9"/>
    <w:rsid w:val="0029028A"/>
    <w:rsid w:val="00292C95"/>
    <w:rsid w:val="0029326A"/>
    <w:rsid w:val="00297682"/>
    <w:rsid w:val="002A11F9"/>
    <w:rsid w:val="002A1E5E"/>
    <w:rsid w:val="002A4928"/>
    <w:rsid w:val="002A512F"/>
    <w:rsid w:val="002A548A"/>
    <w:rsid w:val="002A6E6D"/>
    <w:rsid w:val="002A7E6C"/>
    <w:rsid w:val="002B022E"/>
    <w:rsid w:val="002B539A"/>
    <w:rsid w:val="002C15AC"/>
    <w:rsid w:val="002C52F9"/>
    <w:rsid w:val="002C7980"/>
    <w:rsid w:val="002D3316"/>
    <w:rsid w:val="002D3722"/>
    <w:rsid w:val="002D524C"/>
    <w:rsid w:val="002E3635"/>
    <w:rsid w:val="002E4B7C"/>
    <w:rsid w:val="00306AC9"/>
    <w:rsid w:val="00315411"/>
    <w:rsid w:val="003334E2"/>
    <w:rsid w:val="003338E3"/>
    <w:rsid w:val="003359C6"/>
    <w:rsid w:val="0033619F"/>
    <w:rsid w:val="00353F7D"/>
    <w:rsid w:val="00360355"/>
    <w:rsid w:val="003607D8"/>
    <w:rsid w:val="00363D21"/>
    <w:rsid w:val="00366C3D"/>
    <w:rsid w:val="00367B9A"/>
    <w:rsid w:val="003767F3"/>
    <w:rsid w:val="00380BC5"/>
    <w:rsid w:val="00382BC9"/>
    <w:rsid w:val="003C6011"/>
    <w:rsid w:val="003D57B4"/>
    <w:rsid w:val="003E64CB"/>
    <w:rsid w:val="003F2534"/>
    <w:rsid w:val="003F4EA2"/>
    <w:rsid w:val="0041481D"/>
    <w:rsid w:val="00414EF9"/>
    <w:rsid w:val="00424CF7"/>
    <w:rsid w:val="00427659"/>
    <w:rsid w:val="0043086D"/>
    <w:rsid w:val="00460344"/>
    <w:rsid w:val="00462FC4"/>
    <w:rsid w:val="00465682"/>
    <w:rsid w:val="00467BA3"/>
    <w:rsid w:val="00472063"/>
    <w:rsid w:val="00474E49"/>
    <w:rsid w:val="004777D5"/>
    <w:rsid w:val="00481E35"/>
    <w:rsid w:val="00483E99"/>
    <w:rsid w:val="004A004A"/>
    <w:rsid w:val="004A42FC"/>
    <w:rsid w:val="004B4A1A"/>
    <w:rsid w:val="004C0B07"/>
    <w:rsid w:val="004C2980"/>
    <w:rsid w:val="004C6A1A"/>
    <w:rsid w:val="004D2437"/>
    <w:rsid w:val="004D3716"/>
    <w:rsid w:val="004F347E"/>
    <w:rsid w:val="004F53FC"/>
    <w:rsid w:val="004F774D"/>
    <w:rsid w:val="00501BEC"/>
    <w:rsid w:val="00501EAC"/>
    <w:rsid w:val="00503178"/>
    <w:rsid w:val="00506494"/>
    <w:rsid w:val="00512FE8"/>
    <w:rsid w:val="00513142"/>
    <w:rsid w:val="005141D7"/>
    <w:rsid w:val="00515D70"/>
    <w:rsid w:val="00515DA8"/>
    <w:rsid w:val="005203AF"/>
    <w:rsid w:val="00522152"/>
    <w:rsid w:val="00525EE5"/>
    <w:rsid w:val="00527A5F"/>
    <w:rsid w:val="0053311D"/>
    <w:rsid w:val="00540A1B"/>
    <w:rsid w:val="00541914"/>
    <w:rsid w:val="005459D0"/>
    <w:rsid w:val="00553477"/>
    <w:rsid w:val="005570C8"/>
    <w:rsid w:val="00561353"/>
    <w:rsid w:val="00572E2F"/>
    <w:rsid w:val="00573B02"/>
    <w:rsid w:val="0058483C"/>
    <w:rsid w:val="00585393"/>
    <w:rsid w:val="00591595"/>
    <w:rsid w:val="005977A5"/>
    <w:rsid w:val="005A0599"/>
    <w:rsid w:val="005B2E65"/>
    <w:rsid w:val="005B792A"/>
    <w:rsid w:val="005C001D"/>
    <w:rsid w:val="005C2555"/>
    <w:rsid w:val="005C457C"/>
    <w:rsid w:val="005C7983"/>
    <w:rsid w:val="005D0F89"/>
    <w:rsid w:val="005F0880"/>
    <w:rsid w:val="00602012"/>
    <w:rsid w:val="006248F6"/>
    <w:rsid w:val="00646B7C"/>
    <w:rsid w:val="00650B56"/>
    <w:rsid w:val="00656100"/>
    <w:rsid w:val="006717A0"/>
    <w:rsid w:val="0067652A"/>
    <w:rsid w:val="00676640"/>
    <w:rsid w:val="00683FD6"/>
    <w:rsid w:val="00685FEF"/>
    <w:rsid w:val="00687FA2"/>
    <w:rsid w:val="0069254A"/>
    <w:rsid w:val="006928FC"/>
    <w:rsid w:val="006B3183"/>
    <w:rsid w:val="006D6CCB"/>
    <w:rsid w:val="006D6D9F"/>
    <w:rsid w:val="006E2844"/>
    <w:rsid w:val="006E2B2F"/>
    <w:rsid w:val="006E3A4D"/>
    <w:rsid w:val="006E6CE8"/>
    <w:rsid w:val="006F5016"/>
    <w:rsid w:val="00702606"/>
    <w:rsid w:val="00702B2F"/>
    <w:rsid w:val="00707362"/>
    <w:rsid w:val="00715F87"/>
    <w:rsid w:val="00720798"/>
    <w:rsid w:val="00726391"/>
    <w:rsid w:val="00730E36"/>
    <w:rsid w:val="00741D33"/>
    <w:rsid w:val="00743AA1"/>
    <w:rsid w:val="007467C2"/>
    <w:rsid w:val="00751B0E"/>
    <w:rsid w:val="007526B5"/>
    <w:rsid w:val="00752F77"/>
    <w:rsid w:val="00755658"/>
    <w:rsid w:val="00765DF2"/>
    <w:rsid w:val="007703DC"/>
    <w:rsid w:val="0077498B"/>
    <w:rsid w:val="00783772"/>
    <w:rsid w:val="007A11C9"/>
    <w:rsid w:val="007A2CDE"/>
    <w:rsid w:val="007A4718"/>
    <w:rsid w:val="007A5A8E"/>
    <w:rsid w:val="007A6DD7"/>
    <w:rsid w:val="007A7E7E"/>
    <w:rsid w:val="007B7F42"/>
    <w:rsid w:val="007C0F53"/>
    <w:rsid w:val="007C252B"/>
    <w:rsid w:val="007C4339"/>
    <w:rsid w:val="007E1D87"/>
    <w:rsid w:val="007F498E"/>
    <w:rsid w:val="007F7B58"/>
    <w:rsid w:val="0080644A"/>
    <w:rsid w:val="00806F06"/>
    <w:rsid w:val="00817D19"/>
    <w:rsid w:val="008304EC"/>
    <w:rsid w:val="00830E7F"/>
    <w:rsid w:val="00843935"/>
    <w:rsid w:val="00852989"/>
    <w:rsid w:val="00865B7F"/>
    <w:rsid w:val="00866D76"/>
    <w:rsid w:val="00876395"/>
    <w:rsid w:val="00887729"/>
    <w:rsid w:val="00890470"/>
    <w:rsid w:val="00893161"/>
    <w:rsid w:val="0089512D"/>
    <w:rsid w:val="00895591"/>
    <w:rsid w:val="008A2577"/>
    <w:rsid w:val="008D2EF5"/>
    <w:rsid w:val="008D3F89"/>
    <w:rsid w:val="008E24E4"/>
    <w:rsid w:val="008F5220"/>
    <w:rsid w:val="008F5253"/>
    <w:rsid w:val="009026C5"/>
    <w:rsid w:val="00904270"/>
    <w:rsid w:val="009045D1"/>
    <w:rsid w:val="00905BBF"/>
    <w:rsid w:val="00911E91"/>
    <w:rsid w:val="00917EAA"/>
    <w:rsid w:val="009241E1"/>
    <w:rsid w:val="00931491"/>
    <w:rsid w:val="00936C2C"/>
    <w:rsid w:val="0094464A"/>
    <w:rsid w:val="00944F8B"/>
    <w:rsid w:val="009465AA"/>
    <w:rsid w:val="0094683B"/>
    <w:rsid w:val="00947B17"/>
    <w:rsid w:val="00992E4A"/>
    <w:rsid w:val="00996027"/>
    <w:rsid w:val="00996CE4"/>
    <w:rsid w:val="009A7A1D"/>
    <w:rsid w:val="009B2029"/>
    <w:rsid w:val="009B2A1C"/>
    <w:rsid w:val="009D166F"/>
    <w:rsid w:val="009D45F6"/>
    <w:rsid w:val="009D6B13"/>
    <w:rsid w:val="009F37C4"/>
    <w:rsid w:val="00A07C1B"/>
    <w:rsid w:val="00A10185"/>
    <w:rsid w:val="00A23C68"/>
    <w:rsid w:val="00A2772B"/>
    <w:rsid w:val="00A303C3"/>
    <w:rsid w:val="00A304EE"/>
    <w:rsid w:val="00A31EE9"/>
    <w:rsid w:val="00A32E6E"/>
    <w:rsid w:val="00A46F76"/>
    <w:rsid w:val="00A5162B"/>
    <w:rsid w:val="00A520B6"/>
    <w:rsid w:val="00A644A2"/>
    <w:rsid w:val="00A71656"/>
    <w:rsid w:val="00A71A39"/>
    <w:rsid w:val="00A901DB"/>
    <w:rsid w:val="00A97D26"/>
    <w:rsid w:val="00AA35E2"/>
    <w:rsid w:val="00AB2221"/>
    <w:rsid w:val="00AB2554"/>
    <w:rsid w:val="00AB2EFA"/>
    <w:rsid w:val="00AC03E1"/>
    <w:rsid w:val="00AC1A93"/>
    <w:rsid w:val="00AC46A1"/>
    <w:rsid w:val="00AC6B03"/>
    <w:rsid w:val="00AD0B4E"/>
    <w:rsid w:val="00AD0BAF"/>
    <w:rsid w:val="00AD6B20"/>
    <w:rsid w:val="00B21D43"/>
    <w:rsid w:val="00B23163"/>
    <w:rsid w:val="00B274D9"/>
    <w:rsid w:val="00B33073"/>
    <w:rsid w:val="00B34C92"/>
    <w:rsid w:val="00B366E3"/>
    <w:rsid w:val="00B3731F"/>
    <w:rsid w:val="00B41FFD"/>
    <w:rsid w:val="00B51129"/>
    <w:rsid w:val="00B54470"/>
    <w:rsid w:val="00B6176E"/>
    <w:rsid w:val="00B73F38"/>
    <w:rsid w:val="00B758F7"/>
    <w:rsid w:val="00B7794E"/>
    <w:rsid w:val="00B84891"/>
    <w:rsid w:val="00B852C6"/>
    <w:rsid w:val="00B9140B"/>
    <w:rsid w:val="00B96298"/>
    <w:rsid w:val="00BB49F0"/>
    <w:rsid w:val="00BB61C3"/>
    <w:rsid w:val="00BC3068"/>
    <w:rsid w:val="00BD0EEE"/>
    <w:rsid w:val="00BE18CC"/>
    <w:rsid w:val="00BE7F5B"/>
    <w:rsid w:val="00BF0167"/>
    <w:rsid w:val="00BF39FD"/>
    <w:rsid w:val="00C02A8F"/>
    <w:rsid w:val="00C1030A"/>
    <w:rsid w:val="00C132C8"/>
    <w:rsid w:val="00C20D1D"/>
    <w:rsid w:val="00C36C40"/>
    <w:rsid w:val="00C40B04"/>
    <w:rsid w:val="00C42627"/>
    <w:rsid w:val="00C45887"/>
    <w:rsid w:val="00C57724"/>
    <w:rsid w:val="00C6425D"/>
    <w:rsid w:val="00C6443B"/>
    <w:rsid w:val="00C66CFF"/>
    <w:rsid w:val="00C712F5"/>
    <w:rsid w:val="00C73A98"/>
    <w:rsid w:val="00C77EB0"/>
    <w:rsid w:val="00C80396"/>
    <w:rsid w:val="00C8535B"/>
    <w:rsid w:val="00C93B83"/>
    <w:rsid w:val="00C958BF"/>
    <w:rsid w:val="00C95D5B"/>
    <w:rsid w:val="00CD0CE1"/>
    <w:rsid w:val="00CE0D7B"/>
    <w:rsid w:val="00CE67F9"/>
    <w:rsid w:val="00CF7481"/>
    <w:rsid w:val="00D0136B"/>
    <w:rsid w:val="00D01673"/>
    <w:rsid w:val="00D026C1"/>
    <w:rsid w:val="00D05788"/>
    <w:rsid w:val="00D10070"/>
    <w:rsid w:val="00D157BF"/>
    <w:rsid w:val="00D21EC1"/>
    <w:rsid w:val="00D2231F"/>
    <w:rsid w:val="00D30B8D"/>
    <w:rsid w:val="00D32B7E"/>
    <w:rsid w:val="00D33EC7"/>
    <w:rsid w:val="00D4211D"/>
    <w:rsid w:val="00D4325E"/>
    <w:rsid w:val="00D533F9"/>
    <w:rsid w:val="00D61578"/>
    <w:rsid w:val="00D620AB"/>
    <w:rsid w:val="00D62CB4"/>
    <w:rsid w:val="00D63B07"/>
    <w:rsid w:val="00D669EE"/>
    <w:rsid w:val="00D67A28"/>
    <w:rsid w:val="00D76E4A"/>
    <w:rsid w:val="00D83172"/>
    <w:rsid w:val="00D97B77"/>
    <w:rsid w:val="00DA6049"/>
    <w:rsid w:val="00DB44F5"/>
    <w:rsid w:val="00DB62F9"/>
    <w:rsid w:val="00DB7208"/>
    <w:rsid w:val="00DC3E30"/>
    <w:rsid w:val="00DC76F9"/>
    <w:rsid w:val="00DD045B"/>
    <w:rsid w:val="00DE4D92"/>
    <w:rsid w:val="00DF5434"/>
    <w:rsid w:val="00DF625A"/>
    <w:rsid w:val="00E125F2"/>
    <w:rsid w:val="00E13212"/>
    <w:rsid w:val="00E200E1"/>
    <w:rsid w:val="00E25F03"/>
    <w:rsid w:val="00E3162D"/>
    <w:rsid w:val="00E34A65"/>
    <w:rsid w:val="00E362C0"/>
    <w:rsid w:val="00E50E0C"/>
    <w:rsid w:val="00E62068"/>
    <w:rsid w:val="00E774CC"/>
    <w:rsid w:val="00E865A1"/>
    <w:rsid w:val="00E86DD6"/>
    <w:rsid w:val="00EA0873"/>
    <w:rsid w:val="00EA37DE"/>
    <w:rsid w:val="00EA7173"/>
    <w:rsid w:val="00EB44E6"/>
    <w:rsid w:val="00EB549A"/>
    <w:rsid w:val="00ED03A6"/>
    <w:rsid w:val="00ED5011"/>
    <w:rsid w:val="00EE08E8"/>
    <w:rsid w:val="00EE0E48"/>
    <w:rsid w:val="00EF0797"/>
    <w:rsid w:val="00EF6125"/>
    <w:rsid w:val="00F01026"/>
    <w:rsid w:val="00F04FA1"/>
    <w:rsid w:val="00F11EA2"/>
    <w:rsid w:val="00F13D50"/>
    <w:rsid w:val="00F167BF"/>
    <w:rsid w:val="00F35466"/>
    <w:rsid w:val="00F37B14"/>
    <w:rsid w:val="00F47300"/>
    <w:rsid w:val="00F51AD0"/>
    <w:rsid w:val="00F523D7"/>
    <w:rsid w:val="00F53A5B"/>
    <w:rsid w:val="00F606E4"/>
    <w:rsid w:val="00F6110F"/>
    <w:rsid w:val="00F7165C"/>
    <w:rsid w:val="00F72902"/>
    <w:rsid w:val="00F749E0"/>
    <w:rsid w:val="00F7537F"/>
    <w:rsid w:val="00F77616"/>
    <w:rsid w:val="00F8259C"/>
    <w:rsid w:val="00F85903"/>
    <w:rsid w:val="00F86CA8"/>
    <w:rsid w:val="00F87F65"/>
    <w:rsid w:val="00FA2570"/>
    <w:rsid w:val="00FA3494"/>
    <w:rsid w:val="00FB4244"/>
    <w:rsid w:val="00FB57CA"/>
    <w:rsid w:val="00FC7F1C"/>
    <w:rsid w:val="00FD1040"/>
    <w:rsid w:val="00FD3985"/>
    <w:rsid w:val="00FE0B81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2506"/>
  <w15:chartTrackingRefBased/>
  <w15:docId w15:val="{7A63C4F6-AAB3-4E9F-AEED-8C34C52E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5D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591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Minion Pro" w:eastAsia="Arial Unicode MS" w:hAnsi="Minion Pro"/>
      <w:kern w:val="3"/>
      <w:sz w:val="18"/>
      <w:szCs w:val="24"/>
      <w:lang w:eastAsia="hi-I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rakstyluakapitowego">
    <w:name w:val="[Brak stylu akapitowego]"/>
    <w:pPr>
      <w:widowControl w:val="0"/>
      <w:suppressAutoHyphens/>
      <w:autoSpaceDN w:val="0"/>
      <w:spacing w:line="288" w:lineRule="auto"/>
      <w:textAlignment w:val="baseline"/>
    </w:pPr>
    <w:rPr>
      <w:color w:val="000000"/>
      <w:kern w:val="3"/>
      <w:sz w:val="24"/>
      <w:szCs w:val="24"/>
      <w:lang w:eastAsia="hi-IN" w:bidi="hi-IN"/>
    </w:rPr>
  </w:style>
  <w:style w:type="paragraph" w:customStyle="1" w:styleId="Podstawowyakapitowy">
    <w:name w:val="[Podstawowy akapitowy]"/>
    <w:basedOn w:val="Brakstyluakapitowego"/>
  </w:style>
  <w:style w:type="paragraph" w:customStyle="1" w:styleId="BaseText">
    <w:name w:val="Base Text"/>
    <w:basedOn w:val="Podstawowyakapitowy"/>
    <w:pPr>
      <w:tabs>
        <w:tab w:val="left" w:pos="10582"/>
      </w:tabs>
      <w:ind w:right="-27"/>
      <w:jc w:val="both"/>
    </w:pPr>
  </w:style>
  <w:style w:type="paragraph" w:customStyle="1" w:styleId="H3">
    <w:name w:val="H3"/>
    <w:basedOn w:val="Brakstyluakapitowego"/>
  </w:style>
  <w:style w:type="paragraph" w:styleId="Stopka">
    <w:name w:val="footer"/>
    <w:basedOn w:val="Standard"/>
    <w:link w:val="StopkaZnak"/>
    <w:pPr>
      <w:suppressLineNumbers/>
      <w:tabs>
        <w:tab w:val="center" w:pos="4848"/>
        <w:tab w:val="right" w:pos="969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lowekwypowiedzi">
    <w:name w:val="Naglowek wypowiedzi"/>
    <w:basedOn w:val="Podstawowyakapitowy"/>
    <w:pPr>
      <w:tabs>
        <w:tab w:val="left" w:pos="11206"/>
      </w:tabs>
      <w:spacing w:after="283"/>
      <w:ind w:left="624" w:right="-28"/>
    </w:pPr>
    <w:rPr>
      <w:i/>
      <w:iCs/>
      <w:sz w:val="28"/>
      <w:szCs w:val="28"/>
    </w:rPr>
  </w:style>
  <w:style w:type="paragraph" w:customStyle="1" w:styleId="Skierowanedo">
    <w:name w:val="Skierowane do"/>
    <w:basedOn w:val="Textbody"/>
    <w:pPr>
      <w:ind w:right="369"/>
      <w:jc w:val="right"/>
    </w:pPr>
    <w:rPr>
      <w:rFonts w:ascii="Times New Roman" w:hAnsi="Times New Roman"/>
      <w:i/>
      <w:iCs/>
      <w:sz w:val="36"/>
      <w:szCs w:val="36"/>
    </w:rPr>
  </w:style>
  <w:style w:type="paragraph" w:customStyle="1" w:styleId="TekstBazowy">
    <w:name w:val="Tekst Bazowy"/>
    <w:basedOn w:val="BaseText"/>
    <w:pPr>
      <w:spacing w:after="102"/>
      <w:ind w:left="624" w:right="369"/>
    </w:pPr>
  </w:style>
  <w:style w:type="paragraph" w:customStyle="1" w:styleId="Autor">
    <w:name w:val="Autor"/>
    <w:basedOn w:val="Podstawowyakapitowy"/>
    <w:pPr>
      <w:tabs>
        <w:tab w:val="left" w:pos="10582"/>
      </w:tabs>
      <w:ind w:right="369"/>
      <w:jc w:val="right"/>
    </w:pPr>
    <w:rPr>
      <w:i/>
      <w:iCs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Tahoma" w:hAnsi="Tahoma"/>
      <w:sz w:val="16"/>
      <w:szCs w:val="1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rPr>
      <w:rFonts w:ascii="Tahoma" w:eastAsia="Arial Unicode MS" w:hAnsi="Tahoma" w:cs="Mangal"/>
      <w:kern w:val="3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rsid w:val="00513142"/>
    <w:pPr>
      <w:widowControl/>
      <w:autoSpaceDN/>
      <w:spacing w:before="100" w:after="119"/>
    </w:pPr>
    <w:rPr>
      <w:rFonts w:eastAsia="Times New Roman" w:cs="Calibri"/>
      <w:kern w:val="0"/>
      <w:lang w:eastAsia="ar-SA" w:bidi="ar-SA"/>
    </w:rPr>
  </w:style>
  <w:style w:type="character" w:customStyle="1" w:styleId="StopkaZnak">
    <w:name w:val="Stopka Znak"/>
    <w:link w:val="Stopka"/>
    <w:rsid w:val="00513142"/>
    <w:rPr>
      <w:rFonts w:ascii="Minion Pro" w:eastAsia="Arial Unicode MS" w:hAnsi="Minion Pro"/>
      <w:kern w:val="3"/>
      <w:sz w:val="18"/>
      <w:szCs w:val="24"/>
      <w:lang w:eastAsia="hi-IN" w:bidi="hi-IN"/>
    </w:rPr>
  </w:style>
  <w:style w:type="character" w:customStyle="1" w:styleId="NagwekZnak">
    <w:name w:val="Nagłówek Znak"/>
    <w:link w:val="Nagwek"/>
    <w:uiPriority w:val="99"/>
    <w:rsid w:val="00513142"/>
    <w:rPr>
      <w:rFonts w:ascii="Arial" w:hAnsi="Arial"/>
      <w:kern w:val="3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513142"/>
    <w:pPr>
      <w:widowControl/>
      <w:autoSpaceDN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character" w:customStyle="1" w:styleId="Nagwek1Znak">
    <w:name w:val="Nagłówek 1 Znak"/>
    <w:link w:val="Nagwek1"/>
    <w:uiPriority w:val="9"/>
    <w:rsid w:val="009045D1"/>
    <w:rPr>
      <w:rFonts w:ascii="Arial" w:eastAsia="Times New Roman" w:hAnsi="Arial"/>
      <w:b/>
      <w:bCs/>
      <w:kern w:val="32"/>
      <w:sz w:val="32"/>
      <w:szCs w:val="29"/>
      <w:lang w:eastAsia="zh-CN" w:bidi="hi-IN"/>
    </w:rPr>
  </w:style>
  <w:style w:type="character" w:customStyle="1" w:styleId="Nagwek2Znak">
    <w:name w:val="Nagłówek 2 Znak"/>
    <w:link w:val="Nagwek2"/>
    <w:uiPriority w:val="9"/>
    <w:rsid w:val="00895591"/>
    <w:rPr>
      <w:rFonts w:ascii="Arial" w:eastAsia="Times New Roman" w:hAnsi="Arial"/>
      <w:b/>
      <w:bCs/>
      <w:iCs/>
      <w:kern w:val="3"/>
      <w:szCs w:val="25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9045D1"/>
  </w:style>
  <w:style w:type="character" w:customStyle="1" w:styleId="Zakotwiczenieprzypisudolnego">
    <w:name w:val="Zakotwiczenie przypisu dolnego"/>
    <w:rsid w:val="009045D1"/>
    <w:rPr>
      <w:vertAlign w:val="superscript"/>
    </w:rPr>
  </w:style>
  <w:style w:type="character" w:customStyle="1" w:styleId="apple-converted-space">
    <w:name w:val="apple-converted-space"/>
    <w:qFormat/>
    <w:rsid w:val="009045D1"/>
  </w:style>
  <w:style w:type="character" w:customStyle="1" w:styleId="czeinternetowe">
    <w:name w:val="Łącze internetowe"/>
    <w:uiPriority w:val="99"/>
    <w:semiHidden/>
    <w:unhideWhenUsed/>
    <w:rsid w:val="009045D1"/>
    <w:rPr>
      <w:color w:val="0000FF"/>
      <w:u w:val="single"/>
    </w:rPr>
  </w:style>
  <w:style w:type="character" w:customStyle="1" w:styleId="Znakiprzypiswdolnych">
    <w:name w:val="Znaki przypisów dolnych"/>
    <w:qFormat/>
    <w:rsid w:val="009045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5D1"/>
    <w:pPr>
      <w:widowControl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9045D1"/>
    <w:rPr>
      <w:kern w:val="3"/>
      <w:szCs w:val="18"/>
      <w:lang w:eastAsia="zh-CN" w:bidi="hi-IN"/>
    </w:rPr>
  </w:style>
  <w:style w:type="character" w:styleId="Hipercze">
    <w:name w:val="Hyperlink"/>
    <w:uiPriority w:val="99"/>
    <w:unhideWhenUsed/>
    <w:rsid w:val="00715F87"/>
    <w:rPr>
      <w:color w:val="0563C1"/>
      <w:u w:val="single"/>
    </w:rPr>
  </w:style>
  <w:style w:type="character" w:styleId="Odwoanieprzypisudolnego">
    <w:name w:val="footnote reference"/>
    <w:uiPriority w:val="99"/>
    <w:semiHidden/>
    <w:unhideWhenUsed/>
    <w:rsid w:val="00715F8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C76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004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004A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04A"/>
    <w:rPr>
      <w:b/>
      <w:bCs/>
      <w:kern w:val="3"/>
      <w:szCs w:val="18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A8E"/>
    <w:rPr>
      <w:color w:val="605E5C"/>
      <w:shd w:val="clear" w:color="auto" w:fill="E1DFDD"/>
    </w:rPr>
  </w:style>
  <w:style w:type="paragraph" w:customStyle="1" w:styleId="m8144326424325893001msolistparagraph">
    <w:name w:val="m_8144326424325893001msolistparagraph"/>
    <w:basedOn w:val="Normalny"/>
    <w:rsid w:val="009042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D3985"/>
    <w:rPr>
      <w:b/>
      <w:bCs/>
    </w:rPr>
  </w:style>
  <w:style w:type="paragraph" w:customStyle="1" w:styleId="m-6314708414262933904msolistparagraph">
    <w:name w:val="m_-6314708414262933904msolistparagraph"/>
    <w:basedOn w:val="Normalny"/>
    <w:rsid w:val="00683F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m-1107298441542801670msolistparagraph">
    <w:name w:val="m_-1107298441542801670msolistparagraph"/>
    <w:basedOn w:val="Normalny"/>
    <w:rsid w:val="00683F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683FD6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F0167"/>
    <w:rPr>
      <w:i/>
      <w:iCs/>
    </w:rPr>
  </w:style>
  <w:style w:type="character" w:customStyle="1" w:styleId="ui-provider">
    <w:name w:val="ui-provider"/>
    <w:basedOn w:val="Domylnaczcionkaakapitu"/>
    <w:rsid w:val="00C5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4057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6899-D108-4AAD-91FC-EFD8B564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1596</Words>
  <Characters>10156</Characters>
  <Application>Microsoft Office Word</Application>
  <DocSecurity>0</DocSecurity>
  <Lines>158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Links>
    <vt:vector size="12" baseType="variant"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mailto:m.kuzmecka@lightscape.pl</vt:lpwstr>
      </vt:variant>
      <vt:variant>
        <vt:lpwstr/>
      </vt:variant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https://www.pwc.pl/pl/publikacje/2019/transport-przyszlosci-perspektywy-rozwoju-transportu-drogowego-w-polsce-2020-2030.html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Karolina Góral</cp:lastModifiedBy>
  <cp:revision>22</cp:revision>
  <cp:lastPrinted>2021-09-30T07:28:00Z</cp:lastPrinted>
  <dcterms:created xsi:type="dcterms:W3CDTF">2024-02-02T08:19:00Z</dcterms:created>
  <dcterms:modified xsi:type="dcterms:W3CDTF">2024-02-08T10:52:00Z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