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027D" w14:textId="77777777" w:rsidR="00045F40" w:rsidRDefault="000460C8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04A0027E" w14:textId="04541A10" w:rsidR="00045F40" w:rsidRDefault="000460C8">
      <w:pPr>
        <w:jc w:val="both"/>
        <w:rPr>
          <w:rFonts w:asciiTheme="majorHAnsi" w:hAnsiTheme="majorHAnsi"/>
          <w:sz w:val="18"/>
          <w:szCs w:val="18"/>
          <w:lang w:val="lv-LV"/>
        </w:rPr>
      </w:pPr>
      <w:r w:rsidRPr="00957DDB">
        <w:rPr>
          <w:rFonts w:asciiTheme="majorHAnsi" w:hAnsiTheme="majorHAnsi"/>
          <w:sz w:val="18"/>
          <w:szCs w:val="18"/>
          <w:lang w:val="lv-LV"/>
        </w:rPr>
        <w:t>Gdańsk,</w:t>
      </w:r>
      <w:r w:rsidR="00AE08BF" w:rsidRPr="00957DDB">
        <w:rPr>
          <w:rFonts w:asciiTheme="majorHAnsi" w:hAnsiTheme="majorHAnsi"/>
          <w:sz w:val="18"/>
          <w:szCs w:val="18"/>
          <w:lang w:val="lv-LV"/>
        </w:rPr>
        <w:t xml:space="preserve"> </w:t>
      </w:r>
      <w:r w:rsidR="00875C1E" w:rsidRPr="00957DDB">
        <w:rPr>
          <w:rFonts w:asciiTheme="majorHAnsi" w:hAnsiTheme="majorHAnsi"/>
          <w:sz w:val="18"/>
          <w:szCs w:val="18"/>
          <w:lang w:val="lv-LV"/>
        </w:rPr>
        <w:t>19</w:t>
      </w:r>
      <w:r w:rsidR="00AE08BF" w:rsidRPr="00957DDB">
        <w:rPr>
          <w:rFonts w:asciiTheme="majorHAnsi" w:hAnsiTheme="majorHAnsi"/>
          <w:sz w:val="18"/>
          <w:szCs w:val="18"/>
          <w:lang w:val="lv-LV"/>
        </w:rPr>
        <w:t xml:space="preserve"> </w:t>
      </w:r>
      <w:r w:rsidR="00875C1E" w:rsidRPr="00957DDB">
        <w:rPr>
          <w:rFonts w:asciiTheme="majorHAnsi" w:hAnsiTheme="majorHAnsi"/>
          <w:sz w:val="18"/>
          <w:szCs w:val="18"/>
          <w:lang w:val="lv-LV"/>
        </w:rPr>
        <w:t>lutego</w:t>
      </w:r>
      <w:r w:rsidRPr="00957DDB">
        <w:rPr>
          <w:rFonts w:asciiTheme="majorHAnsi" w:hAnsiTheme="majorHAnsi"/>
          <w:sz w:val="18"/>
          <w:szCs w:val="18"/>
          <w:lang w:val="lv-LV"/>
        </w:rPr>
        <w:t xml:space="preserve"> 202</w:t>
      </w:r>
      <w:r w:rsidR="00493E57" w:rsidRPr="00957DDB">
        <w:rPr>
          <w:rFonts w:asciiTheme="majorHAnsi" w:hAnsiTheme="majorHAnsi"/>
          <w:sz w:val="18"/>
          <w:szCs w:val="18"/>
          <w:lang w:val="lv-LV"/>
        </w:rPr>
        <w:t>4</w:t>
      </w:r>
      <w:r w:rsidRPr="00957DDB">
        <w:rPr>
          <w:rFonts w:asciiTheme="majorHAnsi" w:hAnsiTheme="majorHAnsi"/>
          <w:sz w:val="18"/>
          <w:szCs w:val="18"/>
          <w:lang w:val="lv-LV"/>
        </w:rPr>
        <w:t xml:space="preserve"> r</w:t>
      </w:r>
      <w:r w:rsidR="00BA49AA" w:rsidRPr="00957DDB">
        <w:rPr>
          <w:rFonts w:asciiTheme="majorHAnsi" w:hAnsiTheme="majorHAnsi"/>
          <w:sz w:val="18"/>
          <w:szCs w:val="18"/>
          <w:lang w:val="lv-LV"/>
        </w:rPr>
        <w:t>.</w:t>
      </w:r>
      <w:r>
        <w:rPr>
          <w:rFonts w:asciiTheme="majorHAnsi" w:hAnsiTheme="majorHAnsi"/>
          <w:sz w:val="18"/>
          <w:szCs w:val="18"/>
          <w:lang w:val="lv-LV"/>
        </w:rPr>
        <w:t xml:space="preserve"> </w:t>
      </w:r>
    </w:p>
    <w:p w14:paraId="04A0027F" w14:textId="77777777" w:rsidR="00045F40" w:rsidRDefault="00045F40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4"/>
          <w:szCs w:val="21"/>
        </w:rPr>
      </w:pPr>
    </w:p>
    <w:p w14:paraId="04A00280" w14:textId="3E06D148" w:rsidR="00045F40" w:rsidRDefault="00825813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  <w:r w:rsidRPr="00825813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Prawie trzy czwarte gospodarstw domowych przekaże 1,5 proc. podatku na Organizacje Pożytku Publicznego. „Jest szansa na przebicie granicy 2 mld zł”</w:t>
      </w:r>
    </w:p>
    <w:p w14:paraId="04A00281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2D669C90" w14:textId="023FB37F" w:rsidR="00443D95" w:rsidRDefault="00825813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bookmarkStart w:id="0" w:name="_Hlk138917714"/>
      <w:r w:rsidRPr="00825813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Polacy najchętniej przeznaczają pieniądze na cele związane z pomocą dzieciom. Cały czas jest jednak spora grupa podatników, którzy nie wiedzą, jak odpisać część podatku na cele dobroczynne.</w:t>
      </w:r>
      <w:bookmarkEnd w:id="0"/>
    </w:p>
    <w:p w14:paraId="6273C092" w14:textId="77777777" w:rsidR="00765CA7" w:rsidRPr="00DE22DD" w:rsidRDefault="00765CA7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271726DE" w14:textId="1A228507" w:rsidR="00825813" w:rsidRDefault="00825813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 w:rsidRPr="00825813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To wnioski z najnowszej edycji badania „Sytuacja na rynku consumer finance”, opracowywanego przez Związek Przedsiębiorstw Finansowych w Polsce (ZPF) oraz Instytut Rozwoju Gospodarczego Szkoły Głównej Handlowej (IRG SGH).</w:t>
      </w:r>
    </w:p>
    <w:p w14:paraId="37DD2736" w14:textId="77777777" w:rsidR="005D51BE" w:rsidRPr="00825813" w:rsidRDefault="005D51BE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3E3ACEAB" w14:textId="11336407" w:rsidR="00825813" w:rsidRDefault="00825813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 w:rsidRPr="00825813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Ankietowani Polacy zostali zapytani m.in. o to, czy w tegorocznym rozliczeniu PIT odpiszą 1,5 proc. podatku na wybraną Organizację Pożytku Publicznego (OPP)</w:t>
      </w:r>
      <w:r w:rsidR="00CB2DB0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.</w:t>
      </w:r>
    </w:p>
    <w:p w14:paraId="3CC86FE2" w14:textId="77777777" w:rsidR="00A677F9" w:rsidRPr="00825813" w:rsidRDefault="00A677F9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71173C8D" w14:textId="707917E7" w:rsidR="00825813" w:rsidRDefault="00825813" w:rsidP="00825813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  <w:lang w:val="en-US"/>
        </w:rPr>
      </w:pPr>
      <w:r w:rsidRPr="00A677F9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  <w:lang w:val="en-US"/>
        </w:rPr>
        <w:t>Prawie trzy czwarte gospodarstw domowych przekaże 1,5 proc. na OPP. Co z pozostałymi?</w:t>
      </w:r>
    </w:p>
    <w:p w14:paraId="6656A041" w14:textId="77777777" w:rsidR="00A677F9" w:rsidRPr="00A677F9" w:rsidRDefault="00A677F9" w:rsidP="00825813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  <w:lang w:val="en-US"/>
        </w:rPr>
      </w:pPr>
    </w:p>
    <w:p w14:paraId="72B0EC25" w14:textId="5899849B" w:rsidR="00A677F9" w:rsidRDefault="00825813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 w:rsidRPr="00825813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Z badania ZPF i IRG SGH wynika, że prawie 75 proc. gospodarstw domowych przeznaczy w tym roku 1,5 proc. podatku na OPP. Największy odsetek (42,2 proc. ogółu) stanowią te, które chcą odpisać środki na cele związane z pomocą dzieciom. Na drugim miejscu znalazła się pomoc zwierzętom (17 proc.).</w:t>
      </w:r>
    </w:p>
    <w:p w14:paraId="397519B0" w14:textId="77777777" w:rsidR="00251BDB" w:rsidRPr="00825813" w:rsidRDefault="00251BDB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3C77D16A" w14:textId="77777777" w:rsidR="00825813" w:rsidRDefault="00825813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 w:rsidRPr="00825813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Z kolei respondenci, którzy nie odpiszą 1,5 proc. podatku na OPP, najczęściej wskazywali, że nie płacą podatku PIT bądź ta kwestia ich nie interesuje.</w:t>
      </w:r>
    </w:p>
    <w:p w14:paraId="7E28090C" w14:textId="77777777" w:rsidR="00A677F9" w:rsidRPr="00825813" w:rsidRDefault="00A677F9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5BA9B6C2" w14:textId="77777777" w:rsidR="00825813" w:rsidRDefault="00825813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 w:rsidRPr="00825813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Szczegółowe dane publikujemy na poniższym wykresie.</w:t>
      </w:r>
    </w:p>
    <w:p w14:paraId="29B6DDE4" w14:textId="77777777" w:rsidR="00304873" w:rsidRDefault="00304873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170313AA" w14:textId="36AA2DD6" w:rsidR="00304873" w:rsidRDefault="00304873" w:rsidP="00304873">
      <w:pPr>
        <w:spacing w:line="276" w:lineRule="auto"/>
        <w:jc w:val="center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>
        <w:rPr>
          <w:noProof/>
        </w:rPr>
        <w:drawing>
          <wp:inline distT="0" distB="0" distL="0" distR="0" wp14:anchorId="24A25D23" wp14:editId="0C9B4ACD">
            <wp:extent cx="4168140" cy="2969800"/>
            <wp:effectExtent l="0" t="0" r="3810" b="2540"/>
            <wp:docPr id="135394697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139" cy="297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B5D8A" w14:textId="77777777" w:rsidR="006B75C8" w:rsidRPr="00825813" w:rsidRDefault="006B75C8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3013B627" w14:textId="77777777" w:rsidR="007A5AD6" w:rsidRDefault="007A5AD6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41B4432F" w14:textId="5701623C" w:rsidR="00825813" w:rsidRDefault="00825813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 w:rsidRPr="00957DDB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 xml:space="preserve">- Warto zwrócić uwagę na to, że co dwudziesty ankietowany wskazał, iż nie </w:t>
      </w:r>
      <w:r w:rsidR="0066260C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odpisze</w:t>
      </w:r>
      <w:r w:rsidRPr="00957DDB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 xml:space="preserve"> części swojego podatku na OPP, bo nie wie, jak to się robi. To wskazówka, że warto prowadzić działania edukacyjne </w:t>
      </w:r>
      <w:r w:rsidR="007A5AD6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br/>
      </w:r>
      <w:r w:rsidRPr="00957DDB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i tłumaczyć, że przekazanie 1,5</w:t>
      </w:r>
      <w:r w:rsidR="00654F68" w:rsidRPr="00957DDB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 xml:space="preserve"> proc. </w:t>
      </w:r>
      <w:r w:rsidRPr="00957DDB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podatku nic nie kosztuje. Jedyne co trzeba zrobić, by wspomóc potrzebujących, to wpisać numer KRS wybranej organizacji w odpowiedniej rubryce rozliczenia podatkowego - podkreśla Marcin Czugan, prezes ZPF.</w:t>
      </w:r>
    </w:p>
    <w:p w14:paraId="66DEBD27" w14:textId="77777777" w:rsidR="006B75C8" w:rsidRPr="00825813" w:rsidRDefault="006B75C8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3B8226A2" w14:textId="79CAD880" w:rsidR="00825813" w:rsidRPr="006B75C8" w:rsidRDefault="00825813" w:rsidP="00825813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  <w:lang w:val="en-US"/>
        </w:rPr>
      </w:pPr>
      <w:r w:rsidRPr="006B75C8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  <w:lang w:val="en-US"/>
        </w:rPr>
        <w:t>Przekazywanie 1,5 proc. podatku na OPP. Podział na województwa</w:t>
      </w:r>
    </w:p>
    <w:p w14:paraId="4981208F" w14:textId="77777777" w:rsidR="006B75C8" w:rsidRPr="00825813" w:rsidRDefault="006B75C8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0B10F669" w14:textId="77777777" w:rsidR="00825813" w:rsidRDefault="00825813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 w:rsidRPr="00825813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Badanie ZPF i IRG SGH pokazuje zróżnicowanie regionalne w kwestii odpisywania 1,5 proc. podatku na OPP. Największy odsetek respondentów deklaruje przekazanie środków w województwie lubuskim (85,2 proc.). Najmniejszy - w województwie opolskim.</w:t>
      </w:r>
    </w:p>
    <w:p w14:paraId="44DE4AEE" w14:textId="77777777" w:rsidR="006B75C8" w:rsidRPr="00825813" w:rsidRDefault="006B75C8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24C9E0A7" w14:textId="77777777" w:rsidR="00825813" w:rsidRDefault="00825813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 w:rsidRPr="00825813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Szczegółowe wyniki prezentujemy na poniższej mapie.</w:t>
      </w:r>
    </w:p>
    <w:p w14:paraId="183AE90D" w14:textId="77777777" w:rsidR="00633533" w:rsidRDefault="00633533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7B0B0A42" w14:textId="51C26947" w:rsidR="00633533" w:rsidRDefault="00633533" w:rsidP="00633533">
      <w:pPr>
        <w:spacing w:line="276" w:lineRule="auto"/>
        <w:jc w:val="center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>
        <w:rPr>
          <w:noProof/>
        </w:rPr>
        <w:drawing>
          <wp:inline distT="0" distB="0" distL="0" distR="0" wp14:anchorId="309C15EC" wp14:editId="7E000D99">
            <wp:extent cx="5577840" cy="5410504"/>
            <wp:effectExtent l="0" t="0" r="3810" b="0"/>
            <wp:docPr id="71557003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507" cy="542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1E4FE" w14:textId="77777777" w:rsidR="006B75C8" w:rsidRPr="00825813" w:rsidRDefault="006B75C8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4CEEAA67" w14:textId="77777777" w:rsidR="006B75C8" w:rsidRPr="00825813" w:rsidRDefault="006B75C8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77AFF743" w14:textId="77777777" w:rsidR="00FC7DC2" w:rsidRDefault="00FC7DC2" w:rsidP="00825813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  <w:lang w:val="en-US"/>
        </w:rPr>
      </w:pPr>
    </w:p>
    <w:p w14:paraId="239371F2" w14:textId="6316AB21" w:rsidR="00825813" w:rsidRPr="006B75C8" w:rsidRDefault="00825813" w:rsidP="00825813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  <w:lang w:val="en-US"/>
        </w:rPr>
      </w:pPr>
      <w:r w:rsidRPr="006B75C8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  <w:lang w:val="en-US"/>
        </w:rPr>
        <w:t>Wpływy z 1,5 proc. podatku na OPP. Czy padnie rekord?</w:t>
      </w:r>
    </w:p>
    <w:p w14:paraId="19FB9EED" w14:textId="77777777" w:rsidR="006B75C8" w:rsidRPr="00825813" w:rsidRDefault="006B75C8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6A870B48" w14:textId="1D49D07C" w:rsidR="00825813" w:rsidRDefault="00825813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 w:rsidRPr="00825813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 xml:space="preserve">Z danych Ministerstwa Finansów wynika, że w 2023 r. wsparcie w postaci 1,5 proc. podatku PIT </w:t>
      </w:r>
      <w:r w:rsidR="00810B8B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br/>
      </w:r>
      <w:r w:rsidRPr="00825813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 xml:space="preserve">(za 2022 r.) przekazało OPP 12,7 mln podatników. Łączna kwota odpisów przekroczyła wówczas </w:t>
      </w:r>
      <w:r w:rsidR="00810B8B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br/>
      </w:r>
      <w:r w:rsidRPr="00825813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1,5 mld zł.</w:t>
      </w:r>
    </w:p>
    <w:p w14:paraId="3D4F8A61" w14:textId="77777777" w:rsidR="006B75C8" w:rsidRPr="00825813" w:rsidRDefault="006B75C8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59C8B61A" w14:textId="083ADB82" w:rsidR="00825813" w:rsidRPr="00957DDB" w:rsidRDefault="00825813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 w:rsidRPr="00957DDB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- W tym roku jest szansa na przebicie granicy 2 mld zł, co byłoby rekordem w historii odpisów na OPP - prognozuje dr Sławomir Dudek</w:t>
      </w:r>
      <w:r w:rsidR="00816CB6" w:rsidRPr="00957DDB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, ekonomista IRG SGH i współautor badania</w:t>
      </w:r>
      <w:r w:rsidR="00632C21" w:rsidRPr="00957DDB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 xml:space="preserve"> „Sytuacja na rynku consumer finance”</w:t>
      </w:r>
      <w:r w:rsidRPr="00957DDB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.</w:t>
      </w:r>
    </w:p>
    <w:p w14:paraId="5D0B375A" w14:textId="77777777" w:rsidR="006B75C8" w:rsidRPr="00957DDB" w:rsidRDefault="006B75C8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03FEE156" w14:textId="77777777" w:rsidR="00825813" w:rsidRPr="00957DDB" w:rsidRDefault="00825813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 w:rsidRPr="00957DDB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I wyjaśnia, że według szacunkowych danych Ministerstwa Finansów dochody z podatku PIT w 2023 r. tylko w części budżetu centralnego wyniosły prawie 92 mld zł. Łącznie z udziałami samorządów wypływy z PIT mogą wynieść nawet 170 mld zł.</w:t>
      </w:r>
    </w:p>
    <w:p w14:paraId="552FD746" w14:textId="77777777" w:rsidR="006B75C8" w:rsidRPr="00957DDB" w:rsidRDefault="006B75C8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64174435" w14:textId="77777777" w:rsidR="00825813" w:rsidRDefault="00825813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 w:rsidRPr="00957DDB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- 1,5 proc. z tej kwoty to ponad 2,5 mld zł. Jeżeli więc faktycznie trzy czwarte podatników, jak wynika z naszego badania, zdecyduje się przekazać 1,5 proc. podatku na OPP, to przekroczenie kwoty 2 mld zł jest możliwe - uważa dr Sławomir Dudek.</w:t>
      </w:r>
    </w:p>
    <w:p w14:paraId="0ADFC38A" w14:textId="77777777" w:rsidR="006B75C8" w:rsidRPr="00825813" w:rsidRDefault="006B75C8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6BA08649" w14:textId="4F041A29" w:rsidR="00825813" w:rsidRDefault="00F96661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***</w:t>
      </w:r>
    </w:p>
    <w:p w14:paraId="60E2B7C5" w14:textId="77777777" w:rsidR="00F96661" w:rsidRPr="00825813" w:rsidRDefault="00F96661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284C8188" w14:textId="542FD797" w:rsidR="00A87992" w:rsidRDefault="00825813" w:rsidP="00A8799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 w:rsidRPr="00825813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 xml:space="preserve">W sprawie dodatkowych komentarzy zapraszamy do kontaktu na adres: </w:t>
      </w:r>
      <w:hyperlink r:id="rId13" w:history="1">
        <w:r w:rsidR="006B75C8" w:rsidRPr="002106A9">
          <w:rPr>
            <w:rStyle w:val="Hipercze"/>
            <w:rFonts w:asciiTheme="majorHAnsi" w:hAnsiTheme="majorHAnsi" w:cs="Calibri"/>
            <w:iCs/>
            <w:spacing w:val="-2"/>
            <w:sz w:val="21"/>
            <w:szCs w:val="21"/>
            <w:lang w:val="en-US"/>
          </w:rPr>
          <w:t>media@zpf.pl</w:t>
        </w:r>
      </w:hyperlink>
      <w:r w:rsidRPr="00825813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.</w:t>
      </w:r>
    </w:p>
    <w:p w14:paraId="14CF7E07" w14:textId="77777777" w:rsidR="006B75C8" w:rsidRPr="00A87992" w:rsidRDefault="006B75C8" w:rsidP="00A8799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4A002AF" w14:textId="77777777" w:rsidR="00045F40" w:rsidRDefault="000460C8">
      <w:pPr>
        <w:jc w:val="both"/>
        <w:rPr>
          <w:rFonts w:asciiTheme="majorHAnsi" w:hAnsiTheme="majorHAnsi" w:cstheme="minorHAnsi"/>
          <w:sz w:val="22"/>
          <w:szCs w:val="22"/>
        </w:rPr>
      </w:pPr>
      <w:bookmarkStart w:id="1" w:name="_Hlk120263354"/>
      <w:r>
        <w:rPr>
          <w:rFonts w:asciiTheme="majorHAnsi" w:hAnsiTheme="majorHAnsi" w:cstheme="minorHAnsi"/>
          <w:sz w:val="22"/>
          <w:szCs w:val="22"/>
        </w:rPr>
        <w:t>***</w:t>
      </w:r>
    </w:p>
    <w:p w14:paraId="04A002B0" w14:textId="77777777" w:rsidR="00045F40" w:rsidRDefault="00045F4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B1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Związek Przedsiębiorstw Finansowych w Polsce</w:t>
      </w:r>
      <w:r>
        <w:rPr>
          <w:rFonts w:asciiTheme="majorHAnsi" w:hAnsiTheme="majorHAnsi"/>
        </w:rPr>
        <w:t xml:space="preserve"> to organizacja pracodawców w branży finansowej. </w:t>
      </w:r>
      <w:r>
        <w:rPr>
          <w:rFonts w:asciiTheme="majorHAnsi" w:hAnsiTheme="majorHAnsi"/>
        </w:rPr>
        <w:br/>
        <w:t>W skład ZPF wchodzi obecnie blisko 100 podmiotów reprezentujących najważniejsze sektory rynku. To m.in. banki, ubezpieczyciele, instytucje pożyczkowe, biura informacji gospodarczej, pośrednicy finansowi, podmioty zarządzające wierzytelnościami, organizatorzy crowdfundingu udziałowego.</w:t>
      </w:r>
    </w:p>
    <w:p w14:paraId="04A002B2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3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 ponad 20 lat ZPF działa na rzecz rozwoju rynku finansowego w Polsce i podnoszenia standardów etycznych w branży. ZPF występuje aktywnie jako partner społeczny w polskich i unijnych procesach legislacyjnych. ZPF należy do Rady Rozwoju Rynku Finansowego, powołanej przez Ministra Finansów Rzeczypospolitej Polskiej, a także reprezentuje polskie instytucje finansowe w UE.</w:t>
      </w:r>
    </w:p>
    <w:p w14:paraId="04A002B4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5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ZPF ma w swoim dorobku badawczym kilkaset raportów branżowych. Organizuje kongresy, szkolenia </w:t>
      </w:r>
      <w:r>
        <w:rPr>
          <w:rFonts w:asciiTheme="majorHAnsi" w:hAnsiTheme="majorHAnsi"/>
        </w:rPr>
        <w:br/>
        <w:t>i wiele innych projektów dla przedstawicieli branży finansowej.</w:t>
      </w:r>
    </w:p>
    <w:p w14:paraId="04A002B6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7" w14:textId="14A2C84A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Prezesem ZPF jest Marcin Czugan, radca prawny. W latach 2015-2017 przewodniczył Komitetowi Prawno-Politycznemu EUROFINAS (European Federation of Finance House Associations) w Brukseli, największej organizacji zrzeszającej kredytodawców kredytu konsumenckiego w Europie. Obecnie wchodzi również </w:t>
      </w:r>
      <w:r w:rsidR="00D541C3">
        <w:rPr>
          <w:rFonts w:asciiTheme="majorHAnsi" w:hAnsiTheme="majorHAnsi"/>
        </w:rPr>
        <w:br/>
      </w:r>
      <w:r>
        <w:rPr>
          <w:rFonts w:asciiTheme="majorHAnsi" w:hAnsiTheme="majorHAnsi"/>
        </w:rPr>
        <w:t>w skład jej zarządu.</w:t>
      </w:r>
    </w:p>
    <w:p w14:paraId="04A002B8" w14:textId="77777777" w:rsidR="00045F40" w:rsidRDefault="00045F40">
      <w:pPr>
        <w:jc w:val="both"/>
        <w:rPr>
          <w:rFonts w:asciiTheme="majorHAnsi" w:hAnsiTheme="majorHAnsi"/>
        </w:rPr>
      </w:pPr>
    </w:p>
    <w:p w14:paraId="04A002B9" w14:textId="77777777" w:rsidR="00045F40" w:rsidRDefault="000460C8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A002C2" wp14:editId="05F84B8B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002BB" w14:textId="4D4087B1" w:rsidR="00045F40" w:rsidRDefault="00535A58" w:rsidP="00E67710">
      <w:pPr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  <w:hyperlink r:id="rId15" w:history="1">
        <w:r w:rsidR="000460C8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1"/>
    </w:p>
    <w:p w14:paraId="04A002BC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sectPr w:rsidR="00045F40">
      <w:headerReference w:type="default" r:id="rId16"/>
      <w:footerReference w:type="default" r:id="rId17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7530" w14:textId="77777777" w:rsidR="0012192A" w:rsidRDefault="0012192A">
      <w:r>
        <w:separator/>
      </w:r>
    </w:p>
    <w:p w14:paraId="66CC71FA" w14:textId="77777777" w:rsidR="0012192A" w:rsidRDefault="0012192A"/>
  </w:endnote>
  <w:endnote w:type="continuationSeparator" w:id="0">
    <w:p w14:paraId="696CEBFF" w14:textId="77777777" w:rsidR="0012192A" w:rsidRDefault="0012192A">
      <w:r>
        <w:continuationSeparator/>
      </w:r>
    </w:p>
    <w:p w14:paraId="12A679D2" w14:textId="77777777" w:rsidR="0012192A" w:rsidRDefault="001219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EndPr/>
        <w:sdtContent>
          <w:p w14:paraId="04A002CD" w14:textId="77777777" w:rsidR="00045F40" w:rsidRDefault="000460C8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4A002D0" wp14:editId="04A002D1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41F3" w14:textId="77777777" w:rsidR="0012192A" w:rsidRDefault="0012192A">
      <w:r>
        <w:separator/>
      </w:r>
    </w:p>
    <w:p w14:paraId="2245C8C4" w14:textId="77777777" w:rsidR="0012192A" w:rsidRDefault="0012192A"/>
  </w:footnote>
  <w:footnote w:type="continuationSeparator" w:id="0">
    <w:p w14:paraId="61E304F6" w14:textId="77777777" w:rsidR="0012192A" w:rsidRDefault="0012192A">
      <w:r>
        <w:continuationSeparator/>
      </w:r>
    </w:p>
    <w:p w14:paraId="5D423F49" w14:textId="77777777" w:rsidR="0012192A" w:rsidRDefault="001219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2CC" w14:textId="77777777" w:rsidR="00045F40" w:rsidRDefault="000460C8">
    <w:pPr>
      <w:pStyle w:val="Nagwek"/>
    </w:pPr>
    <w:r>
      <w:rPr>
        <w:rFonts w:asciiTheme="minorHAnsi" w:hAnsiTheme="minorHAnsi"/>
        <w:noProof/>
        <w:color w:val="1C2442"/>
      </w:rPr>
      <w:drawing>
        <wp:inline distT="0" distB="0" distL="0" distR="0" wp14:anchorId="04A002CE" wp14:editId="04A002C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3836AD8"/>
    <w:multiLevelType w:val="hybridMultilevel"/>
    <w:tmpl w:val="3A38EBA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1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C517E75"/>
    <w:multiLevelType w:val="hybridMultilevel"/>
    <w:tmpl w:val="3CF4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76938"/>
    <w:multiLevelType w:val="hybridMultilevel"/>
    <w:tmpl w:val="279E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29"/>
  </w:num>
  <w:num w:numId="2" w16cid:durableId="26151447">
    <w:abstractNumId w:val="6"/>
  </w:num>
  <w:num w:numId="3" w16cid:durableId="2091195825">
    <w:abstractNumId w:val="3"/>
  </w:num>
  <w:num w:numId="4" w16cid:durableId="168375630">
    <w:abstractNumId w:val="4"/>
  </w:num>
  <w:num w:numId="5" w16cid:durableId="1304894537">
    <w:abstractNumId w:val="12"/>
  </w:num>
  <w:num w:numId="6" w16cid:durableId="598292792">
    <w:abstractNumId w:val="16"/>
  </w:num>
  <w:num w:numId="7" w16cid:durableId="1972049076">
    <w:abstractNumId w:val="1"/>
  </w:num>
  <w:num w:numId="8" w16cid:durableId="977028122">
    <w:abstractNumId w:val="9"/>
  </w:num>
  <w:num w:numId="9" w16cid:durableId="1994217558">
    <w:abstractNumId w:val="7"/>
  </w:num>
  <w:num w:numId="10" w16cid:durableId="501895109">
    <w:abstractNumId w:val="24"/>
  </w:num>
  <w:num w:numId="11" w16cid:durableId="482158256">
    <w:abstractNumId w:val="11"/>
  </w:num>
  <w:num w:numId="12" w16cid:durableId="1822187499">
    <w:abstractNumId w:val="22"/>
  </w:num>
  <w:num w:numId="13" w16cid:durableId="1256595171">
    <w:abstractNumId w:val="15"/>
  </w:num>
  <w:num w:numId="14" w16cid:durableId="362557525">
    <w:abstractNumId w:val="19"/>
  </w:num>
  <w:num w:numId="15" w16cid:durableId="1500197127">
    <w:abstractNumId w:val="25"/>
  </w:num>
  <w:num w:numId="16" w16cid:durableId="395982433">
    <w:abstractNumId w:val="26"/>
  </w:num>
  <w:num w:numId="17" w16cid:durableId="1426803212">
    <w:abstractNumId w:val="20"/>
  </w:num>
  <w:num w:numId="18" w16cid:durableId="1896617993">
    <w:abstractNumId w:val="10"/>
  </w:num>
  <w:num w:numId="19" w16cid:durableId="432365694">
    <w:abstractNumId w:val="21"/>
  </w:num>
  <w:num w:numId="20" w16cid:durableId="1095058326">
    <w:abstractNumId w:val="14"/>
  </w:num>
  <w:num w:numId="21" w16cid:durableId="193081461">
    <w:abstractNumId w:val="27"/>
  </w:num>
  <w:num w:numId="22" w16cid:durableId="1131940714">
    <w:abstractNumId w:val="2"/>
  </w:num>
  <w:num w:numId="23" w16cid:durableId="1727991563">
    <w:abstractNumId w:val="17"/>
  </w:num>
  <w:num w:numId="24" w16cid:durableId="617488062">
    <w:abstractNumId w:val="30"/>
  </w:num>
  <w:num w:numId="25" w16cid:durableId="1993944316">
    <w:abstractNumId w:val="5"/>
  </w:num>
  <w:num w:numId="26" w16cid:durableId="337198606">
    <w:abstractNumId w:val="0"/>
  </w:num>
  <w:num w:numId="27" w16cid:durableId="49695078">
    <w:abstractNumId w:val="23"/>
  </w:num>
  <w:num w:numId="28" w16cid:durableId="777801040">
    <w:abstractNumId w:val="28"/>
  </w:num>
  <w:num w:numId="29" w16cid:durableId="1350133745">
    <w:abstractNumId w:val="18"/>
  </w:num>
  <w:num w:numId="30" w16cid:durableId="219362212">
    <w:abstractNumId w:val="13"/>
  </w:num>
  <w:num w:numId="31" w16cid:durableId="727729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40"/>
    <w:rsid w:val="00001DE2"/>
    <w:rsid w:val="0000343B"/>
    <w:rsid w:val="00007AFD"/>
    <w:rsid w:val="00014C8C"/>
    <w:rsid w:val="00027524"/>
    <w:rsid w:val="00027973"/>
    <w:rsid w:val="00045F40"/>
    <w:rsid w:val="000460C8"/>
    <w:rsid w:val="00053678"/>
    <w:rsid w:val="00072C8C"/>
    <w:rsid w:val="00094A0E"/>
    <w:rsid w:val="000960A9"/>
    <w:rsid w:val="000A540A"/>
    <w:rsid w:val="000B126C"/>
    <w:rsid w:val="000C7B86"/>
    <w:rsid w:val="000E1375"/>
    <w:rsid w:val="0011061A"/>
    <w:rsid w:val="0012192A"/>
    <w:rsid w:val="00124A28"/>
    <w:rsid w:val="00150CE2"/>
    <w:rsid w:val="001545D8"/>
    <w:rsid w:val="00167E29"/>
    <w:rsid w:val="0018298B"/>
    <w:rsid w:val="001A6762"/>
    <w:rsid w:val="001B1A4C"/>
    <w:rsid w:val="001C3BD3"/>
    <w:rsid w:val="001E7895"/>
    <w:rsid w:val="001F406A"/>
    <w:rsid w:val="001F6B12"/>
    <w:rsid w:val="00251BDB"/>
    <w:rsid w:val="0026045B"/>
    <w:rsid w:val="00281E98"/>
    <w:rsid w:val="00285922"/>
    <w:rsid w:val="00290D93"/>
    <w:rsid w:val="00293F3C"/>
    <w:rsid w:val="002B1ECD"/>
    <w:rsid w:val="002C2F51"/>
    <w:rsid w:val="002E0C0A"/>
    <w:rsid w:val="00301D62"/>
    <w:rsid w:val="00304873"/>
    <w:rsid w:val="00321C14"/>
    <w:rsid w:val="0032709E"/>
    <w:rsid w:val="0034196C"/>
    <w:rsid w:val="003444A2"/>
    <w:rsid w:val="003726E8"/>
    <w:rsid w:val="00377B79"/>
    <w:rsid w:val="003944E5"/>
    <w:rsid w:val="003B473B"/>
    <w:rsid w:val="00413942"/>
    <w:rsid w:val="00413E8B"/>
    <w:rsid w:val="00430EC7"/>
    <w:rsid w:val="004430BB"/>
    <w:rsid w:val="00443D95"/>
    <w:rsid w:val="00443F62"/>
    <w:rsid w:val="00456D24"/>
    <w:rsid w:val="00493E57"/>
    <w:rsid w:val="004A502E"/>
    <w:rsid w:val="004B59C3"/>
    <w:rsid w:val="004B6AEF"/>
    <w:rsid w:val="004E7FF6"/>
    <w:rsid w:val="0050102F"/>
    <w:rsid w:val="00511829"/>
    <w:rsid w:val="00512570"/>
    <w:rsid w:val="00524A94"/>
    <w:rsid w:val="00535A58"/>
    <w:rsid w:val="00544CF1"/>
    <w:rsid w:val="00560099"/>
    <w:rsid w:val="00561CBB"/>
    <w:rsid w:val="005725A4"/>
    <w:rsid w:val="00574752"/>
    <w:rsid w:val="005768E4"/>
    <w:rsid w:val="005B1DD4"/>
    <w:rsid w:val="005D51BE"/>
    <w:rsid w:val="005D7F9F"/>
    <w:rsid w:val="005E67AF"/>
    <w:rsid w:val="006077C7"/>
    <w:rsid w:val="00624244"/>
    <w:rsid w:val="00632C21"/>
    <w:rsid w:val="00633533"/>
    <w:rsid w:val="0064291B"/>
    <w:rsid w:val="00654F68"/>
    <w:rsid w:val="0066260C"/>
    <w:rsid w:val="00666B3A"/>
    <w:rsid w:val="00676512"/>
    <w:rsid w:val="00695E07"/>
    <w:rsid w:val="006A06E0"/>
    <w:rsid w:val="006A26CE"/>
    <w:rsid w:val="006B0455"/>
    <w:rsid w:val="006B75C8"/>
    <w:rsid w:val="006C1306"/>
    <w:rsid w:val="006C29AB"/>
    <w:rsid w:val="006D725F"/>
    <w:rsid w:val="006E01C2"/>
    <w:rsid w:val="006F7D9E"/>
    <w:rsid w:val="00700E8B"/>
    <w:rsid w:val="00715D78"/>
    <w:rsid w:val="007431C9"/>
    <w:rsid w:val="00745EB1"/>
    <w:rsid w:val="00747DE3"/>
    <w:rsid w:val="0076053A"/>
    <w:rsid w:val="00762777"/>
    <w:rsid w:val="00765CA7"/>
    <w:rsid w:val="007A5AD6"/>
    <w:rsid w:val="007B3B4E"/>
    <w:rsid w:val="007B55A0"/>
    <w:rsid w:val="007B694E"/>
    <w:rsid w:val="007D62E9"/>
    <w:rsid w:val="0080647D"/>
    <w:rsid w:val="00810B8B"/>
    <w:rsid w:val="008118CF"/>
    <w:rsid w:val="00812A83"/>
    <w:rsid w:val="00815EB7"/>
    <w:rsid w:val="00816CB6"/>
    <w:rsid w:val="00825813"/>
    <w:rsid w:val="00857727"/>
    <w:rsid w:val="00875C1E"/>
    <w:rsid w:val="00881317"/>
    <w:rsid w:val="00886924"/>
    <w:rsid w:val="00897F1C"/>
    <w:rsid w:val="008B245F"/>
    <w:rsid w:val="008C128E"/>
    <w:rsid w:val="008C4643"/>
    <w:rsid w:val="008D1B18"/>
    <w:rsid w:val="00906B63"/>
    <w:rsid w:val="00926A30"/>
    <w:rsid w:val="00926BB9"/>
    <w:rsid w:val="00940D5A"/>
    <w:rsid w:val="00946811"/>
    <w:rsid w:val="00957DDB"/>
    <w:rsid w:val="009601FB"/>
    <w:rsid w:val="00987A46"/>
    <w:rsid w:val="0099671F"/>
    <w:rsid w:val="009B353B"/>
    <w:rsid w:val="00A07E89"/>
    <w:rsid w:val="00A223AF"/>
    <w:rsid w:val="00A3753E"/>
    <w:rsid w:val="00A60A1F"/>
    <w:rsid w:val="00A677F9"/>
    <w:rsid w:val="00A87992"/>
    <w:rsid w:val="00A9700A"/>
    <w:rsid w:val="00AC42D8"/>
    <w:rsid w:val="00AE08BF"/>
    <w:rsid w:val="00B3225F"/>
    <w:rsid w:val="00B37985"/>
    <w:rsid w:val="00B42207"/>
    <w:rsid w:val="00B4378E"/>
    <w:rsid w:val="00B67BE6"/>
    <w:rsid w:val="00B67EB3"/>
    <w:rsid w:val="00BA2839"/>
    <w:rsid w:val="00BA49AA"/>
    <w:rsid w:val="00BC4881"/>
    <w:rsid w:val="00BE3420"/>
    <w:rsid w:val="00C15C61"/>
    <w:rsid w:val="00C27A21"/>
    <w:rsid w:val="00CB2DB0"/>
    <w:rsid w:val="00CB6064"/>
    <w:rsid w:val="00CB7491"/>
    <w:rsid w:val="00CC2DA6"/>
    <w:rsid w:val="00CD3CFA"/>
    <w:rsid w:val="00CD760D"/>
    <w:rsid w:val="00D22BE6"/>
    <w:rsid w:val="00D26271"/>
    <w:rsid w:val="00D5152B"/>
    <w:rsid w:val="00D541C3"/>
    <w:rsid w:val="00D73159"/>
    <w:rsid w:val="00D82B69"/>
    <w:rsid w:val="00DB574B"/>
    <w:rsid w:val="00DD14AE"/>
    <w:rsid w:val="00DE22DD"/>
    <w:rsid w:val="00E14821"/>
    <w:rsid w:val="00E4301A"/>
    <w:rsid w:val="00E45140"/>
    <w:rsid w:val="00E458E3"/>
    <w:rsid w:val="00E524A4"/>
    <w:rsid w:val="00E67710"/>
    <w:rsid w:val="00E74F90"/>
    <w:rsid w:val="00E82A9F"/>
    <w:rsid w:val="00E87DEC"/>
    <w:rsid w:val="00EA503A"/>
    <w:rsid w:val="00EB2C9C"/>
    <w:rsid w:val="00EB5795"/>
    <w:rsid w:val="00ED3F71"/>
    <w:rsid w:val="00EE0154"/>
    <w:rsid w:val="00EE1C79"/>
    <w:rsid w:val="00EE341D"/>
    <w:rsid w:val="00EF49A0"/>
    <w:rsid w:val="00F03137"/>
    <w:rsid w:val="00F45E0E"/>
    <w:rsid w:val="00F96661"/>
    <w:rsid w:val="00F97B29"/>
    <w:rsid w:val="00FC7DC2"/>
    <w:rsid w:val="00FD013E"/>
    <w:rsid w:val="00FE4F2F"/>
    <w:rsid w:val="00FE7015"/>
    <w:rsid w:val="00FF2923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0027D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Trebuchet MS" w:hAnsi="Trebuchet MS" w:cs="Arial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</w:style>
  <w:style w:type="character" w:customStyle="1" w:styleId="TekstprzypisukocowegoZnak">
    <w:name w:val="Tekst przypisu końcowego Znak"/>
    <w:link w:val="Tekstprzypisukocowego"/>
    <w:semiHidden/>
    <w:locked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Pr>
      <w:rFonts w:ascii="Trebuchet MS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dia@zpf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linkedin.com/company/zp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631</Words>
  <Characters>3799</Characters>
  <Application>Microsoft Office Word</Application>
  <DocSecurity>0</DocSecurity>
  <Lines>94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Łukasz Pałka</cp:lastModifiedBy>
  <cp:revision>49</cp:revision>
  <cp:lastPrinted>2020-05-13T19:23:00Z</cp:lastPrinted>
  <dcterms:created xsi:type="dcterms:W3CDTF">2024-01-24T14:04:00Z</dcterms:created>
  <dcterms:modified xsi:type="dcterms:W3CDTF">2024-02-18T14:11:00Z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