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5787" w14:textId="73E56308" w:rsidR="008777B9" w:rsidRDefault="00000000">
      <w:pPr>
        <w:rPr>
          <w:b/>
          <w:bCs/>
        </w:rPr>
      </w:pPr>
      <w:r>
        <w:rPr>
          <w:b/>
          <w:bCs/>
        </w:rPr>
        <w:t>Ryzyko katastrof naturalnych było w 2023 r. mocno niedoszacowane, a straty rekordowe</w:t>
      </w:r>
    </w:p>
    <w:p w14:paraId="0F56B714" w14:textId="556E6766" w:rsidR="008777B9" w:rsidRDefault="0000000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Globalne straty gospodarcze spowodowane katastrofami naturalnymi sięgnęły w ubiegłym roku 380 mld dolarów – wynika z raportu Aon “Climate and Catastrophe Insight”.</w:t>
      </w:r>
    </w:p>
    <w:p w14:paraId="0CBA365D" w14:textId="6C210AC2" w:rsidR="008777B9" w:rsidRDefault="0000000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Wartość ubezpieczonych szkód wyniosła 118 mld dolarów, czyli zaledwie 31 proc. poniesionych szkód.</w:t>
      </w:r>
    </w:p>
    <w:p w14:paraId="5EC434D2" w14:textId="77777777" w:rsidR="008777B9" w:rsidRDefault="0000000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Największe straty ekonomiczne spowodowały trzęsienia ziemi, natomiast dla ubezpieczycieli najkosztowniejsze okazały się silne burze konwekcyjne. </w:t>
      </w:r>
    </w:p>
    <w:p w14:paraId="282B4E7B" w14:textId="5606219D" w:rsidR="008777B9" w:rsidRDefault="00000000">
      <w:r>
        <w:t xml:space="preserve">Rok 2023 był rekordowy pod względem skali strat gospodarczych spowodowanych przez katastrofy naturalne. Jak wynika z corocznego raportu Aon „Climate and Catastrophe Insight”, 398 globalnych zdarzeń tego typu wyrządziło szkody w wysokości 380 mld dolarów – to 22 proc. powyżej średniej z ostatnich dwudziestu czterech lat. Dla porównania w 2022 było to 355 mld dolarów. Najbardziej kosztowne okazały się silne trzęsienia ziemi i gwałtowne burze konwekcyjne w Stanach Zjednoczonych i Europie. </w:t>
      </w:r>
    </w:p>
    <w:p w14:paraId="206E97A2" w14:textId="26A7CF15" w:rsidR="008777B9" w:rsidRDefault="000627B6">
      <w:r>
        <w:rPr>
          <w:rFonts w:ascii="Calibri" w:eastAsia="Helvetica Neue" w:hAnsi="Calibri" w:cs="Calibri"/>
        </w:rPr>
        <w:t>–</w:t>
      </w:r>
      <w:r w:rsidR="00000000">
        <w:t xml:space="preserve"> </w:t>
      </w:r>
      <w:r w:rsidR="00000000">
        <w:rPr>
          <w:i/>
          <w:iCs/>
        </w:rPr>
        <w:t>Celem raportu jest identyfikacja najbardziej palących potrzeb związanych ze zmianą klimatu, występowaniem coraz gwałtowniejszych zjawisk atmosferycznych i katastrof naturalnych, a także z ich rosnącymi kosztami dla gospodarki. Pomoże to organizacjom publicznym i prywatnym w podejmowaniu lepszych decyzji w zakresie zarządzania tego typu ryzykami i odpowiednim dopasowaniu ubezpieczeń. Jak wynika z naszego raportu, obecne podejście do problemu nie gwarantuje wystarczającej ochrony finansowej, a jego skala prawdopodobnie będzie z roku na rok rosła</w:t>
      </w:r>
      <w:r w:rsidR="00000000">
        <w:t xml:space="preserve"> – mówi</w:t>
      </w:r>
      <w:r w:rsidR="00293BA1">
        <w:t xml:space="preserve"> Dominika Kozakiewicz, CEO</w:t>
      </w:r>
      <w:r w:rsidR="00000000">
        <w:t xml:space="preserve"> Aon Polska.</w:t>
      </w:r>
    </w:p>
    <w:p w14:paraId="4DBBD840" w14:textId="77777777" w:rsidR="008777B9" w:rsidRDefault="00000000">
      <w:pPr>
        <w:rPr>
          <w:b/>
          <w:bCs/>
        </w:rPr>
      </w:pPr>
      <w:r>
        <w:rPr>
          <w:b/>
          <w:bCs/>
        </w:rPr>
        <w:t xml:space="preserve">Ubezpieczenie pokryło zaledwie 1/3 strat </w:t>
      </w:r>
    </w:p>
    <w:p w14:paraId="3A63E425" w14:textId="70E0B0EB" w:rsidR="008777B9" w:rsidRDefault="00000000">
      <w:r>
        <w:t xml:space="preserve">Globalne straty ubezpieczeniowe były w ubiegłym roku o 31 proc. wyższe od średniej dla XXI wieku, przekraczając granicę 100 miliardów dolarów czwarty rok z rzędu. A to i tak kropla w morzu potrzeb. Polisy ubezpieczeniowe pokryły bowiem tylko 1/3 całkowitych strat </w:t>
      </w:r>
      <w:r w:rsidR="00E82C41">
        <w:t>–</w:t>
      </w:r>
      <w:r>
        <w:t xml:space="preserve"> łączna ich wartości to „zaledwie” 118 mld dolarów. Tzw. „luka ochronna” wyniosła zatem aż 69 proc. (dla porównania w 2022 r. było to 58 proc.). Wskazuje to na pilną potrzebę znacznego rozszerzenia ochrony ubezpieczeniowej.</w:t>
      </w:r>
    </w:p>
    <w:p w14:paraId="25343191" w14:textId="0F30124F" w:rsidR="008777B9" w:rsidRDefault="00000000">
      <w:r>
        <w:t>Rekordowy poziom osiągnęła także liczba klęsk naturalnych przynoszących duże szkody – 66 zdarzeń powodujących straty ekonomiczne przekraczające miliard dolarów i 37 zdarzeń powodujących ponad miliardowe straty ubezpieczeniowe. Najkosztowniejsze w historii zdarzenia ubezpieczeniowe związane z pogodą odnotowano w Nowej Zelandii, Włoszech, Grecji, Słowenii i Chorwacji.</w:t>
      </w:r>
    </w:p>
    <w:p w14:paraId="5E5E3E26" w14:textId="25F4FC1D" w:rsidR="008777B9" w:rsidRDefault="00000000">
      <w:pPr>
        <w:pStyle w:val="Normal0"/>
        <w:spacing w:after="0"/>
        <w:rPr>
          <w:rFonts w:ascii="Calibri" w:eastAsia="Helvetica Now Tex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Helvetica Now Text" w:hAnsi="Calibri" w:cs="Calibri"/>
          <w:b/>
          <w:bCs/>
          <w:color w:val="000000"/>
          <w:sz w:val="22"/>
          <w:szCs w:val="22"/>
          <w:lang w:val="pl-PL"/>
        </w:rPr>
        <w:t>10 zdarzeń, które spowodowały  największe straty w 2023 r.:</w:t>
      </w:r>
    </w:p>
    <w:p w14:paraId="608313AA" w14:textId="77777777" w:rsidR="008777B9" w:rsidRDefault="008777B9">
      <w:pPr>
        <w:pStyle w:val="Normal0"/>
        <w:spacing w:after="0"/>
        <w:rPr>
          <w:rFonts w:ascii="Calibri" w:eastAsia="Helvetica Now Text" w:hAnsi="Calibri" w:cs="Calibri"/>
          <w:color w:val="000000"/>
          <w:sz w:val="22"/>
          <w:szCs w:val="22"/>
          <w:lang w:val="pl-PL"/>
        </w:rPr>
      </w:pPr>
    </w:p>
    <w:tbl>
      <w:tblPr>
        <w:tblStyle w:val="Tabelalisty4akcent3"/>
        <w:tblW w:w="9040" w:type="dxa"/>
        <w:tblInd w:w="-5" w:type="dxa"/>
        <w:tblLayout w:type="fixed"/>
        <w:tblLook w:val="0460" w:firstRow="1" w:lastRow="1" w:firstColumn="0" w:lastColumn="0" w:noHBand="0" w:noVBand="1"/>
      </w:tblPr>
      <w:tblGrid>
        <w:gridCol w:w="1266"/>
        <w:gridCol w:w="1698"/>
        <w:gridCol w:w="1274"/>
        <w:gridCol w:w="1196"/>
        <w:gridCol w:w="1837"/>
        <w:gridCol w:w="1769"/>
      </w:tblGrid>
      <w:tr w:rsidR="008777B9" w14:paraId="6149C7DD" w14:textId="77777777" w:rsidTr="0087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12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1F965520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Data</w:t>
            </w:r>
          </w:p>
        </w:tc>
        <w:tc>
          <w:tcPr>
            <w:tcW w:w="1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654C6378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Zdarzenie</w:t>
            </w:r>
          </w:p>
        </w:tc>
        <w:tc>
          <w:tcPr>
            <w:tcW w:w="127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3E90F14C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Lokalizacja</w:t>
            </w: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5985D05E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Ofiary śmiertelne</w:t>
            </w:r>
          </w:p>
        </w:tc>
        <w:tc>
          <w:tcPr>
            <w:tcW w:w="18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7D97853B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Straty ekonomiczne (mld $)</w:t>
            </w:r>
          </w:p>
        </w:tc>
        <w:tc>
          <w:tcPr>
            <w:tcW w:w="17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6535E"/>
          </w:tcPr>
          <w:p w14:paraId="38DF1588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FFFFFF"/>
                <w:sz w:val="22"/>
                <w:szCs w:val="22"/>
                <w:lang w:val="pl-PL"/>
              </w:rPr>
              <w:t>Straty ubezpieczone ($ mld)</w:t>
            </w:r>
          </w:p>
        </w:tc>
      </w:tr>
      <w:tr w:rsidR="008777B9" w14:paraId="04155E89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68551BC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6.02-20.02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239D7B15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 xml:space="preserve">Trzęsienia ziemi </w:t>
            </w: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br/>
              <w:t>w Turcji i Syrii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B8789AD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Turcja i Syria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9B9A2C4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59 272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71A608D9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92,4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09AE7043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5,7</w:t>
            </w:r>
          </w:p>
        </w:tc>
      </w:tr>
      <w:tr w:rsidR="008777B9" w14:paraId="45AD2B82" w14:textId="77777777" w:rsidTr="008777B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2D856FB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22.05-30.09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08DB148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 xml:space="preserve">Powodzie </w:t>
            </w: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br/>
              <w:t>w Chinach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6D6BF51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Chiny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7766E0E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568D60B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32,2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1E83E5D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1,4</w:t>
            </w:r>
          </w:p>
        </w:tc>
      </w:tr>
      <w:tr w:rsidR="008777B9" w14:paraId="7BD8BCDE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1F6AFD23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25.10-26.10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67DE933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Cyklon Otis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0768404B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Meksyk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5772CE7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0802617A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15,3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5E624AB4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2,1</w:t>
            </w:r>
          </w:p>
        </w:tc>
      </w:tr>
      <w:tr w:rsidR="008777B9" w14:paraId="5ED59EB3" w14:textId="77777777" w:rsidTr="008777B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4D29CEA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1.01-30.06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EDA980B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Susza w La Placie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307D270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Brazylia, Argentyna, Urugwaj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E20D080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BEBB916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15,3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D2851C5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1,0</w:t>
            </w:r>
          </w:p>
        </w:tc>
      </w:tr>
      <w:tr w:rsidR="008777B9" w14:paraId="1C33FEEC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4361258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lastRenderedPageBreak/>
              <w:t>1.01-31.12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96A8139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Susza w USA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35EC5DF2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USA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7DCD884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7E6B245B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14,0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F5EA02E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6,5</w:t>
            </w:r>
          </w:p>
        </w:tc>
      </w:tr>
      <w:tr w:rsidR="008777B9" w14:paraId="2CE780E9" w14:textId="77777777" w:rsidTr="008777B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1C7611B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13.05-17.05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8E4F338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Powódź w Emilia-Romania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2537DD6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Włochy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80F7A6C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4D8487E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9,8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861D9A7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0,6</w:t>
            </w:r>
          </w:p>
        </w:tc>
      </w:tr>
      <w:tr w:rsidR="008777B9" w14:paraId="47F8FF20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84928AF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1.03-3.03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39AAAAB3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Gwałtowne burze konwekcyjne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36368CC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USA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77B836CB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711AFE08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6,2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33907583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5,0</w:t>
            </w:r>
          </w:p>
        </w:tc>
      </w:tr>
      <w:tr w:rsidR="008777B9" w14:paraId="68BD8F8D" w14:textId="77777777" w:rsidTr="008777B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66054FA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21.07-26.07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8A8D94E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Gwałtowne burze konwekcyjne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0A5610C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Europa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388EFCA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763D78D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5,8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C50F46C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3,0</w:t>
            </w:r>
          </w:p>
        </w:tc>
      </w:tr>
      <w:tr w:rsidR="008777B9" w14:paraId="08481944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4B38F687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8.08-17.08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63567EDE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Pożary na Hawajach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084E0516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USA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3425C8D4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28962A75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5,5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23E7A23F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3,5</w:t>
            </w:r>
          </w:p>
        </w:tc>
      </w:tr>
      <w:tr w:rsidR="008777B9" w14:paraId="15D23D6F" w14:textId="77777777" w:rsidTr="008777B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0FDF907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31.03-1.04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A476BA4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Gwałtowne burze konwekcyjne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0F95435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USA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8206918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E6C9083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5,5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5F0E6C7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4,4</w:t>
            </w:r>
          </w:p>
        </w:tc>
      </w:tr>
      <w:tr w:rsidR="008777B9" w14:paraId="0A5C3E5E" w14:textId="77777777" w:rsidTr="0087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3D8B7655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Wszystkie pozostałe zdarzenia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2A477EC3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~35 500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13D6B730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178,0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E5EFF0"/>
          </w:tcPr>
          <w:p w14:paraId="2F3E76B1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92,0</w:t>
            </w:r>
          </w:p>
        </w:tc>
      </w:tr>
      <w:tr w:rsidR="008777B9" w14:paraId="6C1194EC" w14:textId="77777777" w:rsidTr="008777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dxa"/>
            <w:gridSpan w:val="3"/>
            <w:tcBorders>
              <w:top w:val="double" w:sz="4" w:space="0" w:color="C9C9C9"/>
              <w:left w:val="nil"/>
              <w:bottom w:val="nil"/>
              <w:right w:val="nil"/>
            </w:tcBorders>
            <w:shd w:val="clear" w:color="auto" w:fill="CDDBDE"/>
          </w:tcPr>
          <w:p w14:paraId="0FD15C5E" w14:textId="77777777" w:rsidR="008777B9" w:rsidRDefault="00000000">
            <w:pPr>
              <w:pStyle w:val="Normal0"/>
              <w:contextualSpacing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Łącznie</w:t>
            </w:r>
          </w:p>
        </w:tc>
        <w:tc>
          <w:tcPr>
            <w:tcW w:w="1196" w:type="dxa"/>
            <w:tcBorders>
              <w:top w:val="double" w:sz="4" w:space="0" w:color="C9C9C9"/>
              <w:left w:val="nil"/>
              <w:bottom w:val="nil"/>
              <w:right w:val="nil"/>
            </w:tcBorders>
            <w:shd w:val="clear" w:color="auto" w:fill="CDDBDE"/>
          </w:tcPr>
          <w:p w14:paraId="6DD128CF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~95 000</w:t>
            </w:r>
          </w:p>
        </w:tc>
        <w:tc>
          <w:tcPr>
            <w:tcW w:w="1837" w:type="dxa"/>
            <w:tcBorders>
              <w:top w:val="double" w:sz="4" w:space="0" w:color="C9C9C9"/>
              <w:left w:val="nil"/>
              <w:bottom w:val="nil"/>
              <w:right w:val="nil"/>
            </w:tcBorders>
            <w:shd w:val="clear" w:color="auto" w:fill="CDDBDE"/>
          </w:tcPr>
          <w:p w14:paraId="0C1782EA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380</w:t>
            </w:r>
          </w:p>
        </w:tc>
        <w:tc>
          <w:tcPr>
            <w:tcW w:w="1769" w:type="dxa"/>
            <w:tcBorders>
              <w:top w:val="double" w:sz="4" w:space="0" w:color="C9C9C9"/>
              <w:left w:val="nil"/>
              <w:bottom w:val="nil"/>
              <w:right w:val="nil"/>
            </w:tcBorders>
            <w:shd w:val="clear" w:color="auto" w:fill="CDDBDE"/>
          </w:tcPr>
          <w:p w14:paraId="7D060C44" w14:textId="77777777" w:rsidR="008777B9" w:rsidRDefault="00000000">
            <w:pPr>
              <w:pStyle w:val="Normal0"/>
              <w:contextualSpacing/>
              <w:jc w:val="right"/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Helvetica Now Text" w:hAnsi="Calibri" w:cs="Calibri"/>
                <w:color w:val="000000"/>
                <w:sz w:val="22"/>
                <w:szCs w:val="22"/>
                <w:lang w:val="pl-PL"/>
              </w:rPr>
              <w:t>118</w:t>
            </w:r>
          </w:p>
        </w:tc>
      </w:tr>
    </w:tbl>
    <w:p w14:paraId="798B0443" w14:textId="77777777" w:rsidR="008777B9" w:rsidRDefault="00000000">
      <w:pPr>
        <w:jc w:val="right"/>
      </w:pPr>
      <w:r>
        <w:t xml:space="preserve">Źródło: Aon Polska </w:t>
      </w:r>
    </w:p>
    <w:p w14:paraId="652F7925" w14:textId="77777777" w:rsidR="008777B9" w:rsidRDefault="00000000">
      <w:pPr>
        <w:rPr>
          <w:b/>
          <w:bCs/>
        </w:rPr>
      </w:pPr>
      <w:r>
        <w:rPr>
          <w:b/>
          <w:bCs/>
        </w:rPr>
        <w:t>Nie tylko polisa, ale i ograniczanie ryzyka są konieczne</w:t>
      </w:r>
    </w:p>
    <w:p w14:paraId="6947758D" w14:textId="607F1079" w:rsidR="008777B9" w:rsidRDefault="00000000">
      <w:r>
        <w:t xml:space="preserve">Skuteczna ochrona przed negatywnymi skutkami katastrof naturalnych nie ogranicza się jednak jedynie do minimalizowania  kosztów ich likwidacji. </w:t>
      </w:r>
    </w:p>
    <w:p w14:paraId="75759EC0" w14:textId="0CB29975" w:rsidR="008777B9" w:rsidRDefault="00000000">
      <w:r>
        <w:t xml:space="preserve">Jak zaznacza </w:t>
      </w:r>
      <w:r>
        <w:rPr>
          <w:rFonts w:eastAsia="Helvetica Now Text" w:cs="Calibri"/>
        </w:rPr>
        <w:t>Andy Marcell, CEO Risk Capital i CEO Reinsurance w Aon</w:t>
      </w:r>
      <w:r>
        <w:t>, wyniki raportu podkreślają potrzebę wykorzystania przez organizacje – od ubezpieczycieli po sektory silnie dotknięte kryzysem, takie jak budownictwo, rolnictwo i nieruchomości – wybiegającej w przyszłość diagnostyki, która pomoże analizować trendy klimatyczne i ograniczać ryzyko. Menedżerowie ds. ryzyka mogą korzystać z coraz bardziej zaawansowanych narzędzi i analityki do  podejmowania lepszych decyzji. Z kolei branża ubezpieczeniowa odgrywa kluczową rolę w zwiększaniu odporności finansowej firm i korzystania z okazji do wypełnienia luki w ochronie za pomocą nowych produktów.</w:t>
      </w:r>
    </w:p>
    <w:p w14:paraId="3C58279B" w14:textId="39CBE599" w:rsidR="008777B9" w:rsidRDefault="00463FFA">
      <w:r>
        <w:t xml:space="preserve">Nie bez znaczenia dla wysiłków służących zmniejszeniu skali skutków katastrof naturalnych są także działania wpływające na ograniczenie globalnego ocieplenia. </w:t>
      </w:r>
      <w:r w:rsidR="00DB302F">
        <w:t xml:space="preserve">Organizacje i firmy </w:t>
      </w:r>
      <w:r>
        <w:t>mogą rozważać zmiany klimatyczne z trzech perspektyw: ochrony swoich portfeli przed ryzykiem finansowym, czerpania korzyści z możliwości rozwoju w zakresie rozwiązań klimatycznych oraz określania, w jaki sposób wywierać pozytywny wpływ i odgrywać rolę w świecie zmierzającym do osiągnięcia zerowej emisji netto.</w:t>
      </w:r>
    </w:p>
    <w:p w14:paraId="1CF448E4" w14:textId="77777777" w:rsidR="008777B9" w:rsidRDefault="008777B9"/>
    <w:p w14:paraId="629D15AA" w14:textId="7E84C855" w:rsidR="008777B9" w:rsidRDefault="00000000">
      <w:pPr>
        <w:pStyle w:val="Normal0"/>
        <w:spacing w:after="0"/>
        <w:contextualSpacing/>
        <w:rPr>
          <w:rFonts w:ascii="Calibri" w:eastAsia="Helvetica Neue" w:hAnsi="Calibri" w:cs="Calibri"/>
          <w:sz w:val="22"/>
          <w:szCs w:val="22"/>
          <w:lang w:val="pl-PL"/>
        </w:rPr>
      </w:pPr>
      <w:r>
        <w:rPr>
          <w:rFonts w:ascii="Calibri" w:eastAsia="Helvetica Neue" w:hAnsi="Calibri" w:cs="Calibri"/>
          <w:sz w:val="22"/>
          <w:szCs w:val="22"/>
          <w:lang w:val="pl-PL"/>
        </w:rPr>
        <w:t xml:space="preserve">W raporcie podkreślono, że z powodu katastrof naturalnych w 2023 r. życie straciło 95 000 osób na całym świecie (najwięcej od 2010) </w:t>
      </w:r>
      <w:r w:rsidR="000627B6">
        <w:rPr>
          <w:rFonts w:ascii="Calibri" w:eastAsia="Helvetica Neue" w:hAnsi="Calibri" w:cs="Calibri"/>
          <w:sz w:val="22"/>
          <w:szCs w:val="22"/>
          <w:lang w:val="pl-PL"/>
        </w:rPr>
        <w:t>–</w:t>
      </w:r>
      <w:r>
        <w:rPr>
          <w:rFonts w:ascii="Calibri" w:eastAsia="Helvetica Neue" w:hAnsi="Calibri" w:cs="Calibri"/>
          <w:sz w:val="22"/>
          <w:szCs w:val="22"/>
          <w:lang w:val="pl-PL"/>
        </w:rPr>
        <w:t xml:space="preserve"> głównie w wyniku trzęsień ziemi i fal upałów. Jeśli chodzi o klimat, ubiegły rok był najgorętszym rokiem w historii z „bezprecedensowymi anomaliami cieplnymi” i rekordowymi wartościami odnotowanymi w 24 krajach i terytoriach.  </w:t>
      </w:r>
    </w:p>
    <w:p w14:paraId="3F54F57F" w14:textId="77777777" w:rsidR="008777B9" w:rsidRDefault="008777B9">
      <w:pPr>
        <w:pStyle w:val="Normal0"/>
        <w:spacing w:after="0"/>
        <w:contextualSpacing/>
        <w:rPr>
          <w:rFonts w:ascii="Calibri" w:eastAsia="Helvetica Neue" w:hAnsi="Calibri" w:cs="Calibri"/>
          <w:sz w:val="22"/>
          <w:szCs w:val="22"/>
          <w:lang w:val="pl-PL"/>
        </w:rPr>
      </w:pPr>
    </w:p>
    <w:p w14:paraId="395AE1B4" w14:textId="77777777" w:rsidR="008777B9" w:rsidRDefault="00000000">
      <w:pPr>
        <w:pStyle w:val="Normal0"/>
        <w:spacing w:after="0"/>
        <w:contextualSpacing/>
        <w:rPr>
          <w:rFonts w:ascii="Calibri" w:eastAsia="Helvetica Neue" w:hAnsi="Calibri" w:cs="Calibri"/>
          <w:sz w:val="22"/>
          <w:szCs w:val="22"/>
          <w:lang w:val="pl-PL"/>
        </w:rPr>
      </w:pPr>
      <w:r>
        <w:rPr>
          <w:rFonts w:ascii="Calibri" w:eastAsia="Helvetica Neue" w:hAnsi="Calibri" w:cs="Calibri"/>
          <w:sz w:val="22"/>
          <w:szCs w:val="22"/>
          <w:lang w:val="pl-PL"/>
        </w:rPr>
        <w:t>Raport Aon 2024 Climate and Catastrophe Insight jest dostępny pod poniższym linkiem:</w:t>
      </w:r>
    </w:p>
    <w:p w14:paraId="6E9184B0" w14:textId="77777777" w:rsidR="008777B9" w:rsidRDefault="008777B9">
      <w:pPr>
        <w:pStyle w:val="Normal0"/>
        <w:spacing w:after="0"/>
        <w:contextualSpacing/>
        <w:rPr>
          <w:rFonts w:ascii="Calibri" w:eastAsia="Helvetica Neue" w:hAnsi="Calibri" w:cs="Calibri"/>
          <w:sz w:val="22"/>
          <w:szCs w:val="22"/>
          <w:lang w:val="pl-PL"/>
        </w:rPr>
      </w:pPr>
    </w:p>
    <w:p w14:paraId="5F9C4D05" w14:textId="77777777" w:rsidR="008777B9" w:rsidRDefault="00000000">
      <w:pPr>
        <w:pStyle w:val="Normal0"/>
        <w:spacing w:after="0"/>
        <w:contextualSpacing/>
        <w:rPr>
          <w:rFonts w:ascii="Calibri" w:eastAsia="Helvetica Neue" w:hAnsi="Calibri" w:cs="Calibri"/>
          <w:sz w:val="22"/>
          <w:szCs w:val="22"/>
          <w:lang w:val="pl-PL"/>
        </w:rPr>
      </w:pPr>
      <w:hyperlink r:id="rId5">
        <w:r>
          <w:rPr>
            <w:rStyle w:val="Hipercze"/>
            <w:rFonts w:ascii="Calibri" w:eastAsia="Helvetica Neue" w:hAnsi="Calibri" w:cs="Calibri"/>
            <w:sz w:val="22"/>
            <w:szCs w:val="22"/>
            <w:lang w:val="pl-PL"/>
          </w:rPr>
          <w:t>https://aon.io/2024-cci-report</w:t>
        </w:r>
      </w:hyperlink>
      <w:r>
        <w:rPr>
          <w:rFonts w:ascii="Calibri" w:eastAsia="Helvetica Neue" w:hAnsi="Calibri" w:cs="Calibri"/>
          <w:sz w:val="22"/>
          <w:szCs w:val="22"/>
          <w:lang w:val="pl-PL"/>
        </w:rPr>
        <w:t xml:space="preserve"> </w:t>
      </w:r>
    </w:p>
    <w:p w14:paraId="0A43A70A" w14:textId="77777777" w:rsidR="008777B9" w:rsidRDefault="008777B9"/>
    <w:sectPr w:rsidR="008777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 Now Text">
    <w:altName w:val="Arial"/>
    <w:panose1 w:val="020B0504030202020204"/>
    <w:charset w:val="EE"/>
    <w:family w:val="swiss"/>
    <w:pitch w:val="variable"/>
    <w:sig w:usb0="A000006F" w:usb1="0000847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D77"/>
    <w:multiLevelType w:val="multilevel"/>
    <w:tmpl w:val="29529B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A4563"/>
    <w:multiLevelType w:val="multilevel"/>
    <w:tmpl w:val="4170D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5712915">
    <w:abstractNumId w:val="0"/>
  </w:num>
  <w:num w:numId="2" w16cid:durableId="139134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9"/>
    <w:rsid w:val="000627B6"/>
    <w:rsid w:val="00293BA1"/>
    <w:rsid w:val="00463FFA"/>
    <w:rsid w:val="00812545"/>
    <w:rsid w:val="008777B9"/>
    <w:rsid w:val="00DB302F"/>
    <w:rsid w:val="00E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9BF"/>
  <w15:docId w15:val="{33CB314F-FC07-4A6F-8FB2-B813BAB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C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E2CBA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ahoma" w:eastAsia="Microsoft YaHei" w:hAnsi="Tahoma" w:cs="Lucida Sans"/>
      <w:sz w:val="24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ahoma" w:hAnsi="Tah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ahoma" w:hAnsi="Tahoma" w:cs="Lucida Sans"/>
    </w:rPr>
  </w:style>
  <w:style w:type="paragraph" w:styleId="Akapitzlist">
    <w:name w:val="List Paragraph"/>
    <w:basedOn w:val="Normalny"/>
    <w:uiPriority w:val="34"/>
    <w:qFormat/>
    <w:rsid w:val="006A1AAF"/>
    <w:pPr>
      <w:ind w:left="720"/>
      <w:contextualSpacing/>
    </w:pPr>
  </w:style>
  <w:style w:type="paragraph" w:customStyle="1" w:styleId="Normal0">
    <w:name w:val="Normal0"/>
    <w:qFormat/>
    <w:rsid w:val="000D79D7"/>
    <w:pPr>
      <w:spacing w:after="40"/>
      <w:textAlignment w:val="center"/>
    </w:pPr>
    <w:rPr>
      <w:rFonts w:ascii="Arial" w:eastAsia="Arial" w:hAnsi="Arial" w:cs="Arial"/>
      <w:kern w:val="0"/>
      <w:sz w:val="36"/>
      <w:szCs w:val="36"/>
      <w:lang w:val="en-US" w:eastAsia="fr-FR"/>
      <w14:ligatures w14:val="none"/>
    </w:rPr>
  </w:style>
  <w:style w:type="table" w:styleId="Tabelalisty4akcent3">
    <w:name w:val="List Table 4 Accent 3"/>
    <w:basedOn w:val="Standardowy"/>
    <w:uiPriority w:val="49"/>
    <w:rsid w:val="004D359D"/>
    <w:rPr>
      <w:sz w:val="36"/>
      <w:szCs w:val="36"/>
      <w:lang w:val="en-US" w:eastAsia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63FFA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n.io/2024-cci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Chodacka-Seruga</dc:creator>
  <dc:description/>
  <cp:lastModifiedBy>Magdalena Pawlowska</cp:lastModifiedBy>
  <cp:revision>13</cp:revision>
  <dcterms:created xsi:type="dcterms:W3CDTF">2024-02-11T19:06:00Z</dcterms:created>
  <dcterms:modified xsi:type="dcterms:W3CDTF">2024-02-15T16:28:00Z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2024-02-15T16:26:32Z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84af2c9e-8aeb-457b-870d-fc161d87af68</vt:lpwstr>
  </property>
  <property fmtid="{D5CDD505-2E9C-101B-9397-08002B2CF9AE}" pid="8" name="MSIP_Label_9043f10a-881e-4653-a55e-02ca2cc829dc_ContentBits">
    <vt:lpwstr>0</vt:lpwstr>
  </property>
</Properties>
</file>