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CBD5" w14:textId="0A2C1586" w:rsidR="00C81691" w:rsidRPr="00265561" w:rsidRDefault="0054686A" w:rsidP="00951A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Firma bez polityki zarządzania ryzykiem nie zostanie ubezpieczona</w:t>
      </w:r>
      <w:r w:rsidR="00443E3E">
        <w:rPr>
          <w:rFonts w:asciiTheme="minorHAnsi" w:hAnsiTheme="minorHAnsi" w:cstheme="minorHAnsi"/>
          <w:b/>
          <w:bCs/>
        </w:rPr>
        <w:t>?</w:t>
      </w:r>
    </w:p>
    <w:p w14:paraId="691FA8F7" w14:textId="77777777" w:rsidR="00C81691" w:rsidRPr="00265561" w:rsidRDefault="00C81691" w:rsidP="00951ABD">
      <w:pPr>
        <w:rPr>
          <w:rFonts w:asciiTheme="minorHAnsi" w:hAnsiTheme="minorHAnsi" w:cstheme="minorHAnsi"/>
          <w:b/>
          <w:bCs/>
        </w:rPr>
      </w:pPr>
    </w:p>
    <w:p w14:paraId="5B2EF0D1" w14:textId="4814222B" w:rsidR="00C81691" w:rsidRPr="00265561" w:rsidRDefault="00C81691" w:rsidP="00C8169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265561">
        <w:rPr>
          <w:rFonts w:asciiTheme="minorHAnsi" w:hAnsiTheme="minorHAnsi" w:cstheme="minorHAnsi"/>
          <w:b/>
          <w:bCs/>
        </w:rPr>
        <w:t>Z danych Aon Polska wynika, ż</w:t>
      </w:r>
      <w:r w:rsidR="00E55167">
        <w:rPr>
          <w:rFonts w:asciiTheme="minorHAnsi" w:hAnsiTheme="minorHAnsi" w:cstheme="minorHAnsi"/>
          <w:b/>
          <w:bCs/>
        </w:rPr>
        <w:t>e t</w:t>
      </w:r>
      <w:r w:rsidR="00E55167" w:rsidRPr="00E55167">
        <w:rPr>
          <w:rFonts w:asciiTheme="minorHAnsi" w:hAnsiTheme="minorHAnsi" w:cstheme="minorHAnsi"/>
          <w:b/>
          <w:bCs/>
        </w:rPr>
        <w:t>ylko 44</w:t>
      </w:r>
      <w:r w:rsidR="00E55167">
        <w:rPr>
          <w:rFonts w:asciiTheme="minorHAnsi" w:hAnsiTheme="minorHAnsi" w:cstheme="minorHAnsi"/>
          <w:b/>
          <w:bCs/>
        </w:rPr>
        <w:t xml:space="preserve"> proc. firm w kraju</w:t>
      </w:r>
      <w:r w:rsidR="00E55167" w:rsidRPr="00E55167">
        <w:rPr>
          <w:rFonts w:asciiTheme="minorHAnsi" w:hAnsiTheme="minorHAnsi" w:cstheme="minorHAnsi"/>
          <w:b/>
          <w:bCs/>
        </w:rPr>
        <w:t xml:space="preserve"> ma sformalizowaną politykę zarządzania ryzykiem. To wzrost </w:t>
      </w:r>
      <w:r w:rsidR="00E55167">
        <w:rPr>
          <w:rFonts w:asciiTheme="minorHAnsi" w:hAnsiTheme="minorHAnsi" w:cstheme="minorHAnsi"/>
          <w:b/>
          <w:bCs/>
        </w:rPr>
        <w:t>o 13 proc. względem</w:t>
      </w:r>
      <w:r w:rsidR="00E55167" w:rsidRPr="00E55167">
        <w:rPr>
          <w:rFonts w:asciiTheme="minorHAnsi" w:hAnsiTheme="minorHAnsi" w:cstheme="minorHAnsi"/>
          <w:b/>
          <w:bCs/>
        </w:rPr>
        <w:t xml:space="preserve"> 2021</w:t>
      </w:r>
      <w:r w:rsidR="00E55167">
        <w:rPr>
          <w:rFonts w:asciiTheme="minorHAnsi" w:hAnsiTheme="minorHAnsi" w:cstheme="minorHAnsi"/>
          <w:b/>
          <w:bCs/>
        </w:rPr>
        <w:t xml:space="preserve"> r.</w:t>
      </w:r>
      <w:r w:rsidR="00E55167" w:rsidRPr="00E55167">
        <w:rPr>
          <w:rFonts w:asciiTheme="minorHAnsi" w:hAnsiTheme="minorHAnsi" w:cstheme="minorHAnsi"/>
          <w:b/>
          <w:bCs/>
        </w:rPr>
        <w:t>, ale wciąż mniej niż połowa</w:t>
      </w:r>
      <w:r w:rsidR="00E55167">
        <w:rPr>
          <w:rFonts w:asciiTheme="minorHAnsi" w:hAnsiTheme="minorHAnsi" w:cstheme="minorHAnsi"/>
          <w:b/>
          <w:bCs/>
        </w:rPr>
        <w:t>.</w:t>
      </w:r>
    </w:p>
    <w:p w14:paraId="44E9A4EA" w14:textId="73653D53" w:rsidR="00E55167" w:rsidRDefault="00E55167" w:rsidP="00C8169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</w:t>
      </w:r>
      <w:r w:rsidRPr="00E55167">
        <w:rPr>
          <w:rFonts w:asciiTheme="minorHAnsi" w:hAnsiTheme="minorHAnsi" w:cstheme="minorHAnsi"/>
          <w:b/>
          <w:bCs/>
        </w:rPr>
        <w:t>odejście do zarz</w:t>
      </w:r>
      <w:r w:rsidR="001B6B70">
        <w:rPr>
          <w:rFonts w:asciiTheme="minorHAnsi" w:hAnsiTheme="minorHAnsi" w:cstheme="minorHAnsi"/>
          <w:b/>
          <w:bCs/>
        </w:rPr>
        <w:t>ą</w:t>
      </w:r>
      <w:r w:rsidRPr="00E55167">
        <w:rPr>
          <w:rFonts w:asciiTheme="minorHAnsi" w:hAnsiTheme="minorHAnsi" w:cstheme="minorHAnsi"/>
          <w:b/>
          <w:bCs/>
        </w:rPr>
        <w:t xml:space="preserve">dzania ryzykiem w biznesie w Polsce wciąż </w:t>
      </w:r>
      <w:r w:rsidR="00DC04D1">
        <w:rPr>
          <w:rFonts w:asciiTheme="minorHAnsi" w:hAnsiTheme="minorHAnsi" w:cstheme="minorHAnsi"/>
          <w:b/>
          <w:bCs/>
        </w:rPr>
        <w:t>nie nadąża za</w:t>
      </w:r>
      <w:r>
        <w:rPr>
          <w:rFonts w:asciiTheme="minorHAnsi" w:hAnsiTheme="minorHAnsi" w:cstheme="minorHAnsi"/>
          <w:b/>
          <w:bCs/>
        </w:rPr>
        <w:t xml:space="preserve"> resztą Europy </w:t>
      </w:r>
      <w:r w:rsidR="002E7DA9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 xml:space="preserve"> </w:t>
      </w:r>
      <w:r w:rsidRPr="00E55167">
        <w:rPr>
          <w:rFonts w:asciiTheme="minorHAnsi" w:hAnsiTheme="minorHAnsi" w:cstheme="minorHAnsi"/>
          <w:b/>
          <w:bCs/>
        </w:rPr>
        <w:t>światem.</w:t>
      </w:r>
    </w:p>
    <w:p w14:paraId="325E9F41" w14:textId="5A34D51E" w:rsidR="00E55167" w:rsidRDefault="00E55167" w:rsidP="00C8169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E55167">
        <w:rPr>
          <w:rFonts w:asciiTheme="minorHAnsi" w:hAnsiTheme="minorHAnsi" w:cstheme="minorHAnsi"/>
          <w:b/>
          <w:bCs/>
        </w:rPr>
        <w:t>Jednym z elementów zarządzania ryzykiem w firmie jest zakup ubezpieczeń.</w:t>
      </w:r>
    </w:p>
    <w:p w14:paraId="3484274A" w14:textId="1D21A3E8" w:rsidR="00C81691" w:rsidRPr="00265561" w:rsidRDefault="00E55167" w:rsidP="00C81691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Najczęściej kupowanymi ubezpieczeniami są:</w:t>
      </w:r>
      <w:r w:rsidR="00C81691" w:rsidRPr="00265561">
        <w:rPr>
          <w:rFonts w:asciiTheme="minorHAnsi" w:hAnsiTheme="minorHAnsi" w:cstheme="minorHAnsi"/>
          <w:b/>
          <w:bCs/>
        </w:rPr>
        <w:t xml:space="preserve"> OC pracodawcy, w dalszej kolejności OC komunikacyjne z tytułu prowadzonej działalności, za produkt lub usługę, a także ubezpieczenie na życie, mienia i utraty zysku.</w:t>
      </w:r>
    </w:p>
    <w:p w14:paraId="53249398" w14:textId="77777777" w:rsidR="00C81691" w:rsidRPr="00265561" w:rsidRDefault="00C81691" w:rsidP="00C81691">
      <w:pPr>
        <w:rPr>
          <w:rFonts w:asciiTheme="minorHAnsi" w:hAnsiTheme="minorHAnsi" w:cstheme="minorHAnsi"/>
        </w:rPr>
      </w:pPr>
    </w:p>
    <w:p w14:paraId="5AEC0C8B" w14:textId="08E62D9C" w:rsidR="00C81691" w:rsidRPr="00265561" w:rsidRDefault="00C81691" w:rsidP="00C81691">
      <w:pPr>
        <w:rPr>
          <w:rFonts w:asciiTheme="minorHAnsi" w:hAnsiTheme="minorHAnsi" w:cstheme="minorHAnsi"/>
        </w:rPr>
      </w:pPr>
      <w:r w:rsidRPr="00265561">
        <w:rPr>
          <w:rFonts w:asciiTheme="minorHAnsi" w:hAnsiTheme="minorHAnsi" w:cstheme="minorHAnsi"/>
        </w:rPr>
        <w:t>Przed działającymi w Polsce firmami wciąż wiele pracy w zakresie świadomego zarządzania ryzykiem. Z raportu Aon za 2023 r. „Globalne badanie zarządzaniem ryzkiem” wynika, że choć w 72 proc. z nich obowiązuje polityka zarządzania ryzykiem, to tylko w 44 proc. jest to polityka formalna. Oznacza to wzrost o 13 proc. w porównaniu z  2021 r.</w:t>
      </w:r>
      <w:r w:rsidR="00265561">
        <w:rPr>
          <w:rFonts w:asciiTheme="minorHAnsi" w:hAnsiTheme="minorHAnsi" w:cstheme="minorHAnsi"/>
        </w:rPr>
        <w:t xml:space="preserve"> J</w:t>
      </w:r>
      <w:r w:rsidRPr="00265561">
        <w:rPr>
          <w:rFonts w:asciiTheme="minorHAnsi" w:hAnsiTheme="minorHAnsi" w:cstheme="minorHAnsi"/>
        </w:rPr>
        <w:t xml:space="preserve">ednak względem wyników globalnych nadal te liczby nie wydają się spektakularne. Na świecie aż 88 proc. firm deklaruje posiadanie wdrożonej polityki zarządzania ryzykiem, a formalnie 64 proc. Różnice w podejściu firm działających w kraju oraz tych globalnych widać również w kwestii posiadania wyodrębnionych w tym celu departamentów. W Polsce ma je 47 proc. przedsiębiorstw, na świecie 73 proc. W kraju </w:t>
      </w:r>
      <w:r w:rsidR="00213C4C">
        <w:rPr>
          <w:rFonts w:asciiTheme="minorHAnsi" w:hAnsiTheme="minorHAnsi" w:cstheme="minorHAnsi"/>
        </w:rPr>
        <w:t xml:space="preserve">także </w:t>
      </w:r>
      <w:r w:rsidRPr="00265561">
        <w:rPr>
          <w:rFonts w:asciiTheme="minorHAnsi" w:hAnsiTheme="minorHAnsi" w:cstheme="minorHAnsi"/>
        </w:rPr>
        <w:t>jedynie</w:t>
      </w:r>
      <w:r w:rsidR="00DC04D1">
        <w:rPr>
          <w:rFonts w:asciiTheme="minorHAnsi" w:hAnsiTheme="minorHAnsi" w:cstheme="minorHAnsi"/>
        </w:rPr>
        <w:t xml:space="preserve"> ¼ firm mierzy</w:t>
      </w:r>
      <w:r w:rsidRPr="00265561">
        <w:rPr>
          <w:rFonts w:asciiTheme="minorHAnsi" w:hAnsiTheme="minorHAnsi" w:cstheme="minorHAnsi"/>
        </w:rPr>
        <w:t xml:space="preserve"> </w:t>
      </w:r>
      <w:r w:rsidR="00DC04D1" w:rsidRPr="00DC04D1">
        <w:rPr>
          <w:rFonts w:asciiTheme="minorHAnsi" w:hAnsiTheme="minorHAnsi" w:cstheme="minorHAnsi"/>
        </w:rPr>
        <w:t>łączne koszty ryzyka ubezpieczalnego</w:t>
      </w:r>
      <w:r w:rsidR="00DC04D1">
        <w:rPr>
          <w:rFonts w:asciiTheme="minorHAnsi" w:hAnsiTheme="minorHAnsi" w:cstheme="minorHAnsi"/>
        </w:rPr>
        <w:t>, globalnie – blisko połowa.</w:t>
      </w:r>
    </w:p>
    <w:p w14:paraId="2CAA2097" w14:textId="77777777" w:rsidR="00C81691" w:rsidRPr="00265561" w:rsidRDefault="00C81691" w:rsidP="00C81691">
      <w:pPr>
        <w:rPr>
          <w:rFonts w:asciiTheme="minorHAnsi" w:hAnsiTheme="minorHAnsi" w:cstheme="minorHAnsi"/>
        </w:rPr>
      </w:pPr>
    </w:p>
    <w:p w14:paraId="35E5BBF8" w14:textId="265A41D9" w:rsidR="00C81691" w:rsidRDefault="00C81691" w:rsidP="00C81691">
      <w:pPr>
        <w:rPr>
          <w:rFonts w:asciiTheme="minorHAnsi" w:hAnsiTheme="minorHAnsi" w:cstheme="minorHAnsi"/>
        </w:rPr>
      </w:pPr>
      <w:r w:rsidRPr="00265561">
        <w:rPr>
          <w:rFonts w:asciiTheme="minorHAnsi" w:hAnsiTheme="minorHAnsi" w:cstheme="minorHAnsi"/>
        </w:rPr>
        <w:t xml:space="preserve">- </w:t>
      </w:r>
      <w:r w:rsidR="00265561" w:rsidRPr="00265561">
        <w:rPr>
          <w:rFonts w:asciiTheme="minorHAnsi" w:hAnsiTheme="minorHAnsi" w:cstheme="minorHAnsi"/>
          <w:i/>
          <w:iCs/>
        </w:rPr>
        <w:t xml:space="preserve">W przeważającej większości firm np. o wyborze ryzyk do ubezpieczenia decyduje CFO, czasem księgowa – ponieważ jest to koszt przedsiębiorstwa. Zdarza się, że ubezpieczenia nadal podlegają działowi administracyjnemu. Już po takim przyporządkowaniu widać, że tematyka ubezpieczeń to bardziej kwestia finansowa niż oddziałowująca na zarządzanie ryzykiem. </w:t>
      </w:r>
      <w:r w:rsidRPr="00265561">
        <w:rPr>
          <w:rFonts w:asciiTheme="minorHAnsi" w:hAnsiTheme="minorHAnsi" w:cstheme="minorHAnsi"/>
          <w:i/>
          <w:iCs/>
        </w:rPr>
        <w:t>Nasze badanie wyraźnie pokazuje, że firmy w Polsce wciąż w mniejszym stopniu zajmują się kwestiami związanymi z zarządzaniem ryzykiem niż ma to miejsce w innych częściach Europy i świata. Można powiedzieć, że w Polsce niższa jest świadomość mechanizmów radzenia sobie</w:t>
      </w:r>
      <w:r w:rsidR="00E66EFD">
        <w:rPr>
          <w:rFonts w:asciiTheme="minorHAnsi" w:hAnsiTheme="minorHAnsi" w:cstheme="minorHAnsi"/>
          <w:i/>
          <w:iCs/>
        </w:rPr>
        <w:t xml:space="preserve"> z</w:t>
      </w:r>
      <w:r w:rsidRPr="00265561">
        <w:rPr>
          <w:rFonts w:asciiTheme="minorHAnsi" w:hAnsiTheme="minorHAnsi" w:cstheme="minorHAnsi"/>
          <w:i/>
          <w:iCs/>
        </w:rPr>
        <w:t xml:space="preserve"> zagrożeniami biznesowymi. W pierwszej kolejności zwraca się </w:t>
      </w:r>
      <w:r w:rsidR="00265561" w:rsidRPr="00265561">
        <w:rPr>
          <w:rFonts w:asciiTheme="minorHAnsi" w:hAnsiTheme="minorHAnsi" w:cstheme="minorHAnsi"/>
          <w:i/>
          <w:iCs/>
        </w:rPr>
        <w:t xml:space="preserve">także </w:t>
      </w:r>
      <w:r w:rsidRPr="00265561">
        <w:rPr>
          <w:rFonts w:asciiTheme="minorHAnsi" w:hAnsiTheme="minorHAnsi" w:cstheme="minorHAnsi"/>
          <w:i/>
          <w:iCs/>
        </w:rPr>
        <w:t>uwagę na nieco inne ryzyka</w:t>
      </w:r>
      <w:r w:rsidRPr="00265561">
        <w:rPr>
          <w:rFonts w:asciiTheme="minorHAnsi" w:hAnsiTheme="minorHAnsi" w:cstheme="minorHAnsi"/>
        </w:rPr>
        <w:t xml:space="preserve"> – mówi </w:t>
      </w:r>
      <w:r w:rsidR="00265561" w:rsidRPr="00265561">
        <w:rPr>
          <w:rFonts w:asciiTheme="minorHAnsi" w:hAnsiTheme="minorHAnsi" w:cstheme="minorHAnsi"/>
        </w:rPr>
        <w:t>Sylwia Kozłowska, Chief Broking Officer, Aon Polska.</w:t>
      </w:r>
    </w:p>
    <w:p w14:paraId="3EB9DFF5" w14:textId="77777777" w:rsidR="00DC04D1" w:rsidRPr="00265561" w:rsidRDefault="00DC04D1" w:rsidP="00DC04D1">
      <w:pPr>
        <w:rPr>
          <w:rFonts w:asciiTheme="minorHAnsi" w:hAnsiTheme="minorHAnsi" w:cstheme="minorHAnsi"/>
        </w:rPr>
      </w:pPr>
    </w:p>
    <w:p w14:paraId="7BD19A49" w14:textId="77777777" w:rsidR="00DC04D1" w:rsidRPr="006328DF" w:rsidRDefault="00DC04D1" w:rsidP="00DC04D1">
      <w:pPr>
        <w:rPr>
          <w:rFonts w:asciiTheme="minorHAnsi" w:hAnsiTheme="minorHAnsi" w:cstheme="minorHAnsi"/>
          <w:u w:val="single"/>
        </w:rPr>
      </w:pPr>
      <w:r w:rsidRPr="006328DF">
        <w:rPr>
          <w:rFonts w:asciiTheme="minorHAnsi" w:hAnsiTheme="minorHAnsi" w:cstheme="minorHAnsi"/>
          <w:u w:val="single"/>
        </w:rPr>
        <w:t xml:space="preserve">Aon </w:t>
      </w:r>
      <w:r>
        <w:rPr>
          <w:rFonts w:asciiTheme="minorHAnsi" w:hAnsiTheme="minorHAnsi" w:cstheme="minorHAnsi"/>
          <w:u w:val="single"/>
        </w:rPr>
        <w:t xml:space="preserve">Polska </w:t>
      </w:r>
      <w:r w:rsidRPr="006328DF">
        <w:rPr>
          <w:rFonts w:asciiTheme="minorHAnsi" w:hAnsiTheme="minorHAnsi" w:cstheme="minorHAnsi"/>
          <w:u w:val="single"/>
        </w:rPr>
        <w:t>przygotował listę 10 ryzyk, które firmy działające w Polsce najczęściej chcą obejmować ubezpieczeniem:</w:t>
      </w:r>
    </w:p>
    <w:p w14:paraId="3318CC05" w14:textId="77777777" w:rsidR="00DC04D1" w:rsidRDefault="00DC04D1" w:rsidP="00DC04D1">
      <w:pPr>
        <w:rPr>
          <w:rFonts w:asciiTheme="minorHAnsi" w:hAnsiTheme="minorHAnsi" w:cstheme="minorHAnsi"/>
        </w:rPr>
      </w:pPr>
    </w:p>
    <w:p w14:paraId="5957AC10" w14:textId="77777777" w:rsidR="00DC04D1" w:rsidRDefault="00DC04D1" w:rsidP="00DC04D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 pracodawcy</w:t>
      </w:r>
    </w:p>
    <w:p w14:paraId="1370D043" w14:textId="77777777" w:rsidR="00DC04D1" w:rsidRDefault="00DC04D1" w:rsidP="00DC04D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 komunikacyjne</w:t>
      </w:r>
    </w:p>
    <w:p w14:paraId="69F243C6" w14:textId="77777777" w:rsidR="00DC04D1" w:rsidRDefault="00DC04D1" w:rsidP="00DC04D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 z tytułu prowadzonej działalności</w:t>
      </w:r>
    </w:p>
    <w:p w14:paraId="0E1EEDEE" w14:textId="77777777" w:rsidR="00DC04D1" w:rsidRDefault="00DC04D1" w:rsidP="00DC04D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Ubezpieczenie mienia i utraty zysku</w:t>
      </w:r>
    </w:p>
    <w:p w14:paraId="539A859F" w14:textId="77777777" w:rsidR="00DC04D1" w:rsidRDefault="00DC04D1" w:rsidP="00DC04D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OC za produkt/usługę</w:t>
      </w:r>
    </w:p>
    <w:p w14:paraId="6A050D82" w14:textId="77777777" w:rsidR="00DC04D1" w:rsidRDefault="00DC04D1" w:rsidP="00DC04D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Ubezpieczenie na życie</w:t>
      </w:r>
    </w:p>
    <w:p w14:paraId="5EE431E1" w14:textId="77777777" w:rsidR="00DC04D1" w:rsidRDefault="00DC04D1" w:rsidP="00DC04D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Terroryzm</w:t>
      </w:r>
    </w:p>
    <w:p w14:paraId="735A7607" w14:textId="77777777" w:rsidR="00DC04D1" w:rsidRDefault="00DC04D1" w:rsidP="00DC04D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Ubezpieczenie należności handlowych</w:t>
      </w:r>
    </w:p>
    <w:p w14:paraId="706EDCF5" w14:textId="77777777" w:rsidR="00DC04D1" w:rsidRDefault="00DC04D1" w:rsidP="00DC04D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Gwarancje</w:t>
      </w:r>
    </w:p>
    <w:p w14:paraId="681F8AED" w14:textId="77777777" w:rsidR="00DC04D1" w:rsidRPr="00A11ED0" w:rsidRDefault="00DC04D1" w:rsidP="00DC04D1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Produkty finansowe</w:t>
      </w:r>
    </w:p>
    <w:p w14:paraId="12086921" w14:textId="77777777" w:rsidR="00DC04D1" w:rsidRPr="00265561" w:rsidRDefault="00DC04D1" w:rsidP="00C81691">
      <w:pPr>
        <w:rPr>
          <w:rFonts w:asciiTheme="minorHAnsi" w:hAnsiTheme="minorHAnsi" w:cstheme="minorHAnsi"/>
        </w:rPr>
      </w:pPr>
    </w:p>
    <w:p w14:paraId="7A3FD821" w14:textId="77777777" w:rsidR="00265561" w:rsidRPr="00265561" w:rsidRDefault="00265561" w:rsidP="00265561">
      <w:pPr>
        <w:rPr>
          <w:rFonts w:asciiTheme="minorHAnsi" w:hAnsiTheme="minorHAnsi" w:cstheme="minorHAnsi"/>
          <w:b/>
          <w:bCs/>
        </w:rPr>
      </w:pPr>
    </w:p>
    <w:p w14:paraId="29674E0D" w14:textId="77777777" w:rsidR="00265561" w:rsidRDefault="00265561" w:rsidP="00265561">
      <w:pPr>
        <w:rPr>
          <w:rFonts w:asciiTheme="minorHAnsi" w:hAnsiTheme="minorHAnsi" w:cstheme="minorHAnsi"/>
          <w:b/>
          <w:bCs/>
        </w:rPr>
      </w:pPr>
      <w:r w:rsidRPr="00265561">
        <w:rPr>
          <w:rFonts w:asciiTheme="minorHAnsi" w:hAnsiTheme="minorHAnsi" w:cstheme="minorHAnsi"/>
          <w:b/>
          <w:bCs/>
        </w:rPr>
        <w:t>Ubezpieczyciele nie chcą ubezpieczać źle zarządzanych firm</w:t>
      </w:r>
    </w:p>
    <w:p w14:paraId="4E2E41F4" w14:textId="0FA9B3DB" w:rsidR="00265561" w:rsidRDefault="00951ABD" w:rsidP="00265561">
      <w:pPr>
        <w:rPr>
          <w:rFonts w:asciiTheme="minorHAnsi" w:hAnsiTheme="minorHAnsi" w:cstheme="minorHAnsi"/>
        </w:rPr>
      </w:pPr>
      <w:r w:rsidRPr="00265561">
        <w:rPr>
          <w:rFonts w:asciiTheme="minorHAnsi" w:hAnsiTheme="minorHAnsi" w:cstheme="minorHAnsi"/>
        </w:rPr>
        <w:br/>
      </w:r>
      <w:r w:rsidR="00265561" w:rsidRPr="00265561">
        <w:rPr>
          <w:rFonts w:asciiTheme="minorHAnsi" w:hAnsiTheme="minorHAnsi" w:cstheme="minorHAnsi"/>
        </w:rPr>
        <w:t>Umowy ubezpieczenia to</w:t>
      </w:r>
      <w:r w:rsidR="00E55167">
        <w:rPr>
          <w:rFonts w:asciiTheme="minorHAnsi" w:hAnsiTheme="minorHAnsi" w:cstheme="minorHAnsi"/>
        </w:rPr>
        <w:t xml:space="preserve"> ważny element </w:t>
      </w:r>
      <w:r w:rsidR="00265561" w:rsidRPr="00265561">
        <w:rPr>
          <w:rFonts w:asciiTheme="minorHAnsi" w:hAnsiTheme="minorHAnsi" w:cstheme="minorHAnsi"/>
        </w:rPr>
        <w:t>procesu zarządz</w:t>
      </w:r>
      <w:r w:rsidR="00FE225C">
        <w:rPr>
          <w:rFonts w:asciiTheme="minorHAnsi" w:hAnsiTheme="minorHAnsi" w:cstheme="minorHAnsi"/>
        </w:rPr>
        <w:t>a</w:t>
      </w:r>
      <w:r w:rsidR="00265561" w:rsidRPr="00265561">
        <w:rPr>
          <w:rFonts w:asciiTheme="minorHAnsi" w:hAnsiTheme="minorHAnsi" w:cstheme="minorHAnsi"/>
        </w:rPr>
        <w:t xml:space="preserve">nia ryzykiem ze względu na jego częściowy transfer na ubezpieczyciela i przeniesienie ciężaru finansowego w formie wypłaty odszkodowania za powstałą szkodę. Jednak polisa </w:t>
      </w:r>
      <w:r w:rsidR="00265561">
        <w:rPr>
          <w:rFonts w:asciiTheme="minorHAnsi" w:hAnsiTheme="minorHAnsi" w:cstheme="minorHAnsi"/>
        </w:rPr>
        <w:t>nie jest lekiem</w:t>
      </w:r>
      <w:r w:rsidR="00265561" w:rsidRPr="00265561">
        <w:rPr>
          <w:rFonts w:asciiTheme="minorHAnsi" w:hAnsiTheme="minorHAnsi" w:cstheme="minorHAnsi"/>
        </w:rPr>
        <w:t xml:space="preserve"> na całe zło, a ubezpieczyciele </w:t>
      </w:r>
      <w:r w:rsidR="00DC04D1">
        <w:rPr>
          <w:rFonts w:asciiTheme="minorHAnsi" w:hAnsiTheme="minorHAnsi" w:cstheme="minorHAnsi"/>
        </w:rPr>
        <w:t xml:space="preserve">mają świadomość ryzyka </w:t>
      </w:r>
      <w:r w:rsidR="00DC04D1">
        <w:rPr>
          <w:rFonts w:asciiTheme="minorHAnsi" w:hAnsiTheme="minorHAnsi" w:cstheme="minorHAnsi"/>
        </w:rPr>
        <w:lastRenderedPageBreak/>
        <w:t>związanego z ubezpieczaniem nieprawidłowo</w:t>
      </w:r>
      <w:r w:rsidR="00265561" w:rsidRPr="00265561">
        <w:rPr>
          <w:rFonts w:asciiTheme="minorHAnsi" w:hAnsiTheme="minorHAnsi" w:cstheme="minorHAnsi"/>
        </w:rPr>
        <w:t xml:space="preserve"> zarządzanych firm</w:t>
      </w:r>
      <w:r w:rsidR="00DC04D1">
        <w:rPr>
          <w:rFonts w:asciiTheme="minorHAnsi" w:hAnsiTheme="minorHAnsi" w:cstheme="minorHAnsi"/>
        </w:rPr>
        <w:t xml:space="preserve"> </w:t>
      </w:r>
      <w:r w:rsidR="003C15B5">
        <w:rPr>
          <w:rFonts w:asciiTheme="minorHAnsi" w:hAnsiTheme="minorHAnsi" w:cstheme="minorHAnsi"/>
        </w:rPr>
        <w:t>–</w:t>
      </w:r>
      <w:r w:rsidR="00265561">
        <w:rPr>
          <w:rFonts w:asciiTheme="minorHAnsi" w:hAnsiTheme="minorHAnsi" w:cstheme="minorHAnsi"/>
        </w:rPr>
        <w:t xml:space="preserve"> generuje to</w:t>
      </w:r>
      <w:r w:rsidR="00265561" w:rsidRPr="00265561">
        <w:rPr>
          <w:rFonts w:asciiTheme="minorHAnsi" w:hAnsiTheme="minorHAnsi" w:cstheme="minorHAnsi"/>
        </w:rPr>
        <w:t xml:space="preserve"> zwiększone prawdopodobieństwo powstania szkody. </w:t>
      </w:r>
    </w:p>
    <w:p w14:paraId="5CA9227D" w14:textId="77777777" w:rsidR="00265561" w:rsidRDefault="00265561" w:rsidP="00265561">
      <w:pPr>
        <w:rPr>
          <w:rFonts w:asciiTheme="minorHAnsi" w:hAnsiTheme="minorHAnsi" w:cstheme="minorHAnsi"/>
        </w:rPr>
      </w:pPr>
    </w:p>
    <w:p w14:paraId="7417B5BC" w14:textId="00C6CD3E" w:rsidR="00265561" w:rsidRPr="00265561" w:rsidRDefault="00265561" w:rsidP="0026556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DC04D1">
        <w:rPr>
          <w:rFonts w:asciiTheme="minorHAnsi" w:hAnsiTheme="minorHAnsi" w:cstheme="minorHAnsi"/>
          <w:i/>
          <w:iCs/>
        </w:rPr>
        <w:t>Z</w:t>
      </w:r>
      <w:r w:rsidR="00DC04D1" w:rsidRPr="00DC04D1">
        <w:rPr>
          <w:rFonts w:asciiTheme="minorHAnsi" w:hAnsiTheme="minorHAnsi" w:cstheme="minorHAnsi"/>
          <w:i/>
          <w:iCs/>
        </w:rPr>
        <w:t>darza się, że brak wdrożonej polityki zarządza</w:t>
      </w:r>
      <w:r w:rsidR="00DC04D1">
        <w:rPr>
          <w:rFonts w:asciiTheme="minorHAnsi" w:hAnsiTheme="minorHAnsi" w:cstheme="minorHAnsi"/>
          <w:i/>
          <w:iCs/>
        </w:rPr>
        <w:t>n</w:t>
      </w:r>
      <w:r w:rsidR="00DC04D1" w:rsidRPr="00DC04D1">
        <w:rPr>
          <w:rFonts w:asciiTheme="minorHAnsi" w:hAnsiTheme="minorHAnsi" w:cstheme="minorHAnsi"/>
          <w:i/>
          <w:iCs/>
        </w:rPr>
        <w:t>ia ryzykiem w firmie uniemożliwia zawarcie umowy ubezpieczenia.</w:t>
      </w:r>
      <w:r w:rsidRPr="00265561">
        <w:rPr>
          <w:rFonts w:asciiTheme="minorHAnsi" w:hAnsiTheme="minorHAnsi" w:cstheme="minorHAnsi"/>
          <w:i/>
          <w:iCs/>
        </w:rPr>
        <w:t xml:space="preserve"> Stąd też po stronie ubezpieczycieli pojawiają się oczekiwania i rekomendacje, by to prawdopodobieństwo zmniejszyć poprzez wdrożenie różnego rodzaju systemów, procedur czy szkoleń. Część ubezpieczycieli ma w swojej filozofii szerzenie wiedzy z zakresu zarządzania ryzykiem i realizują te cele poprzez swoje spółki córki oddelegowane do tych zadań. Coraz częściej podejmują dialog z klientami i zachęcają do podejmowania innych działań w obrębie zarządzania ryzykiem niż tylko poprzez wykupienie polisy. Coraz popularniejsze jest zatrudnianie inżynierów ryzyka przez brokerów i poszerzanie serwisu brokerskiego o usługi inżynieryjne</w:t>
      </w:r>
      <w:r w:rsidR="00967111">
        <w:rPr>
          <w:rFonts w:asciiTheme="minorHAnsi" w:hAnsiTheme="minorHAnsi" w:cstheme="minorHAnsi"/>
          <w:i/>
          <w:iCs/>
        </w:rPr>
        <w:t>. D</w:t>
      </w:r>
      <w:r w:rsidR="00967111" w:rsidRPr="00967111">
        <w:rPr>
          <w:rFonts w:asciiTheme="minorHAnsi" w:hAnsiTheme="minorHAnsi" w:cstheme="minorHAnsi"/>
          <w:i/>
          <w:iCs/>
        </w:rPr>
        <w:t xml:space="preserve">okonują </w:t>
      </w:r>
      <w:r w:rsidR="00967111">
        <w:rPr>
          <w:rFonts w:asciiTheme="minorHAnsi" w:hAnsiTheme="minorHAnsi" w:cstheme="minorHAnsi"/>
          <w:i/>
          <w:iCs/>
        </w:rPr>
        <w:t xml:space="preserve">oni </w:t>
      </w:r>
      <w:r w:rsidR="00967111" w:rsidRPr="00967111">
        <w:rPr>
          <w:rFonts w:asciiTheme="minorHAnsi" w:hAnsiTheme="minorHAnsi" w:cstheme="minorHAnsi"/>
          <w:i/>
          <w:iCs/>
        </w:rPr>
        <w:t>tzw. wizyty ryzyka przed zawarciem umowy ubezpieczenia</w:t>
      </w:r>
      <w:r w:rsidR="00967111">
        <w:rPr>
          <w:rFonts w:asciiTheme="minorHAnsi" w:hAnsiTheme="minorHAnsi" w:cstheme="minorHAnsi"/>
          <w:i/>
          <w:iCs/>
        </w:rPr>
        <w:t xml:space="preserve"> i</w:t>
      </w:r>
      <w:r w:rsidR="00967111" w:rsidRPr="00967111">
        <w:rPr>
          <w:rFonts w:asciiTheme="minorHAnsi" w:hAnsiTheme="minorHAnsi" w:cstheme="minorHAnsi"/>
          <w:i/>
          <w:iCs/>
        </w:rPr>
        <w:t xml:space="preserve"> często </w:t>
      </w:r>
      <w:r w:rsidR="00967111">
        <w:rPr>
          <w:rFonts w:asciiTheme="minorHAnsi" w:hAnsiTheme="minorHAnsi" w:cstheme="minorHAnsi"/>
          <w:i/>
          <w:iCs/>
        </w:rPr>
        <w:t>zwracają uwagę na konieczność</w:t>
      </w:r>
      <w:r w:rsidR="00967111" w:rsidRPr="00967111">
        <w:rPr>
          <w:rFonts w:asciiTheme="minorHAnsi" w:hAnsiTheme="minorHAnsi" w:cstheme="minorHAnsi"/>
          <w:i/>
          <w:iCs/>
        </w:rPr>
        <w:t xml:space="preserve"> wdrażani</w:t>
      </w:r>
      <w:r w:rsidR="00967111">
        <w:rPr>
          <w:rFonts w:asciiTheme="minorHAnsi" w:hAnsiTheme="minorHAnsi" w:cstheme="minorHAnsi"/>
          <w:i/>
          <w:iCs/>
        </w:rPr>
        <w:t>a</w:t>
      </w:r>
      <w:r w:rsidR="00967111" w:rsidRPr="00967111">
        <w:rPr>
          <w:rFonts w:asciiTheme="minorHAnsi" w:hAnsiTheme="minorHAnsi" w:cstheme="minorHAnsi"/>
          <w:i/>
          <w:iCs/>
        </w:rPr>
        <w:t xml:space="preserve"> niektórych rozwiązań dotyczących zarządzania ryzykiem. Przykładem może być plan ciągłości działania (BCP – business continuity plan)</w:t>
      </w:r>
      <w:r w:rsidR="00967111">
        <w:rPr>
          <w:rFonts w:asciiTheme="minorHAnsi" w:hAnsiTheme="minorHAnsi" w:cstheme="minorHAnsi"/>
          <w:i/>
          <w:iCs/>
        </w:rPr>
        <w:t xml:space="preserve">. </w:t>
      </w:r>
      <w:r w:rsidR="00967111" w:rsidRPr="00967111">
        <w:rPr>
          <w:rFonts w:asciiTheme="minorHAnsi" w:hAnsiTheme="minorHAnsi" w:cstheme="minorHAnsi"/>
          <w:i/>
          <w:iCs/>
        </w:rPr>
        <w:t xml:space="preserve">Tylko niewielki odsetek firm posiada </w:t>
      </w:r>
      <w:r w:rsidR="00967111">
        <w:rPr>
          <w:rFonts w:asciiTheme="minorHAnsi" w:hAnsiTheme="minorHAnsi" w:cstheme="minorHAnsi"/>
          <w:i/>
          <w:iCs/>
        </w:rPr>
        <w:t xml:space="preserve">go </w:t>
      </w:r>
      <w:r w:rsidR="00967111" w:rsidRPr="00967111">
        <w:rPr>
          <w:rFonts w:asciiTheme="minorHAnsi" w:hAnsiTheme="minorHAnsi" w:cstheme="minorHAnsi"/>
          <w:i/>
          <w:iCs/>
        </w:rPr>
        <w:t xml:space="preserve">przed </w:t>
      </w:r>
      <w:r w:rsidR="00DC04D1">
        <w:rPr>
          <w:rFonts w:asciiTheme="minorHAnsi" w:hAnsiTheme="minorHAnsi" w:cstheme="minorHAnsi"/>
          <w:i/>
          <w:iCs/>
        </w:rPr>
        <w:t>wizytą</w:t>
      </w:r>
      <w:r>
        <w:rPr>
          <w:rFonts w:asciiTheme="minorHAnsi" w:hAnsiTheme="minorHAnsi" w:cstheme="minorHAnsi"/>
        </w:rPr>
        <w:t xml:space="preserve"> – wyjaśnia </w:t>
      </w:r>
      <w:r w:rsidRPr="00265561">
        <w:rPr>
          <w:rFonts w:asciiTheme="minorHAnsi" w:hAnsiTheme="minorHAnsi" w:cstheme="minorHAnsi"/>
        </w:rPr>
        <w:t>Sylwia Kozłowska, Aon Polska.</w:t>
      </w:r>
    </w:p>
    <w:p w14:paraId="5013BEB6" w14:textId="77777777" w:rsidR="00951ABD" w:rsidRPr="006328DF" w:rsidRDefault="00951ABD" w:rsidP="00951ABD">
      <w:pPr>
        <w:rPr>
          <w:rFonts w:asciiTheme="minorHAnsi" w:hAnsiTheme="minorHAnsi" w:cstheme="minorHAnsi"/>
        </w:rPr>
      </w:pPr>
    </w:p>
    <w:p w14:paraId="2F3D2915" w14:textId="272D3DB0" w:rsidR="00951ABD" w:rsidRPr="006328DF" w:rsidRDefault="00951ABD" w:rsidP="00265561">
      <w:pPr>
        <w:rPr>
          <w:rFonts w:asciiTheme="minorHAnsi" w:hAnsiTheme="minorHAnsi" w:cstheme="minorHAnsi"/>
        </w:rPr>
      </w:pPr>
    </w:p>
    <w:p w14:paraId="3EF31F03" w14:textId="77777777" w:rsidR="006328DF" w:rsidRPr="00265561" w:rsidRDefault="006328DF" w:rsidP="006328DF">
      <w:pPr>
        <w:rPr>
          <w:rFonts w:asciiTheme="minorHAnsi" w:hAnsiTheme="minorHAnsi" w:cstheme="minorHAnsi"/>
        </w:rPr>
      </w:pPr>
    </w:p>
    <w:p w14:paraId="15B8552A" w14:textId="0FF97F4C" w:rsidR="00951ABD" w:rsidRPr="006328DF" w:rsidRDefault="00951ABD" w:rsidP="006328DF">
      <w:pPr>
        <w:rPr>
          <w:rFonts w:asciiTheme="minorHAnsi" w:hAnsiTheme="minorHAnsi" w:cstheme="minorHAnsi"/>
          <w:color w:val="BF9000"/>
        </w:rPr>
      </w:pPr>
    </w:p>
    <w:p w14:paraId="5BA7E38E" w14:textId="77777777" w:rsidR="00951ABD" w:rsidRPr="00265561" w:rsidRDefault="00951ABD" w:rsidP="00951ABD">
      <w:pPr>
        <w:rPr>
          <w:rFonts w:asciiTheme="minorHAnsi" w:hAnsiTheme="minorHAnsi" w:cstheme="minorHAnsi"/>
        </w:rPr>
      </w:pPr>
    </w:p>
    <w:p w14:paraId="52D19A5F" w14:textId="77777777" w:rsidR="00951ABD" w:rsidRPr="00265561" w:rsidRDefault="00951ABD" w:rsidP="00951ABD">
      <w:pPr>
        <w:rPr>
          <w:rFonts w:asciiTheme="minorHAnsi" w:hAnsiTheme="minorHAnsi" w:cstheme="minorHAnsi"/>
        </w:rPr>
      </w:pPr>
    </w:p>
    <w:p w14:paraId="24E12BD3" w14:textId="77777777" w:rsidR="00F6102F" w:rsidRPr="00265561" w:rsidRDefault="00F6102F">
      <w:pPr>
        <w:rPr>
          <w:rFonts w:asciiTheme="minorHAnsi" w:hAnsiTheme="minorHAnsi" w:cstheme="minorHAnsi"/>
        </w:rPr>
      </w:pPr>
    </w:p>
    <w:sectPr w:rsidR="00F6102F" w:rsidRPr="0026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251"/>
    <w:multiLevelType w:val="hybridMultilevel"/>
    <w:tmpl w:val="A2D07372"/>
    <w:lvl w:ilvl="0" w:tplc="59EE543A">
      <w:start w:val="1"/>
      <w:numFmt w:val="decimal"/>
      <w:lvlText w:val="%1."/>
      <w:lvlJc w:val="left"/>
      <w:pPr>
        <w:ind w:left="1020" w:hanging="360"/>
      </w:pPr>
    </w:lvl>
    <w:lvl w:ilvl="1" w:tplc="C9208A7E">
      <w:start w:val="1"/>
      <w:numFmt w:val="decimal"/>
      <w:lvlText w:val="%2."/>
      <w:lvlJc w:val="left"/>
      <w:pPr>
        <w:ind w:left="1020" w:hanging="360"/>
      </w:pPr>
    </w:lvl>
    <w:lvl w:ilvl="2" w:tplc="963C1D28">
      <w:start w:val="1"/>
      <w:numFmt w:val="decimal"/>
      <w:lvlText w:val="%3."/>
      <w:lvlJc w:val="left"/>
      <w:pPr>
        <w:ind w:left="1020" w:hanging="360"/>
      </w:pPr>
    </w:lvl>
    <w:lvl w:ilvl="3" w:tplc="EC4CD23E">
      <w:start w:val="1"/>
      <w:numFmt w:val="decimal"/>
      <w:lvlText w:val="%4."/>
      <w:lvlJc w:val="left"/>
      <w:pPr>
        <w:ind w:left="1020" w:hanging="360"/>
      </w:pPr>
    </w:lvl>
    <w:lvl w:ilvl="4" w:tplc="2F9CF4A6">
      <w:start w:val="1"/>
      <w:numFmt w:val="decimal"/>
      <w:lvlText w:val="%5."/>
      <w:lvlJc w:val="left"/>
      <w:pPr>
        <w:ind w:left="1020" w:hanging="360"/>
      </w:pPr>
    </w:lvl>
    <w:lvl w:ilvl="5" w:tplc="17767614">
      <w:start w:val="1"/>
      <w:numFmt w:val="decimal"/>
      <w:lvlText w:val="%6."/>
      <w:lvlJc w:val="left"/>
      <w:pPr>
        <w:ind w:left="1020" w:hanging="360"/>
      </w:pPr>
    </w:lvl>
    <w:lvl w:ilvl="6" w:tplc="784C72D2">
      <w:start w:val="1"/>
      <w:numFmt w:val="decimal"/>
      <w:lvlText w:val="%7."/>
      <w:lvlJc w:val="left"/>
      <w:pPr>
        <w:ind w:left="1020" w:hanging="360"/>
      </w:pPr>
    </w:lvl>
    <w:lvl w:ilvl="7" w:tplc="82FEE1C8">
      <w:start w:val="1"/>
      <w:numFmt w:val="decimal"/>
      <w:lvlText w:val="%8."/>
      <w:lvlJc w:val="left"/>
      <w:pPr>
        <w:ind w:left="1020" w:hanging="360"/>
      </w:pPr>
    </w:lvl>
    <w:lvl w:ilvl="8" w:tplc="529807C0">
      <w:start w:val="1"/>
      <w:numFmt w:val="decimal"/>
      <w:lvlText w:val="%9."/>
      <w:lvlJc w:val="left"/>
      <w:pPr>
        <w:ind w:left="1020" w:hanging="360"/>
      </w:pPr>
    </w:lvl>
  </w:abstractNum>
  <w:abstractNum w:abstractNumId="1" w15:restartNumberingAfterBreak="0">
    <w:nsid w:val="148F6EF0"/>
    <w:multiLevelType w:val="hybridMultilevel"/>
    <w:tmpl w:val="6CE6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71C34"/>
    <w:multiLevelType w:val="hybridMultilevel"/>
    <w:tmpl w:val="59128412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70053906"/>
    <w:multiLevelType w:val="hybridMultilevel"/>
    <w:tmpl w:val="A82AE24C"/>
    <w:lvl w:ilvl="0" w:tplc="17E408EA">
      <w:start w:val="1"/>
      <w:numFmt w:val="decimal"/>
      <w:lvlText w:val="%1."/>
      <w:lvlJc w:val="left"/>
      <w:pPr>
        <w:ind w:left="1020" w:hanging="360"/>
      </w:pPr>
    </w:lvl>
    <w:lvl w:ilvl="1" w:tplc="777A0836">
      <w:start w:val="1"/>
      <w:numFmt w:val="decimal"/>
      <w:lvlText w:val="%2."/>
      <w:lvlJc w:val="left"/>
      <w:pPr>
        <w:ind w:left="1020" w:hanging="360"/>
      </w:pPr>
    </w:lvl>
    <w:lvl w:ilvl="2" w:tplc="6182252E">
      <w:start w:val="1"/>
      <w:numFmt w:val="decimal"/>
      <w:lvlText w:val="%3."/>
      <w:lvlJc w:val="left"/>
      <w:pPr>
        <w:ind w:left="1020" w:hanging="360"/>
      </w:pPr>
    </w:lvl>
    <w:lvl w:ilvl="3" w:tplc="B6043676">
      <w:start w:val="1"/>
      <w:numFmt w:val="decimal"/>
      <w:lvlText w:val="%4."/>
      <w:lvlJc w:val="left"/>
      <w:pPr>
        <w:ind w:left="1020" w:hanging="360"/>
      </w:pPr>
    </w:lvl>
    <w:lvl w:ilvl="4" w:tplc="97C28F80">
      <w:start w:val="1"/>
      <w:numFmt w:val="decimal"/>
      <w:lvlText w:val="%5."/>
      <w:lvlJc w:val="left"/>
      <w:pPr>
        <w:ind w:left="1020" w:hanging="360"/>
      </w:pPr>
    </w:lvl>
    <w:lvl w:ilvl="5" w:tplc="B29E0D50">
      <w:start w:val="1"/>
      <w:numFmt w:val="decimal"/>
      <w:lvlText w:val="%6."/>
      <w:lvlJc w:val="left"/>
      <w:pPr>
        <w:ind w:left="1020" w:hanging="360"/>
      </w:pPr>
    </w:lvl>
    <w:lvl w:ilvl="6" w:tplc="13D889E6">
      <w:start w:val="1"/>
      <w:numFmt w:val="decimal"/>
      <w:lvlText w:val="%7."/>
      <w:lvlJc w:val="left"/>
      <w:pPr>
        <w:ind w:left="1020" w:hanging="360"/>
      </w:pPr>
    </w:lvl>
    <w:lvl w:ilvl="7" w:tplc="D916BD5E">
      <w:start w:val="1"/>
      <w:numFmt w:val="decimal"/>
      <w:lvlText w:val="%8."/>
      <w:lvlJc w:val="left"/>
      <w:pPr>
        <w:ind w:left="1020" w:hanging="360"/>
      </w:pPr>
    </w:lvl>
    <w:lvl w:ilvl="8" w:tplc="3B429ED4">
      <w:start w:val="1"/>
      <w:numFmt w:val="decimal"/>
      <w:lvlText w:val="%9."/>
      <w:lvlJc w:val="left"/>
      <w:pPr>
        <w:ind w:left="1020" w:hanging="360"/>
      </w:pPr>
    </w:lvl>
  </w:abstractNum>
  <w:abstractNum w:abstractNumId="4" w15:restartNumberingAfterBreak="0">
    <w:nsid w:val="7E4909AC"/>
    <w:multiLevelType w:val="hybridMultilevel"/>
    <w:tmpl w:val="8C10D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102577">
    <w:abstractNumId w:val="1"/>
  </w:num>
  <w:num w:numId="2" w16cid:durableId="1026518719">
    <w:abstractNumId w:val="2"/>
  </w:num>
  <w:num w:numId="3" w16cid:durableId="513803927">
    <w:abstractNumId w:val="4"/>
  </w:num>
  <w:num w:numId="4" w16cid:durableId="1605847950">
    <w:abstractNumId w:val="3"/>
  </w:num>
  <w:num w:numId="5" w16cid:durableId="162164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BD"/>
    <w:rsid w:val="001B6B70"/>
    <w:rsid w:val="00213C4C"/>
    <w:rsid w:val="00252684"/>
    <w:rsid w:val="00265561"/>
    <w:rsid w:val="002E7DA9"/>
    <w:rsid w:val="00303D67"/>
    <w:rsid w:val="00346730"/>
    <w:rsid w:val="003C15B5"/>
    <w:rsid w:val="00443E3E"/>
    <w:rsid w:val="0054686A"/>
    <w:rsid w:val="005F1881"/>
    <w:rsid w:val="006328DF"/>
    <w:rsid w:val="00727BA4"/>
    <w:rsid w:val="00951ABD"/>
    <w:rsid w:val="00967111"/>
    <w:rsid w:val="00A11ED0"/>
    <w:rsid w:val="00B31657"/>
    <w:rsid w:val="00C222A5"/>
    <w:rsid w:val="00C81691"/>
    <w:rsid w:val="00DC04D1"/>
    <w:rsid w:val="00E55167"/>
    <w:rsid w:val="00E66EFD"/>
    <w:rsid w:val="00F6102F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9B0B"/>
  <w15:chartTrackingRefBased/>
  <w15:docId w15:val="{7A43D8B3-6DF6-48DA-8509-94AA6D20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1ABD"/>
    <w:pPr>
      <w:spacing w:after="0" w:line="240" w:lineRule="auto"/>
    </w:pPr>
    <w:rPr>
      <w:rFonts w:ascii="Calibri" w:hAnsi="Calibri" w:cs="Calibri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1ABD"/>
    <w:pPr>
      <w:ind w:left="720"/>
    </w:pPr>
    <w:rPr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1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1691"/>
    <w:rPr>
      <w:rFonts w:ascii="Calibri" w:hAnsi="Calibri" w:cs="Calibri"/>
      <w:kern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691"/>
    <w:rPr>
      <w:rFonts w:ascii="Calibri" w:hAnsi="Calibri" w:cs="Calibri"/>
      <w:b/>
      <w:bCs/>
      <w:kern w:val="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F1881"/>
    <w:pPr>
      <w:spacing w:after="0" w:line="240" w:lineRule="auto"/>
    </w:pPr>
    <w:rPr>
      <w:rFonts w:ascii="Calibri" w:hAnsi="Calibri" w:cs="Calibri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Chodacka-Seruga</dc:creator>
  <cp:keywords/>
  <dc:description/>
  <cp:lastModifiedBy>Kinga Chodacka-Seruga</cp:lastModifiedBy>
  <cp:revision>8</cp:revision>
  <dcterms:created xsi:type="dcterms:W3CDTF">2024-02-19T10:23:00Z</dcterms:created>
  <dcterms:modified xsi:type="dcterms:W3CDTF">2024-02-28T09:11:00Z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43f10a-881e-4653-a55e-02ca2cc829dc_Enabled">
    <vt:lpwstr>true</vt:lpwstr>
  </property>
  <property fmtid="{D5CDD505-2E9C-101B-9397-08002B2CF9AE}" pid="3" name="MSIP_Label_9043f10a-881e-4653-a55e-02ca2cc829dc_SetDate">
    <vt:lpwstr>2024-02-21T09:58:52Z</vt:lpwstr>
  </property>
  <property fmtid="{D5CDD505-2E9C-101B-9397-08002B2CF9AE}" pid="4" name="MSIP_Label_9043f10a-881e-4653-a55e-02ca2cc829dc_Method">
    <vt:lpwstr>Standard</vt:lpwstr>
  </property>
  <property fmtid="{D5CDD505-2E9C-101B-9397-08002B2CF9AE}" pid="5" name="MSIP_Label_9043f10a-881e-4653-a55e-02ca2cc829dc_Name">
    <vt:lpwstr>ADC_class_200</vt:lpwstr>
  </property>
  <property fmtid="{D5CDD505-2E9C-101B-9397-08002B2CF9AE}" pid="6" name="MSIP_Label_9043f10a-881e-4653-a55e-02ca2cc829dc_SiteId">
    <vt:lpwstr>94cfddbc-0627-494a-ad7a-29aea3aea832</vt:lpwstr>
  </property>
  <property fmtid="{D5CDD505-2E9C-101B-9397-08002B2CF9AE}" pid="7" name="MSIP_Label_9043f10a-881e-4653-a55e-02ca2cc829dc_ActionId">
    <vt:lpwstr>be23bcf9-96ed-4672-9835-46c718a1c34e</vt:lpwstr>
  </property>
  <property fmtid="{D5CDD505-2E9C-101B-9397-08002B2CF9AE}" pid="8" name="MSIP_Label_9043f10a-881e-4653-a55e-02ca2cc829dc_ContentBits">
    <vt:lpwstr>0</vt:lpwstr>
  </property>
</Properties>
</file>