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6A313" w14:textId="77777777" w:rsidR="00D824D3" w:rsidRPr="00294955" w:rsidRDefault="00637C06">
      <w:pPr>
        <w:tabs>
          <w:tab w:val="left" w:pos="905"/>
          <w:tab w:val="right" w:pos="9298"/>
        </w:tabs>
        <w:spacing w:after="0" w:line="360" w:lineRule="auto"/>
        <w:jc w:val="right"/>
        <w:rPr>
          <w:rFonts w:ascii="Tahoma" w:eastAsia="Tahoma" w:hAnsi="Tahoma" w:cs="Tahoma"/>
          <w:color w:val="808080"/>
          <w:sz w:val="20"/>
          <w:szCs w:val="20"/>
          <w:lang w:val="en-GB"/>
        </w:rPr>
      </w:pPr>
      <w:r w:rsidRPr="00294955">
        <w:rPr>
          <w:rFonts w:ascii="Tahoma" w:eastAsia="Tahoma" w:hAnsi="Tahoma" w:cs="Tahoma"/>
          <w:color w:val="808080"/>
          <w:sz w:val="20"/>
          <w:szCs w:val="20"/>
          <w:lang w:val="en-GB"/>
        </w:rPr>
        <w:tab/>
      </w:r>
      <w:r w:rsidRPr="00294955">
        <w:rPr>
          <w:rFonts w:ascii="Tahoma" w:eastAsia="Tahoma" w:hAnsi="Tahoma" w:cs="Tahoma"/>
          <w:color w:val="808080"/>
          <w:sz w:val="20"/>
          <w:szCs w:val="20"/>
          <w:lang w:val="en-GB"/>
        </w:rPr>
        <w:tab/>
        <w:t>Warsaw, February 26, 2023.‎</w:t>
      </w:r>
    </w:p>
    <w:p w14:paraId="37FABDE9" w14:textId="77777777" w:rsidR="00D824D3" w:rsidRPr="00294955" w:rsidRDefault="00637C06">
      <w:pPr>
        <w:spacing w:line="360" w:lineRule="auto"/>
        <w:jc w:val="center"/>
        <w:rPr>
          <w:rFonts w:ascii="Tahoma" w:eastAsia="Tahoma" w:hAnsi="Tahoma" w:cs="Tahoma"/>
          <w:b/>
          <w:color w:val="FFC000"/>
          <w:lang w:val="en-GB"/>
        </w:rPr>
      </w:pPr>
      <w:r w:rsidRPr="00294955">
        <w:rPr>
          <w:noProof/>
        </w:rPr>
        <w:drawing>
          <wp:anchor distT="0" distB="0" distL="114300" distR="114300" simplePos="0" relativeHeight="251658240" behindDoc="0" locked="0" layoutInCell="1" allowOverlap="1" wp14:anchorId="07D96187" wp14:editId="397F1B43">
            <wp:simplePos x="0" y="0"/>
            <wp:positionH relativeFrom="column">
              <wp:posOffset>4765040</wp:posOffset>
            </wp:positionH>
            <wp:positionV relativeFrom="paragraph">
              <wp:posOffset>27305</wp:posOffset>
            </wp:positionV>
            <wp:extent cx="290830" cy="290830"/>
            <wp:effectExtent l="0" t="0" r="0" b="0"/>
            <wp:wrapNone/>
            <wp:docPr id="38" name="image2.png"/>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0"/>
                    <a:stretch>
                      <a:fillRect/>
                    </a:stretch>
                  </pic:blipFill>
                  <pic:spPr>
                    <a:xfrm>
                      <a:off x="0" y="0"/>
                      <a:ext cx="290830" cy="290830"/>
                    </a:xfrm>
                    <a:prstGeom prst="rect">
                      <a:avLst/>
                    </a:prstGeom>
                  </pic:spPr>
                </pic:pic>
              </a:graphicData>
            </a:graphic>
          </wp:anchor>
        </w:drawing>
      </w:r>
      <w:r w:rsidRPr="00294955">
        <w:rPr>
          <w:noProof/>
        </w:rPr>
        <w:drawing>
          <wp:anchor distT="0" distB="0" distL="114300" distR="114300" simplePos="0" relativeHeight="251659264" behindDoc="0" locked="0" layoutInCell="1" allowOverlap="1" wp14:anchorId="5C459B0D" wp14:editId="755A2706">
            <wp:simplePos x="0" y="0"/>
            <wp:positionH relativeFrom="column">
              <wp:posOffset>4370705</wp:posOffset>
            </wp:positionH>
            <wp:positionV relativeFrom="paragraph">
              <wp:posOffset>27305</wp:posOffset>
            </wp:positionV>
            <wp:extent cx="262890" cy="262890"/>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1"/>
                    <a:stretch>
                      <a:fillRect/>
                    </a:stretch>
                  </pic:blipFill>
                  <pic:spPr>
                    <a:xfrm>
                      <a:off x="0" y="0"/>
                      <a:ext cx="262890" cy="262890"/>
                    </a:xfrm>
                    <a:prstGeom prst="rect">
                      <a:avLst/>
                    </a:prstGeom>
                  </pic:spPr>
                </pic:pic>
              </a:graphicData>
            </a:graphic>
          </wp:anchor>
        </w:drawing>
      </w:r>
      <w:r w:rsidRPr="00294955">
        <w:rPr>
          <w:noProof/>
        </w:rPr>
        <w:drawing>
          <wp:anchor distT="0" distB="0" distL="114300" distR="114300" simplePos="0" relativeHeight="251660288" behindDoc="0" locked="0" layoutInCell="1" allowOverlap="1" wp14:anchorId="1E980133" wp14:editId="4872CA48">
            <wp:simplePos x="0" y="0"/>
            <wp:positionH relativeFrom="column">
              <wp:posOffset>5180965</wp:posOffset>
            </wp:positionH>
            <wp:positionV relativeFrom="paragraph">
              <wp:posOffset>41275</wp:posOffset>
            </wp:positionV>
            <wp:extent cx="248920" cy="248920"/>
            <wp:effectExtent l="0" t="0" r="0" b="0"/>
            <wp:wrapNone/>
            <wp:docPr id="39" name="image4.png"/>
            <wp:cNvGraphicFramePr/>
            <a:graphic xmlns:a="http://schemas.openxmlformats.org/drawingml/2006/main">
              <a:graphicData uri="http://schemas.openxmlformats.org/drawingml/2006/picture">
                <pic:pic xmlns:pic="http://schemas.openxmlformats.org/drawingml/2006/picture">
                  <pic:nvPicPr>
                    <pic:cNvPr id="39" name="image4.png"/>
                    <pic:cNvPicPr/>
                  </pic:nvPicPr>
                  <pic:blipFill>
                    <a:blip r:embed="rId12"/>
                    <a:stretch>
                      <a:fillRect/>
                    </a:stretch>
                  </pic:blipFill>
                  <pic:spPr>
                    <a:xfrm>
                      <a:off x="0" y="0"/>
                      <a:ext cx="248920" cy="248920"/>
                    </a:xfrm>
                    <a:prstGeom prst="rect">
                      <a:avLst/>
                    </a:prstGeom>
                  </pic:spPr>
                </pic:pic>
              </a:graphicData>
            </a:graphic>
          </wp:anchor>
        </w:drawing>
      </w:r>
    </w:p>
    <w:tbl>
      <w:tblPr>
        <w:tblStyle w:val="a8"/>
        <w:tblW w:w="9663"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11"/>
        <w:gridCol w:w="2552"/>
      </w:tblGrid>
      <w:tr w:rsidR="00C11EDC" w:rsidRPr="005A4DC8" w14:paraId="64A29D07" w14:textId="77777777" w:rsidTr="00B2537D">
        <w:tc>
          <w:tcPr>
            <w:tcW w:w="7111" w:type="dxa"/>
          </w:tcPr>
          <w:p w14:paraId="29545B5A" w14:textId="77777777" w:rsidR="00D824D3" w:rsidRPr="00294955" w:rsidRDefault="00637C06">
            <w:pPr>
              <w:spacing w:line="360" w:lineRule="auto"/>
              <w:rPr>
                <w:rFonts w:ascii="Tahoma" w:eastAsia="Tahoma" w:hAnsi="Tahoma" w:cs="Tahoma"/>
                <w:bCs/>
                <w:color w:val="7F7F7F"/>
                <w:sz w:val="24"/>
                <w:szCs w:val="24"/>
                <w:lang w:val="en-GB"/>
              </w:rPr>
            </w:pPr>
            <w:r w:rsidRPr="00294955">
              <w:rPr>
                <w:rFonts w:ascii="Tahoma" w:eastAsia="Tahoma" w:hAnsi="Tahoma" w:cs="Tahoma"/>
                <w:bCs/>
                <w:color w:val="7F7F7F"/>
                <w:sz w:val="24"/>
                <w:szCs w:val="24"/>
                <w:lang w:val="en-GB"/>
              </w:rPr>
              <w:t>#</w:t>
            </w:r>
            <w:proofErr w:type="spellStart"/>
            <w:r w:rsidRPr="00294955">
              <w:rPr>
                <w:rFonts w:ascii="Tahoma" w:eastAsia="Tahoma" w:hAnsi="Tahoma" w:cs="Tahoma"/>
                <w:bCs/>
                <w:color w:val="7F7F7F"/>
                <w:sz w:val="24"/>
                <w:szCs w:val="24"/>
                <w:lang w:val="en-GB"/>
              </w:rPr>
              <w:t>financialresults</w:t>
            </w:r>
            <w:proofErr w:type="spellEnd"/>
            <w:r w:rsidRPr="00294955">
              <w:rPr>
                <w:rFonts w:ascii="Tahoma" w:eastAsia="Tahoma" w:hAnsi="Tahoma" w:cs="Tahoma"/>
                <w:bCs/>
                <w:color w:val="7F7F7F"/>
                <w:sz w:val="24"/>
                <w:szCs w:val="24"/>
                <w:lang w:val="en-GB"/>
              </w:rPr>
              <w:t xml:space="preserve"> </w:t>
            </w:r>
          </w:p>
          <w:p w14:paraId="24415F05" w14:textId="77777777" w:rsidR="00D824D3" w:rsidRPr="00294955" w:rsidRDefault="00D824D3">
            <w:pPr>
              <w:spacing w:line="360" w:lineRule="auto"/>
              <w:jc w:val="both"/>
              <w:rPr>
                <w:rFonts w:ascii="Tahoma" w:eastAsia="Tahoma" w:hAnsi="Tahoma" w:cs="Tahoma"/>
                <w:bCs/>
                <w:color w:val="7F7F7F"/>
                <w:sz w:val="24"/>
                <w:szCs w:val="24"/>
                <w:lang w:val="en-GB"/>
              </w:rPr>
            </w:pPr>
          </w:p>
          <w:p w14:paraId="7AE6F5B0" w14:textId="77777777" w:rsidR="00224D91" w:rsidRPr="00294955" w:rsidRDefault="00637C06" w:rsidP="00224D91">
            <w:pPr>
              <w:pBdr>
                <w:top w:val="nil"/>
                <w:left w:val="nil"/>
                <w:bottom w:val="nil"/>
                <w:right w:val="nil"/>
                <w:between w:val="nil"/>
              </w:pBdr>
              <w:spacing w:line="360" w:lineRule="auto"/>
              <w:jc w:val="center"/>
              <w:rPr>
                <w:rFonts w:ascii="Tahoma" w:eastAsia="Tahoma" w:hAnsi="Tahoma" w:cs="Tahoma"/>
                <w:b/>
                <w:color w:val="7F7F7F" w:themeColor="text1" w:themeTint="80"/>
                <w:lang w:val="en-GB"/>
              </w:rPr>
            </w:pPr>
            <w:bookmarkStart w:id="0" w:name="_GoBack"/>
            <w:r w:rsidRPr="00294955">
              <w:rPr>
                <w:rFonts w:ascii="Tahoma" w:eastAsia="Tahoma" w:hAnsi="Tahoma" w:cs="Tahoma"/>
                <w:b/>
                <w:bCs/>
                <w:color w:val="7F7F7F"/>
                <w:lang w:val="en-GB"/>
              </w:rPr>
              <w:t xml:space="preserve">Commentary of the President of the Management Board of </w:t>
            </w:r>
            <w:proofErr w:type="spellStart"/>
            <w:r w:rsidRPr="00294955">
              <w:rPr>
                <w:rFonts w:ascii="Tahoma" w:eastAsia="Tahoma" w:hAnsi="Tahoma" w:cs="Tahoma"/>
                <w:b/>
                <w:bCs/>
                <w:color w:val="7F7F7F"/>
                <w:lang w:val="en-GB"/>
              </w:rPr>
              <w:t>Budimex</w:t>
            </w:r>
            <w:proofErr w:type="spellEnd"/>
            <w:r w:rsidRPr="00294955">
              <w:rPr>
                <w:rFonts w:ascii="Tahoma" w:eastAsia="Tahoma" w:hAnsi="Tahoma" w:cs="Tahoma"/>
                <w:b/>
                <w:bCs/>
                <w:color w:val="7F7F7F"/>
                <w:lang w:val="en-GB"/>
              </w:rPr>
              <w:t xml:space="preserve"> SA</w:t>
            </w:r>
            <w:bookmarkEnd w:id="0"/>
            <w:r w:rsidRPr="00294955">
              <w:rPr>
                <w:rFonts w:ascii="Tahoma" w:eastAsia="Tahoma" w:hAnsi="Tahoma" w:cs="Tahoma"/>
                <w:b/>
                <w:bCs/>
                <w:color w:val="7F7F7F"/>
                <w:lang w:val="en-GB"/>
              </w:rPr>
              <w:t xml:space="preserve">, </w:t>
            </w:r>
          </w:p>
          <w:p w14:paraId="096C6DF5" w14:textId="77777777" w:rsidR="00224D91" w:rsidRPr="00294955" w:rsidRDefault="00637C06" w:rsidP="00224D91">
            <w:pPr>
              <w:pBdr>
                <w:top w:val="nil"/>
                <w:left w:val="nil"/>
                <w:bottom w:val="nil"/>
                <w:right w:val="nil"/>
                <w:between w:val="nil"/>
              </w:pBdr>
              <w:spacing w:line="360" w:lineRule="auto"/>
              <w:jc w:val="center"/>
              <w:rPr>
                <w:rFonts w:ascii="Tahoma" w:eastAsia="Tahoma" w:hAnsi="Tahoma" w:cs="Tahoma"/>
                <w:b/>
                <w:color w:val="7F7F7F" w:themeColor="text1" w:themeTint="80"/>
                <w:lang w:val="en-GB"/>
              </w:rPr>
            </w:pPr>
            <w:proofErr w:type="spellStart"/>
            <w:r w:rsidRPr="00294955">
              <w:rPr>
                <w:rFonts w:ascii="Tahoma" w:eastAsia="Tahoma" w:hAnsi="Tahoma" w:cs="Tahoma"/>
                <w:b/>
                <w:bCs/>
                <w:color w:val="7F7F7F"/>
                <w:lang w:val="en-GB"/>
              </w:rPr>
              <w:t>Artur</w:t>
            </w:r>
            <w:proofErr w:type="spellEnd"/>
            <w:r w:rsidRPr="00294955">
              <w:rPr>
                <w:rFonts w:ascii="Tahoma" w:eastAsia="Tahoma" w:hAnsi="Tahoma" w:cs="Tahoma"/>
                <w:b/>
                <w:bCs/>
                <w:color w:val="7F7F7F"/>
                <w:lang w:val="en-GB"/>
              </w:rPr>
              <w:t xml:space="preserve"> </w:t>
            </w:r>
            <w:proofErr w:type="spellStart"/>
            <w:r w:rsidRPr="00294955">
              <w:rPr>
                <w:rFonts w:ascii="Tahoma" w:eastAsia="Tahoma" w:hAnsi="Tahoma" w:cs="Tahoma"/>
                <w:b/>
                <w:bCs/>
                <w:color w:val="7F7F7F"/>
                <w:lang w:val="en-GB"/>
              </w:rPr>
              <w:t>Popko</w:t>
            </w:r>
            <w:proofErr w:type="spellEnd"/>
            <w:r w:rsidRPr="00294955">
              <w:rPr>
                <w:rFonts w:ascii="Tahoma" w:eastAsia="Tahoma" w:hAnsi="Tahoma" w:cs="Tahoma"/>
                <w:b/>
                <w:bCs/>
                <w:color w:val="7F7F7F"/>
                <w:lang w:val="en-GB"/>
              </w:rPr>
              <w:t>,</w:t>
            </w:r>
          </w:p>
          <w:p w14:paraId="1FC2FDCA" w14:textId="77777777" w:rsidR="00EF05BC" w:rsidRPr="00294955" w:rsidRDefault="00637C06" w:rsidP="00EF05BC">
            <w:pPr>
              <w:pBdr>
                <w:top w:val="nil"/>
                <w:left w:val="nil"/>
                <w:bottom w:val="nil"/>
                <w:right w:val="nil"/>
                <w:between w:val="nil"/>
              </w:pBdr>
              <w:spacing w:line="360" w:lineRule="auto"/>
              <w:jc w:val="center"/>
              <w:rPr>
                <w:rFonts w:ascii="Tahoma" w:eastAsia="Tahoma" w:hAnsi="Tahoma" w:cs="Tahoma"/>
                <w:b/>
                <w:color w:val="FFC000"/>
                <w:lang w:val="en-GB"/>
              </w:rPr>
            </w:pPr>
            <w:r w:rsidRPr="00294955">
              <w:rPr>
                <w:rFonts w:ascii="Tahoma" w:eastAsia="Tahoma" w:hAnsi="Tahoma" w:cs="Tahoma"/>
                <w:b/>
                <w:bCs/>
                <w:color w:val="FFC000"/>
                <w:lang w:val="en-GB"/>
              </w:rPr>
              <w:t xml:space="preserve">to selected financial data </w:t>
            </w:r>
          </w:p>
          <w:p w14:paraId="168EE130" w14:textId="77777777" w:rsidR="00EF05BC" w:rsidRPr="00294955" w:rsidRDefault="00637C06" w:rsidP="00EF05BC">
            <w:pPr>
              <w:pBdr>
                <w:top w:val="nil"/>
                <w:left w:val="nil"/>
                <w:bottom w:val="nil"/>
                <w:right w:val="nil"/>
                <w:between w:val="nil"/>
              </w:pBdr>
              <w:spacing w:line="360" w:lineRule="auto"/>
              <w:jc w:val="center"/>
              <w:rPr>
                <w:rFonts w:ascii="Tahoma" w:eastAsia="Tahoma" w:hAnsi="Tahoma" w:cs="Tahoma"/>
                <w:b/>
                <w:color w:val="FFC000"/>
                <w:lang w:val="en-GB"/>
              </w:rPr>
            </w:pPr>
            <w:r w:rsidRPr="00294955">
              <w:rPr>
                <w:rFonts w:ascii="Tahoma" w:eastAsia="Tahoma" w:hAnsi="Tahoma" w:cs="Tahoma"/>
                <w:b/>
                <w:bCs/>
                <w:color w:val="FFC000"/>
                <w:lang w:val="en-GB"/>
              </w:rPr>
              <w:t xml:space="preserve">from the consolidated financial statements of the </w:t>
            </w:r>
            <w:r w:rsidRPr="00294955">
              <w:rPr>
                <w:rFonts w:ascii="Tahoma" w:eastAsia="Tahoma" w:hAnsi="Tahoma" w:cs="Tahoma"/>
                <w:b/>
                <w:bCs/>
                <w:color w:val="FFC000"/>
                <w:lang w:val="en-GB"/>
              </w:rPr>
              <w:br/>
            </w:r>
            <w:proofErr w:type="spellStart"/>
            <w:r w:rsidRPr="00294955">
              <w:rPr>
                <w:rFonts w:ascii="Tahoma" w:eastAsia="Tahoma" w:hAnsi="Tahoma" w:cs="Tahoma"/>
                <w:b/>
                <w:bCs/>
                <w:color w:val="FFC000"/>
                <w:lang w:val="en-GB"/>
              </w:rPr>
              <w:t>Budimex</w:t>
            </w:r>
            <w:proofErr w:type="spellEnd"/>
            <w:r w:rsidRPr="00294955">
              <w:rPr>
                <w:rFonts w:ascii="Tahoma" w:eastAsia="Tahoma" w:hAnsi="Tahoma" w:cs="Tahoma"/>
                <w:b/>
                <w:bCs/>
                <w:color w:val="FFC000"/>
                <w:lang w:val="en-GB"/>
              </w:rPr>
              <w:t xml:space="preserve"> Group for 2023</w:t>
            </w:r>
          </w:p>
          <w:p w14:paraId="0261A7C3" w14:textId="77777777" w:rsidR="00AD64EA" w:rsidRPr="00294955" w:rsidRDefault="00AD64EA" w:rsidP="00EF05BC">
            <w:pPr>
              <w:pBdr>
                <w:top w:val="nil"/>
                <w:left w:val="nil"/>
                <w:bottom w:val="nil"/>
                <w:right w:val="nil"/>
                <w:between w:val="nil"/>
              </w:pBdr>
              <w:spacing w:line="360" w:lineRule="auto"/>
              <w:jc w:val="center"/>
              <w:rPr>
                <w:rFonts w:ascii="Tahoma" w:eastAsia="Tahoma" w:hAnsi="Tahoma" w:cs="Tahoma"/>
                <w:b/>
                <w:color w:val="FFC000"/>
                <w:lang w:val="en-GB"/>
              </w:rPr>
            </w:pPr>
          </w:p>
          <w:p w14:paraId="776D9597" w14:textId="77777777" w:rsidR="009A2A41" w:rsidRPr="00294955" w:rsidRDefault="00637C06" w:rsidP="00717052">
            <w:pPr>
              <w:numPr>
                <w:ilvl w:val="0"/>
                <w:numId w:val="5"/>
              </w:numPr>
              <w:pBdr>
                <w:top w:val="nil"/>
                <w:left w:val="nil"/>
                <w:bottom w:val="nil"/>
                <w:right w:val="nil"/>
                <w:between w:val="nil"/>
              </w:pBdr>
              <w:spacing w:line="360" w:lineRule="auto"/>
              <w:ind w:right="461"/>
              <w:jc w:val="both"/>
              <w:rPr>
                <w:rFonts w:ascii="Tahoma" w:eastAsia="Tahoma" w:hAnsi="Tahoma" w:cs="Tahoma"/>
                <w:bCs/>
                <w:iCs/>
                <w:color w:val="FF0000"/>
                <w:sz w:val="18"/>
                <w:szCs w:val="18"/>
                <w:lang w:val="en-GB"/>
              </w:rPr>
            </w:pPr>
            <w:r w:rsidRPr="00294955">
              <w:rPr>
                <w:rFonts w:ascii="Tahoma" w:eastAsia="Tahoma" w:hAnsi="Tahoma" w:cs="Tahoma"/>
                <w:bCs/>
                <w:iCs/>
                <w:color w:val="808080"/>
                <w:sz w:val="18"/>
                <w:szCs w:val="18"/>
                <w:lang w:val="en-GB"/>
              </w:rPr>
              <w:t xml:space="preserve">The </w:t>
            </w:r>
            <w:proofErr w:type="spellStart"/>
            <w:r w:rsidRPr="00294955">
              <w:rPr>
                <w:rFonts w:ascii="Tahoma" w:eastAsia="Tahoma" w:hAnsi="Tahoma" w:cs="Tahoma"/>
                <w:bCs/>
                <w:iCs/>
                <w:color w:val="808080"/>
                <w:sz w:val="18"/>
                <w:szCs w:val="18"/>
                <w:lang w:val="en-GB"/>
              </w:rPr>
              <w:t>Budimex</w:t>
            </w:r>
            <w:proofErr w:type="spellEnd"/>
            <w:r w:rsidRPr="00294955">
              <w:rPr>
                <w:rFonts w:ascii="Tahoma" w:eastAsia="Tahoma" w:hAnsi="Tahoma" w:cs="Tahoma"/>
                <w:bCs/>
                <w:iCs/>
                <w:color w:val="808080"/>
                <w:sz w:val="18"/>
                <w:szCs w:val="18"/>
                <w:lang w:val="en-GB"/>
              </w:rPr>
              <w:t xml:space="preserve"> </w:t>
            </w:r>
            <w:r w:rsidRPr="00294955">
              <w:rPr>
                <w:rFonts w:ascii="Tahoma" w:eastAsia="Tahoma" w:hAnsi="Tahoma" w:cs="Tahoma"/>
                <w:bCs/>
                <w:iCs/>
                <w:color w:val="808080"/>
                <w:sz w:val="18"/>
                <w:szCs w:val="18"/>
                <w:lang w:val="en-GB"/>
              </w:rPr>
              <w:t>Group's sales revenue in 2023 amounted to PLN 9,802 million (+13.7% y/y). ‎</w:t>
            </w:r>
          </w:p>
          <w:p w14:paraId="4210B313" w14:textId="77777777" w:rsidR="004151F3" w:rsidRPr="00294955" w:rsidRDefault="00637C06" w:rsidP="00717052">
            <w:pPr>
              <w:numPr>
                <w:ilvl w:val="0"/>
                <w:numId w:val="5"/>
              </w:numPr>
              <w:pBdr>
                <w:top w:val="nil"/>
                <w:left w:val="nil"/>
                <w:bottom w:val="nil"/>
                <w:right w:val="nil"/>
                <w:between w:val="nil"/>
              </w:pBdr>
              <w:spacing w:line="360" w:lineRule="auto"/>
              <w:ind w:right="461"/>
              <w:jc w:val="both"/>
              <w:rPr>
                <w:rFonts w:ascii="Tahoma" w:eastAsia="Tahoma" w:hAnsi="Tahoma" w:cs="Tahoma"/>
                <w:bCs/>
                <w:iCs/>
                <w:color w:val="808080"/>
                <w:sz w:val="18"/>
                <w:szCs w:val="18"/>
                <w:lang w:val="en-GB"/>
              </w:rPr>
            </w:pPr>
            <w:r w:rsidRPr="00294955">
              <w:rPr>
                <w:rFonts w:ascii="Tahoma" w:eastAsia="Tahoma" w:hAnsi="Tahoma" w:cs="Tahoma"/>
                <w:bCs/>
                <w:iCs/>
                <w:color w:val="808080"/>
                <w:sz w:val="18"/>
                <w:szCs w:val="18"/>
                <w:lang w:val="en-GB"/>
              </w:rPr>
              <w:t>The Group's gross profitability reached 9.5% compared to 7.5% in 2022.</w:t>
            </w:r>
          </w:p>
          <w:p w14:paraId="15B2BBFE" w14:textId="4BF7F010" w:rsidR="007076C4" w:rsidRPr="00294955" w:rsidRDefault="00637C06" w:rsidP="007076C4">
            <w:pPr>
              <w:numPr>
                <w:ilvl w:val="0"/>
                <w:numId w:val="5"/>
              </w:numPr>
              <w:pBdr>
                <w:top w:val="nil"/>
                <w:left w:val="nil"/>
                <w:bottom w:val="nil"/>
                <w:right w:val="nil"/>
                <w:between w:val="nil"/>
              </w:pBdr>
              <w:spacing w:line="360" w:lineRule="auto"/>
              <w:ind w:right="461"/>
              <w:jc w:val="both"/>
              <w:rPr>
                <w:rFonts w:ascii="Tahoma" w:eastAsia="Tahoma" w:hAnsi="Tahoma" w:cs="Tahoma"/>
                <w:bCs/>
                <w:iCs/>
                <w:color w:val="FF0000"/>
                <w:sz w:val="18"/>
                <w:szCs w:val="18"/>
                <w:lang w:val="en-GB"/>
              </w:rPr>
            </w:pPr>
            <w:r w:rsidRPr="00294955">
              <w:rPr>
                <w:rFonts w:ascii="Tahoma" w:eastAsia="Tahoma" w:hAnsi="Tahoma" w:cs="Tahoma"/>
                <w:bCs/>
                <w:iCs/>
                <w:color w:val="808080"/>
                <w:sz w:val="18"/>
                <w:szCs w:val="18"/>
                <w:lang w:val="en-GB"/>
              </w:rPr>
              <w:t xml:space="preserve">The </w:t>
            </w:r>
            <w:proofErr w:type="spellStart"/>
            <w:r w:rsidRPr="00294955">
              <w:rPr>
                <w:rFonts w:ascii="Tahoma" w:eastAsia="Tahoma" w:hAnsi="Tahoma" w:cs="Tahoma"/>
                <w:bCs/>
                <w:iCs/>
                <w:color w:val="808080"/>
                <w:sz w:val="18"/>
                <w:szCs w:val="18"/>
                <w:lang w:val="en-GB"/>
              </w:rPr>
              <w:t>Budimex</w:t>
            </w:r>
            <w:proofErr w:type="spellEnd"/>
            <w:r w:rsidRPr="00294955">
              <w:rPr>
                <w:rFonts w:ascii="Tahoma" w:eastAsia="Tahoma" w:hAnsi="Tahoma" w:cs="Tahoma"/>
                <w:bCs/>
                <w:iCs/>
                <w:color w:val="808080"/>
                <w:sz w:val="18"/>
                <w:szCs w:val="18"/>
                <w:lang w:val="en-GB"/>
              </w:rPr>
              <w:t xml:space="preserve"> Group's order book at the end of 2023 amounted to PLN 13.1 billion</w:t>
            </w:r>
            <w:r w:rsidR="00294955" w:rsidRPr="00294955">
              <w:rPr>
                <w:rFonts w:ascii="Tahoma" w:eastAsia="Tahoma" w:hAnsi="Tahoma" w:cs="Tahoma"/>
                <w:bCs/>
                <w:iCs/>
                <w:color w:val="808080"/>
                <w:sz w:val="18"/>
                <w:szCs w:val="18"/>
                <w:lang w:val="en-GB"/>
              </w:rPr>
              <w:t xml:space="preserve">. </w:t>
            </w:r>
          </w:p>
          <w:p w14:paraId="04E2BBD2" w14:textId="6FC868D7" w:rsidR="007076C4" w:rsidRPr="00294955" w:rsidRDefault="00637C06" w:rsidP="007076C4">
            <w:pPr>
              <w:numPr>
                <w:ilvl w:val="0"/>
                <w:numId w:val="5"/>
              </w:numPr>
              <w:pBdr>
                <w:top w:val="nil"/>
                <w:left w:val="nil"/>
                <w:bottom w:val="nil"/>
                <w:right w:val="nil"/>
                <w:between w:val="nil"/>
              </w:pBdr>
              <w:spacing w:line="360" w:lineRule="auto"/>
              <w:ind w:right="461"/>
              <w:jc w:val="both"/>
              <w:rPr>
                <w:rFonts w:ascii="Tahoma" w:eastAsia="Tahoma" w:hAnsi="Tahoma" w:cs="Tahoma"/>
                <w:bCs/>
                <w:iCs/>
                <w:color w:val="FF0000"/>
                <w:sz w:val="18"/>
                <w:szCs w:val="18"/>
                <w:lang w:val="en-GB"/>
              </w:rPr>
            </w:pPr>
            <w:r w:rsidRPr="00294955">
              <w:rPr>
                <w:rFonts w:ascii="Tahoma" w:eastAsia="Tahoma" w:hAnsi="Tahoma" w:cs="Tahoma"/>
                <w:bCs/>
                <w:color w:val="808080"/>
                <w:sz w:val="18"/>
                <w:szCs w:val="18"/>
                <w:lang w:val="en-GB"/>
              </w:rPr>
              <w:t>The value of projects awaiti</w:t>
            </w:r>
            <w:r w:rsidRPr="00294955">
              <w:rPr>
                <w:rFonts w:ascii="Tahoma" w:eastAsia="Tahoma" w:hAnsi="Tahoma" w:cs="Tahoma"/>
                <w:bCs/>
                <w:color w:val="808080"/>
                <w:sz w:val="18"/>
                <w:szCs w:val="18"/>
                <w:lang w:val="en-GB"/>
              </w:rPr>
              <w:t>ng signing, as well as those where ‎</w:t>
            </w:r>
            <w:proofErr w:type="spellStart"/>
            <w:r w:rsidRPr="00294955">
              <w:rPr>
                <w:rFonts w:ascii="Tahoma" w:eastAsia="Tahoma" w:hAnsi="Tahoma" w:cs="Tahoma"/>
                <w:bCs/>
                <w:color w:val="808080"/>
                <w:sz w:val="18"/>
                <w:szCs w:val="18"/>
                <w:lang w:val="en-GB"/>
              </w:rPr>
              <w:t>Budimex's</w:t>
            </w:r>
            <w:proofErr w:type="spellEnd"/>
            <w:r w:rsidRPr="00294955">
              <w:rPr>
                <w:rFonts w:ascii="Tahoma" w:eastAsia="Tahoma" w:hAnsi="Tahoma" w:cs="Tahoma"/>
                <w:bCs/>
                <w:color w:val="808080"/>
                <w:sz w:val="18"/>
                <w:szCs w:val="18"/>
                <w:lang w:val="en-GB"/>
              </w:rPr>
              <w:t xml:space="preserve"> bid or those of the Group's companies occupy the best ‎bidding position, is currently close to PLN 13 billion, of which over PLN 7 billion is for contracts on foreign </w:t>
            </w:r>
            <w:r w:rsidR="00294955" w:rsidRPr="00294955">
              <w:rPr>
                <w:rFonts w:ascii="Tahoma" w:eastAsia="Tahoma" w:hAnsi="Tahoma" w:cs="Tahoma"/>
                <w:bCs/>
                <w:color w:val="808080"/>
                <w:sz w:val="18"/>
                <w:szCs w:val="18"/>
                <w:lang w:val="en-GB"/>
              </w:rPr>
              <w:t>markets.</w:t>
            </w:r>
          </w:p>
          <w:p w14:paraId="4652B265" w14:textId="77777777" w:rsidR="00F0006A" w:rsidRPr="00294955" w:rsidRDefault="00F0006A" w:rsidP="005B039B">
            <w:pPr>
              <w:spacing w:line="360" w:lineRule="auto"/>
              <w:jc w:val="both"/>
              <w:rPr>
                <w:rFonts w:ascii="Tahoma" w:eastAsia="Tahoma" w:hAnsi="Tahoma" w:cs="Tahoma"/>
                <w:b/>
                <w:noProof/>
                <w:color w:val="808080"/>
                <w:sz w:val="18"/>
                <w:szCs w:val="18"/>
                <w:lang w:val="en-GB"/>
              </w:rPr>
            </w:pPr>
          </w:p>
          <w:p w14:paraId="6D92A1E2" w14:textId="432F6A14" w:rsidR="00F0006A" w:rsidRPr="00294955" w:rsidRDefault="00637C06" w:rsidP="00F0006A">
            <w:pPr>
              <w:spacing w:line="360" w:lineRule="auto"/>
              <w:jc w:val="both"/>
              <w:rPr>
                <w:rFonts w:ascii="Tahoma" w:eastAsia="Tahoma" w:hAnsi="Tahoma" w:cs="Tahoma"/>
                <w:b/>
                <w:bCs/>
                <w:noProof/>
                <w:color w:val="808080"/>
                <w:sz w:val="18"/>
                <w:szCs w:val="18"/>
                <w:lang w:val="en-GB"/>
              </w:rPr>
            </w:pPr>
            <w:r w:rsidRPr="00294955">
              <w:rPr>
                <w:rFonts w:ascii="Tahoma" w:eastAsia="Tahoma" w:hAnsi="Tahoma" w:cs="Tahoma"/>
                <w:b/>
                <w:bCs/>
                <w:noProof/>
                <w:color w:val="808080"/>
                <w:sz w:val="18"/>
                <w:szCs w:val="18"/>
                <w:lang w:val="en-GB"/>
              </w:rPr>
              <w:t>We are achieving historic results while improving profitability.  In 2023, ‎the Budimex Group generated an operating profit of PLN 781 million. ‎ The improvement in the financial result is mainly due to more effective ‎cost management, the use of synergies</w:t>
            </w:r>
            <w:r w:rsidRPr="00294955">
              <w:rPr>
                <w:rFonts w:ascii="Tahoma" w:eastAsia="Tahoma" w:hAnsi="Tahoma" w:cs="Tahoma"/>
                <w:b/>
                <w:bCs/>
                <w:noProof/>
                <w:color w:val="808080"/>
                <w:sz w:val="18"/>
                <w:szCs w:val="18"/>
                <w:lang w:val="en-GB"/>
              </w:rPr>
              <w:t xml:space="preserve"> in the Group and a larger ‎portfolio of construction contracts. The result was also supported by first ‎revenues from operations in foreign markets. </w:t>
            </w:r>
          </w:p>
          <w:p w14:paraId="2D594919" w14:textId="77777777" w:rsidR="00F0006A" w:rsidRPr="00294955" w:rsidRDefault="00F0006A" w:rsidP="00F0006A">
            <w:pPr>
              <w:spacing w:line="360" w:lineRule="auto"/>
              <w:jc w:val="both"/>
              <w:rPr>
                <w:rFonts w:ascii="Tahoma" w:eastAsia="Tahoma" w:hAnsi="Tahoma" w:cs="Tahoma"/>
                <w:b/>
                <w:bCs/>
                <w:noProof/>
                <w:color w:val="808080"/>
                <w:sz w:val="18"/>
                <w:szCs w:val="18"/>
                <w:lang w:val="en-GB"/>
              </w:rPr>
            </w:pPr>
          </w:p>
          <w:p w14:paraId="5556106F" w14:textId="77777777" w:rsidR="00F0006A" w:rsidRPr="00294955" w:rsidRDefault="00637C06" w:rsidP="00F0006A">
            <w:pPr>
              <w:spacing w:line="360" w:lineRule="auto"/>
              <w:jc w:val="both"/>
              <w:rPr>
                <w:rFonts w:ascii="Tahoma" w:eastAsia="Tahoma" w:hAnsi="Tahoma" w:cs="Tahoma"/>
                <w:bCs/>
                <w:color w:val="808080"/>
                <w:sz w:val="18"/>
                <w:szCs w:val="18"/>
                <w:lang w:val="en-GB"/>
              </w:rPr>
            </w:pPr>
            <w:r w:rsidRPr="00294955">
              <w:rPr>
                <w:rFonts w:ascii="Tahoma" w:eastAsia="Tahoma" w:hAnsi="Tahoma" w:cs="Tahoma"/>
                <w:noProof/>
                <w:color w:val="808080"/>
                <w:sz w:val="18"/>
                <w:szCs w:val="18"/>
                <w:lang w:val="en-GB"/>
              </w:rPr>
              <w:t>‎Given the record level of projects waiting to be signed, we are confident about ‎the level of utilizati</w:t>
            </w:r>
            <w:r w:rsidRPr="00294955">
              <w:rPr>
                <w:rFonts w:ascii="Tahoma" w:eastAsia="Tahoma" w:hAnsi="Tahoma" w:cs="Tahoma"/>
                <w:noProof/>
                <w:color w:val="808080"/>
                <w:sz w:val="18"/>
                <w:szCs w:val="18"/>
                <w:lang w:val="en-GB"/>
              </w:rPr>
              <w:t>on of our production capacity in the next 2 years.‎</w:t>
            </w:r>
          </w:p>
          <w:p w14:paraId="61C14FAF" w14:textId="77777777" w:rsidR="00F0006A" w:rsidRPr="00294955" w:rsidRDefault="00F0006A" w:rsidP="00F0006A">
            <w:pPr>
              <w:spacing w:line="360" w:lineRule="auto"/>
              <w:jc w:val="both"/>
              <w:rPr>
                <w:rFonts w:ascii="Tahoma" w:eastAsia="Tahoma" w:hAnsi="Tahoma" w:cs="Tahoma"/>
                <w:noProof/>
                <w:color w:val="808080"/>
                <w:sz w:val="18"/>
                <w:szCs w:val="18"/>
                <w:lang w:val="en-GB"/>
              </w:rPr>
            </w:pPr>
          </w:p>
          <w:p w14:paraId="501AD2DA" w14:textId="0D054887" w:rsidR="00F0006A" w:rsidRPr="00294955" w:rsidRDefault="00637C06" w:rsidP="00F0006A">
            <w:pPr>
              <w:spacing w:line="360" w:lineRule="auto"/>
              <w:jc w:val="both"/>
              <w:rPr>
                <w:rFonts w:ascii="Tahoma" w:eastAsia="Tahoma" w:hAnsi="Tahoma" w:cs="Tahoma"/>
                <w:color w:val="808080"/>
                <w:sz w:val="18"/>
                <w:szCs w:val="18"/>
                <w:lang w:val="en-GB"/>
              </w:rPr>
            </w:pPr>
            <w:r w:rsidRPr="00294955">
              <w:rPr>
                <w:rFonts w:ascii="Tahoma" w:eastAsia="Tahoma" w:hAnsi="Tahoma" w:cs="Tahoma"/>
                <w:noProof/>
                <w:color w:val="808080"/>
                <w:sz w:val="18"/>
                <w:szCs w:val="18"/>
                <w:lang w:val="en-GB"/>
              </w:rPr>
              <w:t>It was not an easy year, but we ended it with a sense of a job well done in ‎the Budimex Group. Such good results are mainly the effect of the hard work of ‎our employees and the adopted strategy of effective cost control, responsible ‎bidding and construc</w:t>
            </w:r>
            <w:r w:rsidRPr="00294955">
              <w:rPr>
                <w:rFonts w:ascii="Tahoma" w:eastAsia="Tahoma" w:hAnsi="Tahoma" w:cs="Tahoma"/>
                <w:noProof/>
                <w:color w:val="808080"/>
                <w:sz w:val="18"/>
                <w:szCs w:val="18"/>
                <w:lang w:val="en-GB"/>
              </w:rPr>
              <w:t>tion risk management, combined with diversification of ‎operations. The foundation of Budimex's business remains construction in Poland, but our offer ‎is now much more comprehensive.‎</w:t>
            </w:r>
          </w:p>
          <w:p w14:paraId="3017CCB6" w14:textId="77777777" w:rsidR="00A14906" w:rsidRPr="00294955" w:rsidRDefault="00A14906" w:rsidP="00F0006A">
            <w:pPr>
              <w:spacing w:line="360" w:lineRule="auto"/>
              <w:jc w:val="both"/>
              <w:rPr>
                <w:rFonts w:ascii="Tahoma" w:eastAsia="Tahoma" w:hAnsi="Tahoma" w:cs="Tahoma"/>
                <w:noProof/>
                <w:color w:val="808080"/>
                <w:sz w:val="18"/>
                <w:szCs w:val="18"/>
                <w:lang w:val="en-GB"/>
              </w:rPr>
            </w:pPr>
          </w:p>
          <w:p w14:paraId="1C1541F4" w14:textId="77777777" w:rsidR="00400E28" w:rsidRPr="00294955" w:rsidRDefault="00637C06" w:rsidP="00400E28">
            <w:pPr>
              <w:spacing w:line="360" w:lineRule="auto"/>
              <w:jc w:val="both"/>
              <w:rPr>
                <w:rFonts w:ascii="Tahoma" w:eastAsia="Tahoma" w:hAnsi="Tahoma" w:cs="Tahoma"/>
                <w:bCs/>
                <w:noProof/>
                <w:color w:val="808080"/>
                <w:sz w:val="18"/>
                <w:szCs w:val="18"/>
                <w:lang w:val="en-GB"/>
              </w:rPr>
            </w:pPr>
            <w:r w:rsidRPr="00294955">
              <w:rPr>
                <w:rFonts w:ascii="Tahoma" w:eastAsia="Tahoma" w:hAnsi="Tahoma" w:cs="Tahoma"/>
                <w:bCs/>
                <w:noProof/>
                <w:color w:val="808080"/>
                <w:sz w:val="18"/>
                <w:szCs w:val="18"/>
                <w:lang w:val="en-GB"/>
              </w:rPr>
              <w:lastRenderedPageBreak/>
              <w:t>The Budimex Group's order book at the end of 2023 amounted to PLN 13.1</w:t>
            </w:r>
            <w:r w:rsidRPr="00294955">
              <w:rPr>
                <w:rFonts w:ascii="Tahoma" w:eastAsia="Tahoma" w:hAnsi="Tahoma" w:cs="Tahoma"/>
                <w:bCs/>
                <w:noProof/>
                <w:color w:val="808080"/>
                <w:sz w:val="18"/>
                <w:szCs w:val="18"/>
                <w:lang w:val="en-GB"/>
              </w:rPr>
              <w:t xml:space="preserve"> billion.  The value of contracts waiting to be signed, where our ‎company's bid took first place in tender proceedings, is currently close to PLN ‎‎13 billion, of which more than PLN 7 billion is attributable to contracts on ‎foreign markets: the Czech Re</w:t>
            </w:r>
            <w:r w:rsidRPr="00294955">
              <w:rPr>
                <w:rFonts w:ascii="Tahoma" w:eastAsia="Tahoma" w:hAnsi="Tahoma" w:cs="Tahoma"/>
                <w:bCs/>
                <w:noProof/>
                <w:color w:val="808080"/>
                <w:sz w:val="18"/>
                <w:szCs w:val="18"/>
                <w:lang w:val="en-GB"/>
              </w:rPr>
              <w:t xml:space="preserve">public and Latvia. ‎ </w:t>
            </w:r>
          </w:p>
          <w:p w14:paraId="768FED54" w14:textId="77777777" w:rsidR="00A44C74" w:rsidRPr="00294955" w:rsidRDefault="00A44C74" w:rsidP="005B039B">
            <w:pPr>
              <w:spacing w:line="360" w:lineRule="auto"/>
              <w:jc w:val="both"/>
              <w:rPr>
                <w:rFonts w:ascii="Tahoma" w:eastAsia="Tahoma" w:hAnsi="Tahoma" w:cs="Tahoma"/>
                <w:bCs/>
                <w:color w:val="FF0000"/>
                <w:sz w:val="18"/>
                <w:szCs w:val="18"/>
                <w:highlight w:val="yellow"/>
                <w:lang w:val="en-GB"/>
              </w:rPr>
            </w:pPr>
          </w:p>
          <w:tbl>
            <w:tblPr>
              <w:tblW w:w="7442" w:type="dxa"/>
              <w:tblLayout w:type="fixed"/>
              <w:tblCellMar>
                <w:left w:w="70" w:type="dxa"/>
                <w:right w:w="70" w:type="dxa"/>
              </w:tblCellMar>
              <w:tblLook w:val="04A0" w:firstRow="1" w:lastRow="0" w:firstColumn="1" w:lastColumn="0" w:noHBand="0" w:noVBand="1"/>
            </w:tblPr>
            <w:tblGrid>
              <w:gridCol w:w="2734"/>
              <w:gridCol w:w="1275"/>
              <w:gridCol w:w="1418"/>
              <w:gridCol w:w="2015"/>
            </w:tblGrid>
            <w:tr w:rsidR="00C11EDC" w:rsidRPr="00294955" w14:paraId="1C30021C" w14:textId="77777777" w:rsidTr="00077D5C">
              <w:trPr>
                <w:trHeight w:val="349"/>
              </w:trPr>
              <w:tc>
                <w:tcPr>
                  <w:tcW w:w="2734" w:type="dxa"/>
                  <w:vMerge w:val="restart"/>
                  <w:tcBorders>
                    <w:top w:val="nil"/>
                    <w:left w:val="single" w:sz="4" w:space="0" w:color="000000"/>
                    <w:bottom w:val="single" w:sz="8" w:space="0" w:color="000000"/>
                    <w:right w:val="nil"/>
                  </w:tcBorders>
                  <w:shd w:val="clear" w:color="000000" w:fill="595959"/>
                  <w:vAlign w:val="center"/>
                  <w:hideMark/>
                </w:tcPr>
                <w:p w14:paraId="0A90987E" w14:textId="77777777" w:rsidR="00077D5C" w:rsidRPr="00294955" w:rsidRDefault="00637C06" w:rsidP="00077D5C">
                  <w:pPr>
                    <w:spacing w:after="0" w:line="240" w:lineRule="auto"/>
                    <w:rPr>
                      <w:rFonts w:ascii="Tahoma" w:eastAsia="Times New Roman" w:hAnsi="Tahoma" w:cs="Tahoma"/>
                      <w:b/>
                      <w:bCs/>
                      <w:color w:val="F2F2F2"/>
                      <w:lang w:val="en-GB"/>
                    </w:rPr>
                  </w:pPr>
                  <w:proofErr w:type="spellStart"/>
                  <w:r w:rsidRPr="00294955">
                    <w:rPr>
                      <w:rFonts w:ascii="Tahoma" w:eastAsia="Tahoma" w:hAnsi="Tahoma" w:cs="Tahoma"/>
                      <w:b/>
                      <w:bCs/>
                      <w:color w:val="F2F2F2"/>
                      <w:lang w:val="en-GB"/>
                    </w:rPr>
                    <w:t>Budimex</w:t>
                  </w:r>
                  <w:proofErr w:type="spellEnd"/>
                  <w:r w:rsidRPr="00294955">
                    <w:rPr>
                      <w:rFonts w:ascii="Tahoma" w:eastAsia="Tahoma" w:hAnsi="Tahoma" w:cs="Tahoma"/>
                      <w:b/>
                      <w:bCs/>
                      <w:color w:val="F2F2F2"/>
                      <w:lang w:val="en-GB"/>
                    </w:rPr>
                    <w:t xml:space="preserve"> Group </w:t>
                  </w:r>
                  <w:r w:rsidRPr="00294955">
                    <w:rPr>
                      <w:rFonts w:ascii="Tahoma" w:eastAsia="Tahoma" w:hAnsi="Tahoma" w:cs="Tahoma"/>
                      <w:b/>
                      <w:bCs/>
                      <w:color w:val="F2F2F2"/>
                      <w:lang w:val="en-GB"/>
                    </w:rPr>
                    <w:br/>
                    <w:t>‎(PLN million)</w:t>
                  </w:r>
                  <w:r w:rsidRPr="00294955">
                    <w:rPr>
                      <w:rFonts w:ascii="Tahoma" w:eastAsia="Tahoma" w:hAnsi="Tahoma" w:cs="Tahoma"/>
                      <w:color w:val="F2F2F2"/>
                      <w:lang w:val="en-GB"/>
                    </w:rPr>
                    <w:t>‎</w:t>
                  </w:r>
                </w:p>
              </w:tc>
              <w:tc>
                <w:tcPr>
                  <w:tcW w:w="4708" w:type="dxa"/>
                  <w:gridSpan w:val="3"/>
                  <w:tcBorders>
                    <w:top w:val="nil"/>
                    <w:left w:val="nil"/>
                    <w:bottom w:val="single" w:sz="4" w:space="0" w:color="000000"/>
                    <w:right w:val="nil"/>
                  </w:tcBorders>
                  <w:shd w:val="clear" w:color="000000" w:fill="BFBFBF"/>
                  <w:noWrap/>
                  <w:vAlign w:val="center"/>
                  <w:hideMark/>
                </w:tcPr>
                <w:p w14:paraId="6836DFAE" w14:textId="77777777" w:rsidR="00077D5C" w:rsidRPr="00294955" w:rsidRDefault="00637C06" w:rsidP="00077D5C">
                  <w:pPr>
                    <w:spacing w:after="0" w:line="240" w:lineRule="auto"/>
                    <w:jc w:val="center"/>
                    <w:rPr>
                      <w:rFonts w:ascii="Tahoma" w:eastAsia="Times New Roman" w:hAnsi="Tahoma" w:cs="Tahoma"/>
                      <w:b/>
                      <w:bCs/>
                      <w:color w:val="000000"/>
                      <w:lang w:val="en-GB"/>
                    </w:rPr>
                  </w:pPr>
                  <w:r w:rsidRPr="00294955">
                    <w:rPr>
                      <w:rFonts w:ascii="Tahoma" w:eastAsia="Tahoma" w:hAnsi="Tahoma" w:cs="Tahoma"/>
                      <w:b/>
                      <w:bCs/>
                      <w:color w:val="000000"/>
                      <w:lang w:val="en-GB"/>
                    </w:rPr>
                    <w:t>Profit and loss account</w:t>
                  </w:r>
                </w:p>
              </w:tc>
            </w:tr>
            <w:tr w:rsidR="00C11EDC" w:rsidRPr="00294955" w14:paraId="24AE8D46" w14:textId="77777777" w:rsidTr="00077D5C">
              <w:trPr>
                <w:trHeight w:val="540"/>
              </w:trPr>
              <w:tc>
                <w:tcPr>
                  <w:tcW w:w="2734" w:type="dxa"/>
                  <w:vMerge/>
                  <w:tcBorders>
                    <w:top w:val="nil"/>
                    <w:left w:val="single" w:sz="4" w:space="0" w:color="000000"/>
                    <w:bottom w:val="single" w:sz="8" w:space="0" w:color="000000"/>
                    <w:right w:val="nil"/>
                  </w:tcBorders>
                  <w:vAlign w:val="center"/>
                  <w:hideMark/>
                </w:tcPr>
                <w:p w14:paraId="78CDB539" w14:textId="77777777" w:rsidR="00077D5C" w:rsidRPr="00294955" w:rsidRDefault="00077D5C" w:rsidP="00077D5C">
                  <w:pPr>
                    <w:spacing w:after="0" w:line="240" w:lineRule="auto"/>
                    <w:rPr>
                      <w:rFonts w:ascii="Tahoma" w:eastAsia="Times New Roman" w:hAnsi="Tahoma" w:cs="Tahoma"/>
                      <w:b/>
                      <w:bCs/>
                      <w:color w:val="F2F2F2"/>
                      <w:lang w:val="en-GB"/>
                    </w:rPr>
                  </w:pPr>
                </w:p>
              </w:tc>
              <w:tc>
                <w:tcPr>
                  <w:tcW w:w="1275" w:type="dxa"/>
                  <w:tcBorders>
                    <w:top w:val="nil"/>
                    <w:left w:val="nil"/>
                    <w:bottom w:val="nil"/>
                    <w:right w:val="nil"/>
                  </w:tcBorders>
                  <w:shd w:val="clear" w:color="000000" w:fill="BFBFBF"/>
                  <w:vAlign w:val="center"/>
                  <w:hideMark/>
                </w:tcPr>
                <w:p w14:paraId="06AE4FBC" w14:textId="77777777" w:rsidR="00077D5C" w:rsidRPr="00294955" w:rsidRDefault="00637C06" w:rsidP="00077D5C">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2023</w:t>
                  </w:r>
                </w:p>
              </w:tc>
              <w:tc>
                <w:tcPr>
                  <w:tcW w:w="1418" w:type="dxa"/>
                  <w:tcBorders>
                    <w:top w:val="nil"/>
                    <w:left w:val="single" w:sz="4" w:space="0" w:color="000000"/>
                    <w:bottom w:val="single" w:sz="8" w:space="0" w:color="000000"/>
                    <w:right w:val="single" w:sz="4" w:space="0" w:color="000000"/>
                  </w:tcBorders>
                  <w:shd w:val="clear" w:color="000000" w:fill="BFBFBF"/>
                  <w:vAlign w:val="center"/>
                  <w:hideMark/>
                </w:tcPr>
                <w:p w14:paraId="683594DE" w14:textId="77777777" w:rsidR="00077D5C" w:rsidRPr="00294955" w:rsidRDefault="00637C06" w:rsidP="00077D5C">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2022</w:t>
                  </w:r>
                </w:p>
              </w:tc>
              <w:tc>
                <w:tcPr>
                  <w:tcW w:w="2015" w:type="dxa"/>
                  <w:tcBorders>
                    <w:top w:val="nil"/>
                    <w:left w:val="nil"/>
                    <w:bottom w:val="single" w:sz="8" w:space="0" w:color="000000"/>
                    <w:right w:val="nil"/>
                  </w:tcBorders>
                  <w:shd w:val="clear" w:color="000000" w:fill="BFBFBF"/>
                  <w:noWrap/>
                  <w:vAlign w:val="center"/>
                  <w:hideMark/>
                </w:tcPr>
                <w:p w14:paraId="6A9D03FA" w14:textId="77777777" w:rsidR="00077D5C" w:rsidRPr="00294955" w:rsidRDefault="00637C06" w:rsidP="00077D5C">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y/y</w:t>
                  </w:r>
                </w:p>
              </w:tc>
            </w:tr>
            <w:tr w:rsidR="00C11EDC" w:rsidRPr="00294955" w14:paraId="3D573B7F" w14:textId="77777777" w:rsidTr="00077D5C">
              <w:trPr>
                <w:trHeight w:val="420"/>
              </w:trPr>
              <w:tc>
                <w:tcPr>
                  <w:tcW w:w="2734" w:type="dxa"/>
                  <w:tcBorders>
                    <w:top w:val="nil"/>
                    <w:left w:val="single" w:sz="8" w:space="0" w:color="FFC000"/>
                    <w:bottom w:val="single" w:sz="8" w:space="0" w:color="auto"/>
                    <w:right w:val="nil"/>
                  </w:tcBorders>
                  <w:shd w:val="clear" w:color="000000" w:fill="FFC000"/>
                  <w:noWrap/>
                  <w:vAlign w:val="center"/>
                  <w:hideMark/>
                </w:tcPr>
                <w:p w14:paraId="576E8F25"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Cs/>
                      <w:color w:val="404040"/>
                      <w:lang w:val="en-GB"/>
                    </w:rPr>
                    <w:t>Sales</w:t>
                  </w:r>
                </w:p>
              </w:tc>
              <w:tc>
                <w:tcPr>
                  <w:tcW w:w="1275" w:type="dxa"/>
                  <w:tcBorders>
                    <w:top w:val="single" w:sz="8" w:space="0" w:color="000000"/>
                    <w:left w:val="nil"/>
                    <w:bottom w:val="single" w:sz="8" w:space="0" w:color="000000"/>
                    <w:right w:val="nil"/>
                  </w:tcBorders>
                  <w:shd w:val="clear" w:color="000000" w:fill="FFC000"/>
                  <w:noWrap/>
                  <w:vAlign w:val="center"/>
                  <w:hideMark/>
                </w:tcPr>
                <w:p w14:paraId="47765AAE"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9,802</w:t>
                  </w:r>
                </w:p>
              </w:tc>
              <w:tc>
                <w:tcPr>
                  <w:tcW w:w="1418" w:type="dxa"/>
                  <w:tcBorders>
                    <w:top w:val="nil"/>
                    <w:left w:val="nil"/>
                    <w:bottom w:val="single" w:sz="8" w:space="0" w:color="000000"/>
                    <w:right w:val="nil"/>
                  </w:tcBorders>
                  <w:shd w:val="clear" w:color="000000" w:fill="FFC000"/>
                  <w:noWrap/>
                  <w:vAlign w:val="center"/>
                  <w:hideMark/>
                </w:tcPr>
                <w:p w14:paraId="22818FB1"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8,619</w:t>
                  </w:r>
                </w:p>
              </w:tc>
              <w:tc>
                <w:tcPr>
                  <w:tcW w:w="2015" w:type="dxa"/>
                  <w:tcBorders>
                    <w:top w:val="nil"/>
                    <w:left w:val="nil"/>
                    <w:bottom w:val="single" w:sz="8" w:space="0" w:color="000000"/>
                    <w:right w:val="single" w:sz="8" w:space="0" w:color="FFC000"/>
                  </w:tcBorders>
                  <w:shd w:val="clear" w:color="000000" w:fill="FFC000"/>
                  <w:noWrap/>
                  <w:vAlign w:val="center"/>
                  <w:hideMark/>
                </w:tcPr>
                <w:p w14:paraId="5F7241E8"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13.7%</w:t>
                  </w:r>
                </w:p>
              </w:tc>
            </w:tr>
            <w:tr w:rsidR="00C11EDC" w:rsidRPr="00294955" w14:paraId="2E99C33D" w14:textId="77777777" w:rsidTr="00077D5C">
              <w:trPr>
                <w:trHeight w:val="420"/>
              </w:trPr>
              <w:tc>
                <w:tcPr>
                  <w:tcW w:w="2734" w:type="dxa"/>
                  <w:tcBorders>
                    <w:top w:val="single" w:sz="4" w:space="0" w:color="000000"/>
                    <w:left w:val="nil"/>
                    <w:bottom w:val="nil"/>
                    <w:right w:val="nil"/>
                  </w:tcBorders>
                  <w:shd w:val="clear" w:color="000000" w:fill="F2F2F2"/>
                  <w:noWrap/>
                  <w:vAlign w:val="center"/>
                  <w:hideMark/>
                </w:tcPr>
                <w:p w14:paraId="56924549"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‎Operating profit</w:t>
                  </w:r>
                </w:p>
              </w:tc>
              <w:tc>
                <w:tcPr>
                  <w:tcW w:w="1275" w:type="dxa"/>
                  <w:tcBorders>
                    <w:top w:val="nil"/>
                    <w:left w:val="nil"/>
                    <w:bottom w:val="nil"/>
                    <w:right w:val="nil"/>
                  </w:tcBorders>
                  <w:shd w:val="clear" w:color="000000" w:fill="F2F2F2"/>
                  <w:noWrap/>
                  <w:vAlign w:val="center"/>
                  <w:hideMark/>
                </w:tcPr>
                <w:p w14:paraId="4478ECAB"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781</w:t>
                  </w:r>
                </w:p>
              </w:tc>
              <w:tc>
                <w:tcPr>
                  <w:tcW w:w="1418" w:type="dxa"/>
                  <w:tcBorders>
                    <w:top w:val="nil"/>
                    <w:left w:val="nil"/>
                    <w:bottom w:val="nil"/>
                    <w:right w:val="nil"/>
                  </w:tcBorders>
                  <w:shd w:val="clear" w:color="000000" w:fill="F2F2F2"/>
                  <w:noWrap/>
                  <w:vAlign w:val="center"/>
                  <w:hideMark/>
                </w:tcPr>
                <w:p w14:paraId="6E1C2C38"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562</w:t>
                  </w:r>
                </w:p>
              </w:tc>
              <w:tc>
                <w:tcPr>
                  <w:tcW w:w="2015" w:type="dxa"/>
                  <w:tcBorders>
                    <w:top w:val="single" w:sz="4" w:space="0" w:color="000000"/>
                    <w:left w:val="nil"/>
                    <w:bottom w:val="nil"/>
                    <w:right w:val="nil"/>
                  </w:tcBorders>
                  <w:shd w:val="clear" w:color="000000" w:fill="F2F2F2"/>
                  <w:noWrap/>
                  <w:vAlign w:val="center"/>
                  <w:hideMark/>
                </w:tcPr>
                <w:p w14:paraId="49D940DA"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38.9%</w:t>
                  </w:r>
                </w:p>
              </w:tc>
            </w:tr>
            <w:tr w:rsidR="00C11EDC" w:rsidRPr="00294955" w14:paraId="59F1B495" w14:textId="77777777" w:rsidTr="00077D5C">
              <w:trPr>
                <w:trHeight w:val="252"/>
              </w:trPr>
              <w:tc>
                <w:tcPr>
                  <w:tcW w:w="2734" w:type="dxa"/>
                  <w:tcBorders>
                    <w:top w:val="nil"/>
                    <w:left w:val="nil"/>
                    <w:bottom w:val="nil"/>
                    <w:right w:val="nil"/>
                  </w:tcBorders>
                  <w:shd w:val="clear" w:color="000000" w:fill="F2F2F2"/>
                  <w:noWrap/>
                  <w:vAlign w:val="center"/>
                  <w:hideMark/>
                </w:tcPr>
                <w:p w14:paraId="5BE3BF0B"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b/>
                      <w:bCs/>
                      <w:color w:val="404040"/>
                      <w:lang w:val="en-GB"/>
                    </w:rPr>
                    <w:t>‎‎% of sales</w:t>
                  </w:r>
                  <w:r w:rsidRPr="00294955">
                    <w:rPr>
                      <w:rFonts w:ascii="Tahoma" w:eastAsia="Tahoma" w:hAnsi="Tahoma" w:cs="Tahoma"/>
                      <w:color w:val="404040"/>
                      <w:lang w:val="en-GB"/>
                    </w:rPr>
                    <w:t>‎‎</w:t>
                  </w:r>
                </w:p>
              </w:tc>
              <w:tc>
                <w:tcPr>
                  <w:tcW w:w="1275" w:type="dxa"/>
                  <w:tcBorders>
                    <w:top w:val="nil"/>
                    <w:left w:val="nil"/>
                    <w:bottom w:val="nil"/>
                    <w:right w:val="nil"/>
                  </w:tcBorders>
                  <w:shd w:val="clear" w:color="000000" w:fill="F2F2F2"/>
                  <w:noWrap/>
                  <w:vAlign w:val="center"/>
                  <w:hideMark/>
                </w:tcPr>
                <w:p w14:paraId="4B24F890"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8.0%</w:t>
                  </w:r>
                </w:p>
              </w:tc>
              <w:tc>
                <w:tcPr>
                  <w:tcW w:w="1418" w:type="dxa"/>
                  <w:tcBorders>
                    <w:top w:val="nil"/>
                    <w:left w:val="nil"/>
                    <w:bottom w:val="nil"/>
                    <w:right w:val="nil"/>
                  </w:tcBorders>
                  <w:shd w:val="clear" w:color="000000" w:fill="F2F2F2"/>
                  <w:noWrap/>
                  <w:vAlign w:val="center"/>
                  <w:hideMark/>
                </w:tcPr>
                <w:p w14:paraId="646097E8"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6.5%</w:t>
                  </w:r>
                </w:p>
              </w:tc>
              <w:tc>
                <w:tcPr>
                  <w:tcW w:w="2015" w:type="dxa"/>
                  <w:tcBorders>
                    <w:top w:val="nil"/>
                    <w:left w:val="nil"/>
                    <w:bottom w:val="nil"/>
                    <w:right w:val="nil"/>
                  </w:tcBorders>
                  <w:shd w:val="clear" w:color="000000" w:fill="F2F2F2"/>
                  <w:noWrap/>
                  <w:vAlign w:val="center"/>
                  <w:hideMark/>
                </w:tcPr>
                <w:p w14:paraId="68B09930"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1.5% pp.</w:t>
                  </w:r>
                </w:p>
              </w:tc>
            </w:tr>
            <w:tr w:rsidR="00C11EDC" w:rsidRPr="00294955" w14:paraId="2F444E62" w14:textId="77777777" w:rsidTr="00077D5C">
              <w:trPr>
                <w:trHeight w:val="420"/>
              </w:trPr>
              <w:tc>
                <w:tcPr>
                  <w:tcW w:w="2734" w:type="dxa"/>
                  <w:tcBorders>
                    <w:top w:val="single" w:sz="4" w:space="0" w:color="000000"/>
                    <w:left w:val="nil"/>
                    <w:bottom w:val="nil"/>
                    <w:right w:val="nil"/>
                  </w:tcBorders>
                  <w:shd w:val="clear" w:color="000000" w:fill="F2F2F2"/>
                  <w:noWrap/>
                  <w:vAlign w:val="center"/>
                  <w:hideMark/>
                </w:tcPr>
                <w:p w14:paraId="28A9926B"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Gross profit</w:t>
                  </w:r>
                </w:p>
              </w:tc>
              <w:tc>
                <w:tcPr>
                  <w:tcW w:w="1275" w:type="dxa"/>
                  <w:tcBorders>
                    <w:top w:val="single" w:sz="4" w:space="0" w:color="000000"/>
                    <w:left w:val="nil"/>
                    <w:bottom w:val="nil"/>
                    <w:right w:val="nil"/>
                  </w:tcBorders>
                  <w:shd w:val="clear" w:color="000000" w:fill="F2F2F2"/>
                  <w:noWrap/>
                  <w:vAlign w:val="center"/>
                  <w:hideMark/>
                </w:tcPr>
                <w:p w14:paraId="0C62E7FE"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930</w:t>
                  </w:r>
                </w:p>
              </w:tc>
              <w:tc>
                <w:tcPr>
                  <w:tcW w:w="1418" w:type="dxa"/>
                  <w:tcBorders>
                    <w:top w:val="single" w:sz="4" w:space="0" w:color="000000"/>
                    <w:left w:val="nil"/>
                    <w:bottom w:val="nil"/>
                    <w:right w:val="nil"/>
                  </w:tcBorders>
                  <w:shd w:val="clear" w:color="000000" w:fill="F2F2F2"/>
                  <w:noWrap/>
                  <w:vAlign w:val="center"/>
                  <w:hideMark/>
                </w:tcPr>
                <w:p w14:paraId="496ABBF0"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649</w:t>
                  </w:r>
                </w:p>
              </w:tc>
              <w:tc>
                <w:tcPr>
                  <w:tcW w:w="2015" w:type="dxa"/>
                  <w:tcBorders>
                    <w:top w:val="single" w:sz="4" w:space="0" w:color="000000"/>
                    <w:left w:val="nil"/>
                    <w:bottom w:val="nil"/>
                    <w:right w:val="nil"/>
                  </w:tcBorders>
                  <w:shd w:val="clear" w:color="000000" w:fill="F2F2F2"/>
                  <w:noWrap/>
                  <w:vAlign w:val="center"/>
                  <w:hideMark/>
                </w:tcPr>
                <w:p w14:paraId="1EB8B6AA"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43.3%</w:t>
                  </w:r>
                </w:p>
              </w:tc>
            </w:tr>
            <w:tr w:rsidR="00C11EDC" w:rsidRPr="00294955" w14:paraId="0664A5B3" w14:textId="77777777" w:rsidTr="00077D5C">
              <w:trPr>
                <w:trHeight w:val="252"/>
              </w:trPr>
              <w:tc>
                <w:tcPr>
                  <w:tcW w:w="2734" w:type="dxa"/>
                  <w:tcBorders>
                    <w:top w:val="nil"/>
                    <w:left w:val="nil"/>
                    <w:bottom w:val="nil"/>
                    <w:right w:val="nil"/>
                  </w:tcBorders>
                  <w:shd w:val="clear" w:color="000000" w:fill="F2F2F2"/>
                  <w:noWrap/>
                  <w:vAlign w:val="center"/>
                  <w:hideMark/>
                </w:tcPr>
                <w:p w14:paraId="6A7FC909"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b/>
                      <w:bCs/>
                      <w:color w:val="404040"/>
                      <w:lang w:val="en-GB"/>
                    </w:rPr>
                    <w:t>‎‎% of sales</w:t>
                  </w:r>
                  <w:r w:rsidRPr="00294955">
                    <w:rPr>
                      <w:rFonts w:ascii="Tahoma" w:eastAsia="Tahoma" w:hAnsi="Tahoma" w:cs="Tahoma"/>
                      <w:color w:val="404040"/>
                      <w:lang w:val="en-GB"/>
                    </w:rPr>
                    <w:t>‎‎</w:t>
                  </w:r>
                </w:p>
              </w:tc>
              <w:tc>
                <w:tcPr>
                  <w:tcW w:w="1275" w:type="dxa"/>
                  <w:tcBorders>
                    <w:top w:val="nil"/>
                    <w:left w:val="nil"/>
                    <w:bottom w:val="nil"/>
                    <w:right w:val="nil"/>
                  </w:tcBorders>
                  <w:shd w:val="clear" w:color="000000" w:fill="F2F2F2"/>
                  <w:noWrap/>
                  <w:vAlign w:val="center"/>
                  <w:hideMark/>
                </w:tcPr>
                <w:p w14:paraId="43504A64"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9.5%</w:t>
                  </w:r>
                </w:p>
              </w:tc>
              <w:tc>
                <w:tcPr>
                  <w:tcW w:w="1418" w:type="dxa"/>
                  <w:tcBorders>
                    <w:top w:val="nil"/>
                    <w:left w:val="nil"/>
                    <w:bottom w:val="nil"/>
                    <w:right w:val="nil"/>
                  </w:tcBorders>
                  <w:shd w:val="clear" w:color="000000" w:fill="F2F2F2"/>
                  <w:noWrap/>
                  <w:vAlign w:val="center"/>
                  <w:hideMark/>
                </w:tcPr>
                <w:p w14:paraId="7A42BC49"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7.5%</w:t>
                  </w:r>
                </w:p>
              </w:tc>
              <w:tc>
                <w:tcPr>
                  <w:tcW w:w="2015" w:type="dxa"/>
                  <w:tcBorders>
                    <w:top w:val="nil"/>
                    <w:left w:val="nil"/>
                    <w:bottom w:val="nil"/>
                    <w:right w:val="nil"/>
                  </w:tcBorders>
                  <w:shd w:val="clear" w:color="000000" w:fill="F2F2F2"/>
                  <w:noWrap/>
                  <w:vAlign w:val="center"/>
                  <w:hideMark/>
                </w:tcPr>
                <w:p w14:paraId="6D3E342D"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2.0% pp.</w:t>
                  </w:r>
                </w:p>
              </w:tc>
            </w:tr>
            <w:tr w:rsidR="00C11EDC" w:rsidRPr="00294955" w14:paraId="6023CEFA" w14:textId="77777777" w:rsidTr="00077D5C">
              <w:trPr>
                <w:trHeight w:val="525"/>
              </w:trPr>
              <w:tc>
                <w:tcPr>
                  <w:tcW w:w="2734" w:type="dxa"/>
                  <w:tcBorders>
                    <w:top w:val="single" w:sz="4" w:space="0" w:color="000000"/>
                    <w:left w:val="nil"/>
                    <w:bottom w:val="nil"/>
                    <w:right w:val="nil"/>
                  </w:tcBorders>
                  <w:shd w:val="clear" w:color="000000" w:fill="F2F2F2"/>
                  <w:vAlign w:val="center"/>
                  <w:hideMark/>
                </w:tcPr>
                <w:p w14:paraId="5E358789"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 xml:space="preserve">Net </w:t>
                  </w:r>
                  <w:r w:rsidRPr="00294955">
                    <w:rPr>
                      <w:rFonts w:ascii="Tahoma" w:eastAsia="Tahoma" w:hAnsi="Tahoma" w:cs="Tahoma"/>
                      <w:b/>
                      <w:bCs/>
                      <w:color w:val="404040"/>
                      <w:lang w:val="en-GB"/>
                    </w:rPr>
                    <w:t>profit*</w:t>
                  </w:r>
                </w:p>
              </w:tc>
              <w:tc>
                <w:tcPr>
                  <w:tcW w:w="1275" w:type="dxa"/>
                  <w:tcBorders>
                    <w:top w:val="single" w:sz="4" w:space="0" w:color="000000"/>
                    <w:left w:val="nil"/>
                    <w:bottom w:val="nil"/>
                    <w:right w:val="nil"/>
                  </w:tcBorders>
                  <w:shd w:val="clear" w:color="000000" w:fill="F2F2F2"/>
                  <w:noWrap/>
                  <w:vAlign w:val="center"/>
                  <w:hideMark/>
                </w:tcPr>
                <w:p w14:paraId="469D85DC"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738</w:t>
                  </w:r>
                </w:p>
              </w:tc>
              <w:tc>
                <w:tcPr>
                  <w:tcW w:w="1418" w:type="dxa"/>
                  <w:tcBorders>
                    <w:top w:val="single" w:sz="4" w:space="0" w:color="000000"/>
                    <w:left w:val="nil"/>
                    <w:bottom w:val="nil"/>
                    <w:right w:val="nil"/>
                  </w:tcBorders>
                  <w:shd w:val="clear" w:color="000000" w:fill="F2F2F2"/>
                  <w:noWrap/>
                  <w:vAlign w:val="center"/>
                  <w:hideMark/>
                </w:tcPr>
                <w:p w14:paraId="242522C3"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534</w:t>
                  </w:r>
                </w:p>
              </w:tc>
              <w:tc>
                <w:tcPr>
                  <w:tcW w:w="2015" w:type="dxa"/>
                  <w:tcBorders>
                    <w:top w:val="single" w:sz="4" w:space="0" w:color="000000"/>
                    <w:left w:val="nil"/>
                    <w:bottom w:val="nil"/>
                    <w:right w:val="nil"/>
                  </w:tcBorders>
                  <w:shd w:val="clear" w:color="000000" w:fill="F2F2F2"/>
                  <w:noWrap/>
                  <w:vAlign w:val="center"/>
                  <w:hideMark/>
                </w:tcPr>
                <w:p w14:paraId="3FB36483" w14:textId="77777777" w:rsidR="00077D5C" w:rsidRPr="00294955" w:rsidRDefault="00637C06" w:rsidP="00077D5C">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38.1%</w:t>
                  </w:r>
                </w:p>
              </w:tc>
            </w:tr>
            <w:tr w:rsidR="00C11EDC" w:rsidRPr="00294955" w14:paraId="63363466" w14:textId="77777777" w:rsidTr="00077D5C">
              <w:trPr>
                <w:trHeight w:val="252"/>
              </w:trPr>
              <w:tc>
                <w:tcPr>
                  <w:tcW w:w="2734" w:type="dxa"/>
                  <w:tcBorders>
                    <w:top w:val="nil"/>
                    <w:left w:val="nil"/>
                    <w:bottom w:val="nil"/>
                    <w:right w:val="nil"/>
                  </w:tcBorders>
                  <w:shd w:val="clear" w:color="000000" w:fill="F2F2F2"/>
                  <w:noWrap/>
                  <w:vAlign w:val="center"/>
                  <w:hideMark/>
                </w:tcPr>
                <w:p w14:paraId="58C84168"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b/>
                      <w:bCs/>
                      <w:color w:val="404040"/>
                      <w:lang w:val="en-GB"/>
                    </w:rPr>
                    <w:t>‎‎% of sales</w:t>
                  </w:r>
                  <w:r w:rsidRPr="00294955">
                    <w:rPr>
                      <w:rFonts w:ascii="Tahoma" w:eastAsia="Tahoma" w:hAnsi="Tahoma" w:cs="Tahoma"/>
                      <w:color w:val="404040"/>
                      <w:lang w:val="en-GB"/>
                    </w:rPr>
                    <w:t>‎‎</w:t>
                  </w:r>
                </w:p>
              </w:tc>
              <w:tc>
                <w:tcPr>
                  <w:tcW w:w="1275" w:type="dxa"/>
                  <w:tcBorders>
                    <w:top w:val="nil"/>
                    <w:left w:val="nil"/>
                    <w:bottom w:val="nil"/>
                    <w:right w:val="nil"/>
                  </w:tcBorders>
                  <w:shd w:val="clear" w:color="000000" w:fill="F2F2F2"/>
                  <w:noWrap/>
                  <w:vAlign w:val="center"/>
                  <w:hideMark/>
                </w:tcPr>
                <w:p w14:paraId="158224E6"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7.5%</w:t>
                  </w:r>
                </w:p>
              </w:tc>
              <w:tc>
                <w:tcPr>
                  <w:tcW w:w="1418" w:type="dxa"/>
                  <w:tcBorders>
                    <w:top w:val="nil"/>
                    <w:left w:val="nil"/>
                    <w:bottom w:val="nil"/>
                    <w:right w:val="nil"/>
                  </w:tcBorders>
                  <w:shd w:val="clear" w:color="000000" w:fill="F2F2F2"/>
                  <w:noWrap/>
                  <w:vAlign w:val="center"/>
                  <w:hideMark/>
                </w:tcPr>
                <w:p w14:paraId="3CCE5788"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6.2%</w:t>
                  </w:r>
                </w:p>
              </w:tc>
              <w:tc>
                <w:tcPr>
                  <w:tcW w:w="2015" w:type="dxa"/>
                  <w:tcBorders>
                    <w:top w:val="nil"/>
                    <w:left w:val="nil"/>
                    <w:bottom w:val="nil"/>
                    <w:right w:val="nil"/>
                  </w:tcBorders>
                  <w:shd w:val="clear" w:color="000000" w:fill="F2F2F2"/>
                  <w:noWrap/>
                  <w:vAlign w:val="center"/>
                  <w:hideMark/>
                </w:tcPr>
                <w:p w14:paraId="5300DD4A"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1.3% pp.</w:t>
                  </w:r>
                </w:p>
              </w:tc>
            </w:tr>
            <w:tr w:rsidR="00C11EDC" w:rsidRPr="005A4DC8" w14:paraId="2954B2EB" w14:textId="77777777" w:rsidTr="00077D5C">
              <w:trPr>
                <w:trHeight w:val="255"/>
              </w:trPr>
              <w:tc>
                <w:tcPr>
                  <w:tcW w:w="2734" w:type="dxa"/>
                  <w:tcBorders>
                    <w:top w:val="single" w:sz="4" w:space="0" w:color="000000"/>
                    <w:left w:val="single" w:sz="4" w:space="0" w:color="FFFFFF"/>
                    <w:bottom w:val="nil"/>
                    <w:right w:val="single" w:sz="4" w:space="0" w:color="FFFFFF"/>
                  </w:tcBorders>
                  <w:shd w:val="clear" w:color="auto" w:fill="auto"/>
                  <w:noWrap/>
                  <w:hideMark/>
                </w:tcPr>
                <w:p w14:paraId="31852910" w14:textId="77777777" w:rsidR="00077D5C" w:rsidRPr="00294955" w:rsidRDefault="00637C06" w:rsidP="00077D5C">
                  <w:pPr>
                    <w:spacing w:after="0" w:line="240" w:lineRule="auto"/>
                    <w:rPr>
                      <w:rFonts w:ascii="Tahoma" w:eastAsia="Times New Roman" w:hAnsi="Tahoma" w:cs="Tahoma"/>
                      <w:i/>
                      <w:iCs/>
                      <w:color w:val="404040"/>
                      <w:sz w:val="14"/>
                      <w:szCs w:val="14"/>
                      <w:lang w:val="en-GB"/>
                    </w:rPr>
                  </w:pPr>
                  <w:r w:rsidRPr="00294955">
                    <w:rPr>
                      <w:rFonts w:ascii="Tahoma" w:eastAsia="Tahoma" w:hAnsi="Tahoma" w:cs="Tahoma"/>
                      <w:iCs/>
                      <w:color w:val="404040"/>
                      <w:sz w:val="14"/>
                      <w:szCs w:val="14"/>
                      <w:lang w:val="en-GB"/>
                    </w:rPr>
                    <w:t xml:space="preserve">‎*attributable to shareholders of the Parent ‎Company.‎‎ </w:t>
                  </w:r>
                </w:p>
              </w:tc>
              <w:tc>
                <w:tcPr>
                  <w:tcW w:w="1275" w:type="dxa"/>
                  <w:tcBorders>
                    <w:top w:val="single" w:sz="4" w:space="0" w:color="000000"/>
                    <w:left w:val="nil"/>
                    <w:bottom w:val="nil"/>
                    <w:right w:val="single" w:sz="4" w:space="0" w:color="FFFFFF"/>
                  </w:tcBorders>
                  <w:shd w:val="clear" w:color="auto" w:fill="auto"/>
                  <w:noWrap/>
                  <w:vAlign w:val="center"/>
                  <w:hideMark/>
                </w:tcPr>
                <w:p w14:paraId="5C8515E4"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imes New Roman" w:hAnsi="Tahoma" w:cs="Tahoma"/>
                      <w:color w:val="404040"/>
                      <w:lang w:val="en-GB"/>
                    </w:rPr>
                    <w:t> </w:t>
                  </w:r>
                </w:p>
              </w:tc>
              <w:tc>
                <w:tcPr>
                  <w:tcW w:w="1418" w:type="dxa"/>
                  <w:tcBorders>
                    <w:top w:val="single" w:sz="4" w:space="0" w:color="000000"/>
                    <w:left w:val="nil"/>
                    <w:bottom w:val="nil"/>
                    <w:right w:val="single" w:sz="4" w:space="0" w:color="FFFFFF"/>
                  </w:tcBorders>
                  <w:shd w:val="clear" w:color="auto" w:fill="auto"/>
                  <w:noWrap/>
                  <w:vAlign w:val="center"/>
                  <w:hideMark/>
                </w:tcPr>
                <w:p w14:paraId="78A5A5D0"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imes New Roman" w:hAnsi="Tahoma" w:cs="Tahoma"/>
                      <w:color w:val="404040"/>
                      <w:lang w:val="en-GB"/>
                    </w:rPr>
                    <w:t> </w:t>
                  </w:r>
                </w:p>
              </w:tc>
              <w:tc>
                <w:tcPr>
                  <w:tcW w:w="2015" w:type="dxa"/>
                  <w:tcBorders>
                    <w:top w:val="single" w:sz="4" w:space="0" w:color="000000"/>
                    <w:left w:val="nil"/>
                    <w:bottom w:val="nil"/>
                    <w:right w:val="single" w:sz="4" w:space="0" w:color="FFFFFF"/>
                  </w:tcBorders>
                  <w:shd w:val="clear" w:color="auto" w:fill="auto"/>
                  <w:noWrap/>
                  <w:vAlign w:val="center"/>
                  <w:hideMark/>
                </w:tcPr>
                <w:p w14:paraId="05D7228A" w14:textId="77777777" w:rsidR="00077D5C" w:rsidRPr="00294955" w:rsidRDefault="00637C06" w:rsidP="00077D5C">
                  <w:pPr>
                    <w:spacing w:after="0" w:line="240" w:lineRule="auto"/>
                    <w:rPr>
                      <w:rFonts w:ascii="Tahoma" w:eastAsia="Times New Roman" w:hAnsi="Tahoma" w:cs="Tahoma"/>
                      <w:color w:val="404040"/>
                      <w:lang w:val="en-GB"/>
                    </w:rPr>
                  </w:pPr>
                  <w:r w:rsidRPr="00294955">
                    <w:rPr>
                      <w:rFonts w:ascii="Tahoma" w:eastAsia="Times New Roman" w:hAnsi="Tahoma" w:cs="Tahoma"/>
                      <w:color w:val="404040"/>
                      <w:lang w:val="en-GB"/>
                    </w:rPr>
                    <w:t> </w:t>
                  </w:r>
                </w:p>
              </w:tc>
            </w:tr>
          </w:tbl>
          <w:p w14:paraId="3160B059" w14:textId="77777777" w:rsidR="0023777F" w:rsidRPr="00294955" w:rsidRDefault="0023777F" w:rsidP="001F6968">
            <w:pPr>
              <w:spacing w:line="360" w:lineRule="auto"/>
              <w:rPr>
                <w:rFonts w:ascii="Tahoma" w:eastAsia="Tahoma" w:hAnsi="Tahoma" w:cs="Tahoma"/>
                <w:color w:val="808080"/>
                <w:sz w:val="18"/>
                <w:szCs w:val="18"/>
                <w:highlight w:val="yellow"/>
                <w:lang w:val="en-GB"/>
              </w:rPr>
            </w:pPr>
          </w:p>
          <w:p w14:paraId="655A0B0A" w14:textId="77777777" w:rsidR="00BF116E" w:rsidRPr="00294955" w:rsidRDefault="00637C06" w:rsidP="00BF116E">
            <w:pPr>
              <w:spacing w:line="360" w:lineRule="auto"/>
              <w:jc w:val="both"/>
              <w:rPr>
                <w:rFonts w:ascii="Tahoma" w:eastAsia="Tahoma" w:hAnsi="Tahoma" w:cs="Tahoma"/>
                <w:bCs/>
                <w:color w:val="808080"/>
                <w:sz w:val="18"/>
                <w:szCs w:val="18"/>
                <w:lang w:val="en-GB"/>
              </w:rPr>
            </w:pPr>
            <w:r w:rsidRPr="00294955">
              <w:rPr>
                <w:rFonts w:ascii="Tahoma" w:eastAsia="Tahoma" w:hAnsi="Tahoma" w:cs="Tahoma"/>
                <w:color w:val="808080"/>
                <w:sz w:val="18"/>
                <w:szCs w:val="18"/>
                <w:lang w:val="en-GB"/>
              </w:rPr>
              <w:t xml:space="preserve">We also recorded double-digit growth (year-on-year) in the Group's sales ‎revenue, both in the construction (+13.8%) and services segment ‎‎(+13.5%). ‎‎  </w:t>
            </w:r>
          </w:p>
          <w:p w14:paraId="4A666E20" w14:textId="740AB52A" w:rsidR="00EA7734" w:rsidRPr="00294955" w:rsidRDefault="00637C06" w:rsidP="00622393">
            <w:pPr>
              <w:spacing w:line="360" w:lineRule="auto"/>
              <w:jc w:val="both"/>
              <w:rPr>
                <w:rFonts w:ascii="Tahoma" w:eastAsia="Tahoma" w:hAnsi="Tahoma" w:cs="Tahoma"/>
                <w:bCs/>
                <w:color w:val="808080"/>
                <w:sz w:val="18"/>
                <w:szCs w:val="18"/>
                <w:lang w:val="en-GB"/>
              </w:rPr>
            </w:pPr>
            <w:r w:rsidRPr="00294955">
              <w:rPr>
                <w:rFonts w:ascii="Tahoma" w:eastAsia="Tahoma" w:hAnsi="Tahoma" w:cs="Tahoma"/>
                <w:bCs/>
                <w:color w:val="808080"/>
                <w:sz w:val="18"/>
                <w:szCs w:val="18"/>
                <w:lang w:val="en-GB"/>
              </w:rPr>
              <w:br/>
            </w:r>
            <w:r w:rsidRPr="00294955">
              <w:rPr>
                <w:rFonts w:ascii="Tahoma" w:eastAsia="Tahoma" w:hAnsi="Tahoma" w:cs="Tahoma"/>
                <w:b/>
                <w:bCs/>
                <w:color w:val="808080"/>
                <w:sz w:val="18"/>
                <w:szCs w:val="18"/>
                <w:lang w:val="en-GB"/>
              </w:rPr>
              <w:t>Construction and assembly production in 2023</w:t>
            </w:r>
            <w:r w:rsidRPr="00294955">
              <w:rPr>
                <w:rFonts w:ascii="Tahoma" w:eastAsia="Tahoma" w:hAnsi="Tahoma" w:cs="Tahoma"/>
                <w:color w:val="808080"/>
                <w:sz w:val="18"/>
                <w:szCs w:val="18"/>
                <w:lang w:val="en-GB"/>
              </w:rPr>
              <w:t xml:space="preserve"> (at current prices) </w:t>
            </w:r>
            <w:r w:rsidRPr="00294955">
              <w:rPr>
                <w:rFonts w:ascii="Tahoma" w:eastAsia="Tahoma" w:hAnsi="Tahoma" w:cs="Tahoma"/>
                <w:b/>
                <w:bCs/>
                <w:color w:val="808080"/>
                <w:sz w:val="18"/>
                <w:szCs w:val="18"/>
                <w:lang w:val="en-GB"/>
              </w:rPr>
              <w:t xml:space="preserve">increased 4% ‎year-on-year, from </w:t>
            </w:r>
            <w:r w:rsidRPr="00294955">
              <w:rPr>
                <w:rFonts w:ascii="Tahoma" w:eastAsia="Tahoma" w:hAnsi="Tahoma" w:cs="Tahoma"/>
                <w:b/>
                <w:bCs/>
                <w:color w:val="808080"/>
                <w:sz w:val="18"/>
                <w:szCs w:val="18"/>
                <w:lang w:val="en-GB"/>
              </w:rPr>
              <w:t>PLN 140 billion to PLN 162 billion</w:t>
            </w:r>
            <w:r w:rsidR="00294955" w:rsidRPr="00294955">
              <w:rPr>
                <w:rFonts w:ascii="Tahoma" w:eastAsia="Tahoma" w:hAnsi="Tahoma" w:cs="Tahoma"/>
                <w:b/>
                <w:bCs/>
                <w:color w:val="808080"/>
                <w:sz w:val="18"/>
                <w:szCs w:val="18"/>
                <w:lang w:val="en-GB"/>
              </w:rPr>
              <w:t xml:space="preserve">. </w:t>
            </w:r>
            <w:r w:rsidRPr="00294955">
              <w:rPr>
                <w:rFonts w:ascii="Tahoma" w:eastAsia="Tahoma" w:hAnsi="Tahoma" w:cs="Tahoma"/>
                <w:color w:val="808080"/>
                <w:sz w:val="18"/>
                <w:szCs w:val="18"/>
                <w:lang w:val="en-GB"/>
              </w:rPr>
              <w:t>In the buildings ‎segment, invoiced production increased by 6.5%, while in the infrastructure area ‎the increase reached 24.1%.‎</w:t>
            </w:r>
          </w:p>
          <w:p w14:paraId="569BA641" w14:textId="77777777" w:rsidR="00AF0EC9" w:rsidRPr="00294955" w:rsidRDefault="00AF0EC9" w:rsidP="00622393">
            <w:pPr>
              <w:spacing w:line="360" w:lineRule="auto"/>
              <w:jc w:val="both"/>
              <w:rPr>
                <w:rFonts w:ascii="Tahoma" w:eastAsia="Tahoma" w:hAnsi="Tahoma" w:cs="Tahoma"/>
                <w:bCs/>
                <w:color w:val="808080"/>
                <w:sz w:val="18"/>
                <w:szCs w:val="18"/>
                <w:lang w:val="en-GB"/>
              </w:rPr>
            </w:pPr>
          </w:p>
          <w:tbl>
            <w:tblPr>
              <w:tblW w:w="6844" w:type="dxa"/>
              <w:tblLayout w:type="fixed"/>
              <w:tblCellMar>
                <w:left w:w="70" w:type="dxa"/>
                <w:right w:w="70" w:type="dxa"/>
              </w:tblCellMar>
              <w:tblLook w:val="04A0" w:firstRow="1" w:lastRow="0" w:firstColumn="1" w:lastColumn="0" w:noHBand="0" w:noVBand="1"/>
            </w:tblPr>
            <w:tblGrid>
              <w:gridCol w:w="2340"/>
              <w:gridCol w:w="1360"/>
              <w:gridCol w:w="1360"/>
              <w:gridCol w:w="1784"/>
            </w:tblGrid>
            <w:tr w:rsidR="00C11EDC" w:rsidRPr="005A4DC8" w14:paraId="2AAE5A20" w14:textId="77777777" w:rsidTr="00B2537D">
              <w:trPr>
                <w:trHeight w:val="349"/>
              </w:trPr>
              <w:tc>
                <w:tcPr>
                  <w:tcW w:w="2340" w:type="dxa"/>
                  <w:vMerge w:val="restart"/>
                  <w:tcBorders>
                    <w:top w:val="nil"/>
                    <w:left w:val="single" w:sz="4" w:space="0" w:color="000000"/>
                    <w:bottom w:val="single" w:sz="8" w:space="0" w:color="000000"/>
                    <w:right w:val="nil"/>
                  </w:tcBorders>
                  <w:shd w:val="clear" w:color="000000" w:fill="595959"/>
                  <w:vAlign w:val="center"/>
                  <w:hideMark/>
                </w:tcPr>
                <w:p w14:paraId="2C45E348" w14:textId="77777777" w:rsidR="002B4A1E" w:rsidRPr="00294955" w:rsidRDefault="00637C06" w:rsidP="002B4A1E">
                  <w:pPr>
                    <w:spacing w:after="0" w:line="240" w:lineRule="auto"/>
                    <w:rPr>
                      <w:rFonts w:ascii="Tahoma" w:eastAsia="Times New Roman" w:hAnsi="Tahoma" w:cs="Tahoma"/>
                      <w:b/>
                      <w:bCs/>
                      <w:color w:val="F2F2F2"/>
                      <w:lang w:val="en-GB"/>
                    </w:rPr>
                  </w:pPr>
                  <w:r w:rsidRPr="00294955">
                    <w:rPr>
                      <w:rFonts w:ascii="Tahoma" w:eastAsia="Tahoma" w:hAnsi="Tahoma" w:cs="Tahoma"/>
                      <w:b/>
                      <w:bCs/>
                      <w:color w:val="F2F2F2"/>
                      <w:lang w:val="en-GB"/>
                    </w:rPr>
                    <w:t>Construction sector</w:t>
                  </w:r>
                </w:p>
              </w:tc>
              <w:tc>
                <w:tcPr>
                  <w:tcW w:w="4504" w:type="dxa"/>
                  <w:gridSpan w:val="3"/>
                  <w:tcBorders>
                    <w:top w:val="nil"/>
                    <w:left w:val="nil"/>
                    <w:bottom w:val="nil"/>
                    <w:right w:val="nil"/>
                  </w:tcBorders>
                  <w:shd w:val="clear" w:color="000000" w:fill="BFBFBF"/>
                  <w:noWrap/>
                  <w:vAlign w:val="center"/>
                  <w:hideMark/>
                </w:tcPr>
                <w:p w14:paraId="102D0891" w14:textId="77777777" w:rsidR="002B4A1E" w:rsidRPr="00294955" w:rsidRDefault="00637C06" w:rsidP="002B4A1E">
                  <w:pPr>
                    <w:spacing w:after="0" w:line="240" w:lineRule="auto"/>
                    <w:jc w:val="center"/>
                    <w:rPr>
                      <w:rFonts w:ascii="Tahoma" w:eastAsia="Times New Roman" w:hAnsi="Tahoma" w:cs="Tahoma"/>
                      <w:b/>
                      <w:bCs/>
                      <w:color w:val="000000"/>
                      <w:lang w:val="en-GB"/>
                    </w:rPr>
                  </w:pPr>
                  <w:r w:rsidRPr="00294955">
                    <w:rPr>
                      <w:rFonts w:ascii="Tahoma" w:eastAsia="Tahoma" w:hAnsi="Tahoma" w:cs="Tahoma"/>
                      <w:b/>
                      <w:bCs/>
                      <w:color w:val="000000"/>
                      <w:lang w:val="en-GB"/>
                    </w:rPr>
                    <w:t>Statistics (PLN billion)‎</w:t>
                  </w:r>
                </w:p>
              </w:tc>
            </w:tr>
            <w:tr w:rsidR="00C11EDC" w:rsidRPr="005A4DC8" w14:paraId="3743E8CE" w14:textId="77777777" w:rsidTr="00B2537D">
              <w:trPr>
                <w:trHeight w:val="540"/>
              </w:trPr>
              <w:tc>
                <w:tcPr>
                  <w:tcW w:w="2340" w:type="dxa"/>
                  <w:vMerge/>
                  <w:tcBorders>
                    <w:top w:val="nil"/>
                    <w:left w:val="single" w:sz="4" w:space="0" w:color="000000"/>
                    <w:bottom w:val="single" w:sz="8" w:space="0" w:color="000000"/>
                    <w:right w:val="nil"/>
                  </w:tcBorders>
                  <w:vAlign w:val="center"/>
                  <w:hideMark/>
                </w:tcPr>
                <w:p w14:paraId="7DC440FB" w14:textId="77777777" w:rsidR="002B4A1E" w:rsidRPr="00294955" w:rsidRDefault="002B4A1E" w:rsidP="002B4A1E">
                  <w:pPr>
                    <w:spacing w:after="0" w:line="240" w:lineRule="auto"/>
                    <w:rPr>
                      <w:rFonts w:ascii="Tahoma" w:eastAsia="Times New Roman" w:hAnsi="Tahoma" w:cs="Tahoma"/>
                      <w:b/>
                      <w:bCs/>
                      <w:color w:val="F2F2F2"/>
                      <w:lang w:val="en-GB"/>
                    </w:rPr>
                  </w:pPr>
                </w:p>
              </w:tc>
              <w:tc>
                <w:tcPr>
                  <w:tcW w:w="1360" w:type="dxa"/>
                  <w:tcBorders>
                    <w:top w:val="single" w:sz="4" w:space="0" w:color="000000"/>
                    <w:left w:val="single" w:sz="4" w:space="0" w:color="000000"/>
                    <w:bottom w:val="single" w:sz="8" w:space="0" w:color="000000"/>
                    <w:right w:val="single" w:sz="4" w:space="0" w:color="000000"/>
                  </w:tcBorders>
                  <w:shd w:val="clear" w:color="000000" w:fill="BFBFBF"/>
                  <w:vAlign w:val="center"/>
                  <w:hideMark/>
                </w:tcPr>
                <w:p w14:paraId="6CFDE8B3" w14:textId="77777777" w:rsidR="002B4A1E" w:rsidRPr="00294955" w:rsidRDefault="00637C06" w:rsidP="002B4A1E">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2023</w:t>
                  </w:r>
                </w:p>
              </w:tc>
              <w:tc>
                <w:tcPr>
                  <w:tcW w:w="1360" w:type="dxa"/>
                  <w:tcBorders>
                    <w:top w:val="single" w:sz="4" w:space="0" w:color="000000"/>
                    <w:left w:val="nil"/>
                    <w:bottom w:val="single" w:sz="8" w:space="0" w:color="000000"/>
                    <w:right w:val="single" w:sz="4" w:space="0" w:color="000000"/>
                  </w:tcBorders>
                  <w:shd w:val="clear" w:color="000000" w:fill="BFBFBF"/>
                  <w:vAlign w:val="center"/>
                  <w:hideMark/>
                </w:tcPr>
                <w:p w14:paraId="63D4FD42" w14:textId="77777777" w:rsidR="002B4A1E" w:rsidRPr="00294955" w:rsidRDefault="00637C06" w:rsidP="002B4A1E">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2022</w:t>
                  </w:r>
                </w:p>
              </w:tc>
              <w:tc>
                <w:tcPr>
                  <w:tcW w:w="1784" w:type="dxa"/>
                  <w:tcBorders>
                    <w:top w:val="single" w:sz="4" w:space="0" w:color="000000"/>
                    <w:left w:val="nil"/>
                    <w:bottom w:val="single" w:sz="8" w:space="0" w:color="000000"/>
                    <w:right w:val="nil"/>
                  </w:tcBorders>
                  <w:shd w:val="clear" w:color="000000" w:fill="BFBFBF"/>
                  <w:noWrap/>
                  <w:vAlign w:val="center"/>
                  <w:hideMark/>
                </w:tcPr>
                <w:p w14:paraId="7D04ABE8" w14:textId="77777777" w:rsidR="002B4A1E" w:rsidRPr="00294955" w:rsidRDefault="00637C06" w:rsidP="002B4A1E">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y/y</w:t>
                  </w:r>
                </w:p>
              </w:tc>
            </w:tr>
            <w:tr w:rsidR="00C11EDC" w:rsidRPr="005A4DC8" w14:paraId="1E2ADBE6" w14:textId="77777777" w:rsidTr="00B2537D">
              <w:trPr>
                <w:trHeight w:val="660"/>
              </w:trPr>
              <w:tc>
                <w:tcPr>
                  <w:tcW w:w="2340" w:type="dxa"/>
                  <w:tcBorders>
                    <w:top w:val="nil"/>
                    <w:left w:val="single" w:sz="8" w:space="0" w:color="FFC000"/>
                    <w:bottom w:val="single" w:sz="8" w:space="0" w:color="auto"/>
                    <w:right w:val="nil"/>
                  </w:tcBorders>
                  <w:shd w:val="clear" w:color="000000" w:fill="FFC000"/>
                  <w:vAlign w:val="center"/>
                  <w:hideMark/>
                </w:tcPr>
                <w:p w14:paraId="4346F4B0" w14:textId="77777777" w:rsidR="002B4A1E" w:rsidRPr="00294955" w:rsidRDefault="00637C06" w:rsidP="002B4A1E">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Invoiced production</w:t>
                  </w:r>
                </w:p>
              </w:tc>
              <w:tc>
                <w:tcPr>
                  <w:tcW w:w="1360" w:type="dxa"/>
                  <w:tcBorders>
                    <w:top w:val="nil"/>
                    <w:left w:val="nil"/>
                    <w:bottom w:val="single" w:sz="8" w:space="0" w:color="000000"/>
                    <w:right w:val="nil"/>
                  </w:tcBorders>
                  <w:shd w:val="clear" w:color="000000" w:fill="FFC000"/>
                  <w:noWrap/>
                  <w:vAlign w:val="center"/>
                  <w:hideMark/>
                </w:tcPr>
                <w:p w14:paraId="1425D337" w14:textId="77777777" w:rsidR="002B4A1E" w:rsidRPr="00294955" w:rsidRDefault="00637C06" w:rsidP="002B4A1E">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161.9</w:t>
                  </w:r>
                </w:p>
              </w:tc>
              <w:tc>
                <w:tcPr>
                  <w:tcW w:w="1360" w:type="dxa"/>
                  <w:tcBorders>
                    <w:top w:val="nil"/>
                    <w:left w:val="nil"/>
                    <w:bottom w:val="single" w:sz="8" w:space="0" w:color="000000"/>
                    <w:right w:val="nil"/>
                  </w:tcBorders>
                  <w:shd w:val="clear" w:color="000000" w:fill="FFC000"/>
                  <w:noWrap/>
                  <w:vAlign w:val="center"/>
                  <w:hideMark/>
                </w:tcPr>
                <w:p w14:paraId="0A249F34" w14:textId="77777777" w:rsidR="002B4A1E" w:rsidRPr="00294955" w:rsidRDefault="00637C06" w:rsidP="002B4A1E">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140.4</w:t>
                  </w:r>
                </w:p>
              </w:tc>
              <w:tc>
                <w:tcPr>
                  <w:tcW w:w="1784" w:type="dxa"/>
                  <w:tcBorders>
                    <w:top w:val="nil"/>
                    <w:left w:val="nil"/>
                    <w:bottom w:val="single" w:sz="8" w:space="0" w:color="000000"/>
                    <w:right w:val="nil"/>
                  </w:tcBorders>
                  <w:shd w:val="clear" w:color="000000" w:fill="FFC000"/>
                  <w:noWrap/>
                  <w:vAlign w:val="center"/>
                  <w:hideMark/>
                </w:tcPr>
                <w:p w14:paraId="39FC468A" w14:textId="77777777" w:rsidR="002B4A1E" w:rsidRPr="00294955" w:rsidRDefault="00637C06" w:rsidP="002B4A1E">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15.4%</w:t>
                  </w:r>
                </w:p>
              </w:tc>
            </w:tr>
            <w:tr w:rsidR="00C11EDC" w:rsidRPr="005A4DC8" w14:paraId="4345FEF9" w14:textId="77777777" w:rsidTr="00B2537D">
              <w:trPr>
                <w:trHeight w:val="405"/>
              </w:trPr>
              <w:tc>
                <w:tcPr>
                  <w:tcW w:w="2340" w:type="dxa"/>
                  <w:tcBorders>
                    <w:top w:val="nil"/>
                    <w:left w:val="nil"/>
                    <w:bottom w:val="nil"/>
                    <w:right w:val="nil"/>
                  </w:tcBorders>
                  <w:shd w:val="clear" w:color="000000" w:fill="F2F2F2"/>
                  <w:noWrap/>
                  <w:vAlign w:val="center"/>
                  <w:hideMark/>
                </w:tcPr>
                <w:p w14:paraId="6D42D022" w14:textId="77777777" w:rsidR="002B4A1E" w:rsidRPr="00294955" w:rsidRDefault="00637C06" w:rsidP="002B4A1E">
                  <w:pPr>
                    <w:spacing w:after="0" w:line="240" w:lineRule="auto"/>
                    <w:outlineLvl w:val="0"/>
                    <w:rPr>
                      <w:rFonts w:ascii="Tahoma" w:eastAsia="Times New Roman" w:hAnsi="Tahoma" w:cs="Tahoma"/>
                      <w:b/>
                      <w:bCs/>
                      <w:color w:val="404040"/>
                      <w:lang w:val="en-GB"/>
                    </w:rPr>
                  </w:pPr>
                  <w:r w:rsidRPr="00294955">
                    <w:rPr>
                      <w:rFonts w:ascii="Tahoma" w:eastAsia="Tahoma" w:hAnsi="Tahoma" w:cs="Tahoma"/>
                      <w:b/>
                      <w:bCs/>
                      <w:color w:val="404040"/>
                      <w:lang w:val="en-GB"/>
                    </w:rPr>
                    <w:t>Buildings</w:t>
                  </w:r>
                </w:p>
              </w:tc>
              <w:tc>
                <w:tcPr>
                  <w:tcW w:w="1360" w:type="dxa"/>
                  <w:tcBorders>
                    <w:top w:val="nil"/>
                    <w:left w:val="nil"/>
                    <w:bottom w:val="nil"/>
                    <w:right w:val="nil"/>
                  </w:tcBorders>
                  <w:shd w:val="clear" w:color="000000" w:fill="F2F2F2"/>
                  <w:noWrap/>
                  <w:vAlign w:val="center"/>
                  <w:hideMark/>
                </w:tcPr>
                <w:p w14:paraId="3737906E" w14:textId="77777777" w:rsidR="002B4A1E" w:rsidRPr="00294955" w:rsidRDefault="00637C06" w:rsidP="002B4A1E">
                  <w:pPr>
                    <w:spacing w:after="0" w:line="240" w:lineRule="auto"/>
                    <w:outlineLvl w:val="0"/>
                    <w:rPr>
                      <w:rFonts w:ascii="Tahoma" w:eastAsia="Times New Roman" w:hAnsi="Tahoma" w:cs="Tahoma"/>
                      <w:b/>
                      <w:bCs/>
                      <w:color w:val="404040"/>
                      <w:lang w:val="en-GB"/>
                    </w:rPr>
                  </w:pPr>
                  <w:r w:rsidRPr="00294955">
                    <w:rPr>
                      <w:rFonts w:ascii="Tahoma" w:eastAsia="Tahoma" w:hAnsi="Tahoma" w:cs="Tahoma"/>
                      <w:b/>
                      <w:bCs/>
                      <w:color w:val="404040"/>
                      <w:lang w:val="en-GB"/>
                    </w:rPr>
                    <w:t>74.3</w:t>
                  </w:r>
                </w:p>
              </w:tc>
              <w:tc>
                <w:tcPr>
                  <w:tcW w:w="1360" w:type="dxa"/>
                  <w:tcBorders>
                    <w:top w:val="nil"/>
                    <w:left w:val="nil"/>
                    <w:bottom w:val="nil"/>
                    <w:right w:val="nil"/>
                  </w:tcBorders>
                  <w:shd w:val="clear" w:color="000000" w:fill="F2F2F2"/>
                  <w:noWrap/>
                  <w:vAlign w:val="center"/>
                  <w:hideMark/>
                </w:tcPr>
                <w:p w14:paraId="69AC8AF9" w14:textId="77777777" w:rsidR="002B4A1E" w:rsidRPr="00294955" w:rsidRDefault="00637C06" w:rsidP="002B4A1E">
                  <w:pPr>
                    <w:spacing w:after="0" w:line="240" w:lineRule="auto"/>
                    <w:outlineLvl w:val="0"/>
                    <w:rPr>
                      <w:rFonts w:ascii="Tahoma" w:eastAsia="Times New Roman" w:hAnsi="Tahoma" w:cs="Tahoma"/>
                      <w:b/>
                      <w:bCs/>
                      <w:color w:val="404040"/>
                      <w:lang w:val="en-GB"/>
                    </w:rPr>
                  </w:pPr>
                  <w:r w:rsidRPr="00294955">
                    <w:rPr>
                      <w:rFonts w:ascii="Tahoma" w:eastAsia="Tahoma" w:hAnsi="Tahoma" w:cs="Tahoma"/>
                      <w:b/>
                      <w:bCs/>
                      <w:color w:val="404040"/>
                      <w:lang w:val="en-GB"/>
                    </w:rPr>
                    <w:t>69.7</w:t>
                  </w:r>
                </w:p>
              </w:tc>
              <w:tc>
                <w:tcPr>
                  <w:tcW w:w="1784" w:type="dxa"/>
                  <w:tcBorders>
                    <w:top w:val="nil"/>
                    <w:left w:val="nil"/>
                    <w:bottom w:val="nil"/>
                    <w:right w:val="nil"/>
                  </w:tcBorders>
                  <w:shd w:val="clear" w:color="000000" w:fill="F2F2F2"/>
                  <w:noWrap/>
                  <w:vAlign w:val="center"/>
                  <w:hideMark/>
                </w:tcPr>
                <w:p w14:paraId="1B5C6972" w14:textId="77777777" w:rsidR="002B4A1E" w:rsidRPr="00294955" w:rsidRDefault="00637C06" w:rsidP="002B4A1E">
                  <w:pPr>
                    <w:spacing w:after="0" w:line="240" w:lineRule="auto"/>
                    <w:outlineLvl w:val="0"/>
                    <w:rPr>
                      <w:rFonts w:ascii="Tahoma" w:eastAsia="Times New Roman" w:hAnsi="Tahoma" w:cs="Tahoma"/>
                      <w:b/>
                      <w:bCs/>
                      <w:color w:val="404040"/>
                      <w:lang w:val="en-GB"/>
                    </w:rPr>
                  </w:pPr>
                  <w:r w:rsidRPr="00294955">
                    <w:rPr>
                      <w:rFonts w:ascii="Tahoma" w:eastAsia="Tahoma" w:hAnsi="Tahoma" w:cs="Tahoma"/>
                      <w:b/>
                      <w:bCs/>
                      <w:color w:val="404040"/>
                      <w:lang w:val="en-GB"/>
                    </w:rPr>
                    <w:t>6.5%</w:t>
                  </w:r>
                </w:p>
              </w:tc>
            </w:tr>
            <w:tr w:rsidR="00C11EDC" w:rsidRPr="005A4DC8" w14:paraId="7E218196" w14:textId="77777777" w:rsidTr="00B2537D">
              <w:trPr>
                <w:trHeight w:val="285"/>
              </w:trPr>
              <w:tc>
                <w:tcPr>
                  <w:tcW w:w="2340" w:type="dxa"/>
                  <w:tcBorders>
                    <w:top w:val="nil"/>
                    <w:left w:val="nil"/>
                    <w:bottom w:val="nil"/>
                    <w:right w:val="nil"/>
                  </w:tcBorders>
                  <w:shd w:val="clear" w:color="000000" w:fill="F2F2F2"/>
                  <w:noWrap/>
                  <w:vAlign w:val="center"/>
                  <w:hideMark/>
                </w:tcPr>
                <w:p w14:paraId="6F537803" w14:textId="77777777" w:rsidR="002B4A1E" w:rsidRPr="00294955" w:rsidRDefault="00637C06" w:rsidP="002B4A1E">
                  <w:pPr>
                    <w:spacing w:after="0" w:line="240" w:lineRule="auto"/>
                    <w:outlineLvl w:val="0"/>
                    <w:rPr>
                      <w:rFonts w:ascii="Tahoma" w:eastAsia="Times New Roman" w:hAnsi="Tahoma" w:cs="Tahoma"/>
                      <w:color w:val="404040"/>
                      <w:lang w:val="en-GB"/>
                    </w:rPr>
                  </w:pPr>
                  <w:r w:rsidRPr="00294955">
                    <w:rPr>
                      <w:rFonts w:ascii="Tahoma" w:eastAsia="Tahoma" w:hAnsi="Tahoma" w:cs="Tahoma"/>
                      <w:color w:val="404040"/>
                      <w:lang w:val="en-GB"/>
                    </w:rPr>
                    <w:t>share</w:t>
                  </w:r>
                </w:p>
              </w:tc>
              <w:tc>
                <w:tcPr>
                  <w:tcW w:w="1360" w:type="dxa"/>
                  <w:tcBorders>
                    <w:top w:val="nil"/>
                    <w:left w:val="nil"/>
                    <w:bottom w:val="single" w:sz="4" w:space="0" w:color="000000"/>
                    <w:right w:val="nil"/>
                  </w:tcBorders>
                  <w:shd w:val="clear" w:color="000000" w:fill="F2F2F2"/>
                  <w:noWrap/>
                  <w:vAlign w:val="center"/>
                  <w:hideMark/>
                </w:tcPr>
                <w:p w14:paraId="702FF7F5" w14:textId="77777777" w:rsidR="002B4A1E" w:rsidRPr="00294955" w:rsidRDefault="00637C06" w:rsidP="002B4A1E">
                  <w:pPr>
                    <w:spacing w:after="0" w:line="240" w:lineRule="auto"/>
                    <w:outlineLvl w:val="0"/>
                    <w:rPr>
                      <w:rFonts w:ascii="Tahoma" w:eastAsia="Times New Roman" w:hAnsi="Tahoma" w:cs="Tahoma"/>
                      <w:color w:val="404040"/>
                      <w:lang w:val="en-GB"/>
                    </w:rPr>
                  </w:pPr>
                  <w:r w:rsidRPr="00294955">
                    <w:rPr>
                      <w:rFonts w:ascii="Tahoma" w:eastAsia="Tahoma" w:hAnsi="Tahoma" w:cs="Tahoma"/>
                      <w:color w:val="404040"/>
                      <w:lang w:val="en-GB"/>
                    </w:rPr>
                    <w:t>45.9%</w:t>
                  </w:r>
                </w:p>
              </w:tc>
              <w:tc>
                <w:tcPr>
                  <w:tcW w:w="1360" w:type="dxa"/>
                  <w:tcBorders>
                    <w:top w:val="nil"/>
                    <w:left w:val="nil"/>
                    <w:bottom w:val="single" w:sz="4" w:space="0" w:color="000000"/>
                    <w:right w:val="nil"/>
                  </w:tcBorders>
                  <w:shd w:val="clear" w:color="000000" w:fill="F2F2F2"/>
                  <w:noWrap/>
                  <w:vAlign w:val="center"/>
                  <w:hideMark/>
                </w:tcPr>
                <w:p w14:paraId="7B486F5B" w14:textId="77777777" w:rsidR="002B4A1E" w:rsidRPr="00294955" w:rsidRDefault="00637C06" w:rsidP="002B4A1E">
                  <w:pPr>
                    <w:spacing w:after="0" w:line="240" w:lineRule="auto"/>
                    <w:outlineLvl w:val="0"/>
                    <w:rPr>
                      <w:rFonts w:ascii="Tahoma" w:eastAsia="Times New Roman" w:hAnsi="Tahoma" w:cs="Tahoma"/>
                      <w:color w:val="404040"/>
                      <w:lang w:val="en-GB"/>
                    </w:rPr>
                  </w:pPr>
                  <w:r w:rsidRPr="00294955">
                    <w:rPr>
                      <w:rFonts w:ascii="Tahoma" w:eastAsia="Tahoma" w:hAnsi="Tahoma" w:cs="Tahoma"/>
                      <w:color w:val="404040"/>
                      <w:lang w:val="en-GB"/>
                    </w:rPr>
                    <w:t>49.7%</w:t>
                  </w:r>
                </w:p>
              </w:tc>
              <w:tc>
                <w:tcPr>
                  <w:tcW w:w="1784" w:type="dxa"/>
                  <w:tcBorders>
                    <w:top w:val="nil"/>
                    <w:left w:val="nil"/>
                    <w:bottom w:val="nil"/>
                    <w:right w:val="nil"/>
                  </w:tcBorders>
                  <w:shd w:val="clear" w:color="000000" w:fill="F2F2F2"/>
                  <w:noWrap/>
                  <w:vAlign w:val="center"/>
                  <w:hideMark/>
                </w:tcPr>
                <w:p w14:paraId="24E4F1EB" w14:textId="77777777" w:rsidR="002B4A1E" w:rsidRPr="00294955" w:rsidRDefault="00637C06" w:rsidP="002B4A1E">
                  <w:pPr>
                    <w:spacing w:after="0" w:line="240" w:lineRule="auto"/>
                    <w:outlineLvl w:val="0"/>
                    <w:rPr>
                      <w:rFonts w:ascii="Tahoma" w:eastAsia="Times New Roman" w:hAnsi="Tahoma" w:cs="Tahoma"/>
                      <w:color w:val="404040"/>
                      <w:lang w:val="en-GB"/>
                    </w:rPr>
                  </w:pPr>
                  <w:r w:rsidRPr="00294955">
                    <w:rPr>
                      <w:rFonts w:ascii="Tahoma" w:eastAsia="Tahoma" w:hAnsi="Tahoma" w:cs="Tahoma"/>
                      <w:color w:val="404040"/>
                      <w:lang w:val="en-GB"/>
                    </w:rPr>
                    <w:t>-3.8% pp.</w:t>
                  </w:r>
                </w:p>
              </w:tc>
            </w:tr>
            <w:tr w:rsidR="00C11EDC" w:rsidRPr="005A4DC8" w14:paraId="08C73EBD" w14:textId="77777777" w:rsidTr="00B2537D">
              <w:trPr>
                <w:trHeight w:val="405"/>
              </w:trPr>
              <w:tc>
                <w:tcPr>
                  <w:tcW w:w="2340" w:type="dxa"/>
                  <w:tcBorders>
                    <w:top w:val="single" w:sz="4" w:space="0" w:color="000000"/>
                    <w:left w:val="nil"/>
                    <w:bottom w:val="dashed" w:sz="4" w:space="0" w:color="000000"/>
                    <w:right w:val="nil"/>
                  </w:tcBorders>
                  <w:shd w:val="clear" w:color="000000" w:fill="F2F2F2"/>
                  <w:noWrap/>
                  <w:vAlign w:val="center"/>
                  <w:hideMark/>
                </w:tcPr>
                <w:p w14:paraId="667540B1" w14:textId="77777777" w:rsidR="002B4A1E" w:rsidRPr="00294955" w:rsidRDefault="00637C06" w:rsidP="002B4A1E">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Engineering</w:t>
                  </w:r>
                </w:p>
              </w:tc>
              <w:tc>
                <w:tcPr>
                  <w:tcW w:w="1360" w:type="dxa"/>
                  <w:tcBorders>
                    <w:top w:val="nil"/>
                    <w:left w:val="nil"/>
                    <w:bottom w:val="dashed" w:sz="4" w:space="0" w:color="000000"/>
                    <w:right w:val="nil"/>
                  </w:tcBorders>
                  <w:shd w:val="clear" w:color="000000" w:fill="F2F2F2"/>
                  <w:noWrap/>
                  <w:vAlign w:val="center"/>
                  <w:hideMark/>
                </w:tcPr>
                <w:p w14:paraId="3B3FA10A" w14:textId="77777777" w:rsidR="002B4A1E" w:rsidRPr="00294955" w:rsidRDefault="00637C06" w:rsidP="002B4A1E">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87.6</w:t>
                  </w:r>
                </w:p>
              </w:tc>
              <w:tc>
                <w:tcPr>
                  <w:tcW w:w="1360" w:type="dxa"/>
                  <w:tcBorders>
                    <w:top w:val="nil"/>
                    <w:left w:val="nil"/>
                    <w:bottom w:val="dashed" w:sz="4" w:space="0" w:color="000000"/>
                    <w:right w:val="nil"/>
                  </w:tcBorders>
                  <w:shd w:val="clear" w:color="000000" w:fill="F2F2F2"/>
                  <w:noWrap/>
                  <w:vAlign w:val="center"/>
                  <w:hideMark/>
                </w:tcPr>
                <w:p w14:paraId="1311D533" w14:textId="77777777" w:rsidR="002B4A1E" w:rsidRPr="00294955" w:rsidRDefault="00637C06" w:rsidP="002B4A1E">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70.6</w:t>
                  </w:r>
                </w:p>
              </w:tc>
              <w:tc>
                <w:tcPr>
                  <w:tcW w:w="1784" w:type="dxa"/>
                  <w:tcBorders>
                    <w:top w:val="single" w:sz="4" w:space="0" w:color="000000"/>
                    <w:left w:val="nil"/>
                    <w:bottom w:val="dashed" w:sz="4" w:space="0" w:color="000000"/>
                    <w:right w:val="nil"/>
                  </w:tcBorders>
                  <w:shd w:val="clear" w:color="000000" w:fill="F2F2F2"/>
                  <w:noWrap/>
                  <w:vAlign w:val="center"/>
                  <w:hideMark/>
                </w:tcPr>
                <w:p w14:paraId="2E2CD3D4" w14:textId="77777777" w:rsidR="002B4A1E" w:rsidRPr="00294955" w:rsidRDefault="00637C06" w:rsidP="002B4A1E">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24.1%</w:t>
                  </w:r>
                </w:p>
              </w:tc>
            </w:tr>
            <w:tr w:rsidR="00C11EDC" w:rsidRPr="005A4DC8" w14:paraId="0D0BA0A4" w14:textId="77777777" w:rsidTr="00B2537D">
              <w:trPr>
                <w:trHeight w:val="330"/>
              </w:trPr>
              <w:tc>
                <w:tcPr>
                  <w:tcW w:w="2340" w:type="dxa"/>
                  <w:tcBorders>
                    <w:top w:val="nil"/>
                    <w:left w:val="nil"/>
                    <w:bottom w:val="dotted" w:sz="4" w:space="0" w:color="808080"/>
                    <w:right w:val="nil"/>
                  </w:tcBorders>
                  <w:shd w:val="clear" w:color="000000" w:fill="F9F9F9"/>
                  <w:noWrap/>
                  <w:vAlign w:val="center"/>
                  <w:hideMark/>
                </w:tcPr>
                <w:p w14:paraId="5EBEA084" w14:textId="77777777" w:rsidR="002B4A1E" w:rsidRPr="00294955" w:rsidRDefault="00637C06" w:rsidP="002B4A1E">
                  <w:pPr>
                    <w:spacing w:after="0" w:line="240" w:lineRule="auto"/>
                    <w:rPr>
                      <w:rFonts w:ascii="Tahoma" w:eastAsia="Times New Roman" w:hAnsi="Tahoma" w:cs="Tahoma"/>
                      <w:i/>
                      <w:iCs/>
                      <w:color w:val="404040"/>
                      <w:sz w:val="20"/>
                      <w:szCs w:val="20"/>
                      <w:lang w:val="en-GB"/>
                    </w:rPr>
                  </w:pPr>
                  <w:r w:rsidRPr="00294955">
                    <w:rPr>
                      <w:rFonts w:ascii="Tahoma" w:eastAsia="Tahoma" w:hAnsi="Tahoma" w:cs="Tahoma"/>
                      <w:i/>
                      <w:iCs/>
                      <w:color w:val="404040"/>
                      <w:sz w:val="20"/>
                      <w:szCs w:val="20"/>
                      <w:lang w:val="en-GB"/>
                    </w:rPr>
                    <w:t>Including roads</w:t>
                  </w:r>
                </w:p>
              </w:tc>
              <w:tc>
                <w:tcPr>
                  <w:tcW w:w="1360" w:type="dxa"/>
                  <w:tcBorders>
                    <w:top w:val="nil"/>
                    <w:left w:val="nil"/>
                    <w:bottom w:val="dotted" w:sz="4" w:space="0" w:color="808080"/>
                    <w:right w:val="nil"/>
                  </w:tcBorders>
                  <w:shd w:val="clear" w:color="000000" w:fill="F9F9F9"/>
                  <w:noWrap/>
                  <w:vAlign w:val="center"/>
                  <w:hideMark/>
                </w:tcPr>
                <w:p w14:paraId="5220C936" w14:textId="77777777" w:rsidR="002B4A1E" w:rsidRPr="00294955" w:rsidRDefault="00637C06" w:rsidP="002B4A1E">
                  <w:pPr>
                    <w:spacing w:after="0" w:line="240" w:lineRule="auto"/>
                    <w:rPr>
                      <w:rFonts w:ascii="Tahoma" w:eastAsia="Times New Roman" w:hAnsi="Tahoma" w:cs="Tahoma"/>
                      <w:i/>
                      <w:iCs/>
                      <w:color w:val="404040"/>
                      <w:sz w:val="20"/>
                      <w:szCs w:val="20"/>
                      <w:lang w:val="en-GB"/>
                    </w:rPr>
                  </w:pPr>
                  <w:r w:rsidRPr="00294955">
                    <w:rPr>
                      <w:rFonts w:ascii="Tahoma" w:eastAsia="Tahoma" w:hAnsi="Tahoma" w:cs="Tahoma"/>
                      <w:i/>
                      <w:iCs/>
                      <w:color w:val="404040"/>
                      <w:sz w:val="20"/>
                      <w:szCs w:val="20"/>
                      <w:lang w:val="en-GB"/>
                    </w:rPr>
                    <w:t>34.2</w:t>
                  </w:r>
                </w:p>
              </w:tc>
              <w:tc>
                <w:tcPr>
                  <w:tcW w:w="1360" w:type="dxa"/>
                  <w:tcBorders>
                    <w:top w:val="nil"/>
                    <w:left w:val="nil"/>
                    <w:bottom w:val="dotted" w:sz="4" w:space="0" w:color="808080"/>
                    <w:right w:val="nil"/>
                  </w:tcBorders>
                  <w:shd w:val="clear" w:color="000000" w:fill="F9F9F9"/>
                  <w:noWrap/>
                  <w:vAlign w:val="center"/>
                  <w:hideMark/>
                </w:tcPr>
                <w:p w14:paraId="4ED3ED9D" w14:textId="77777777" w:rsidR="002B4A1E" w:rsidRPr="00294955" w:rsidRDefault="00637C06" w:rsidP="002B4A1E">
                  <w:pPr>
                    <w:spacing w:after="0" w:line="240" w:lineRule="auto"/>
                    <w:rPr>
                      <w:rFonts w:ascii="Tahoma" w:eastAsia="Times New Roman" w:hAnsi="Tahoma" w:cs="Tahoma"/>
                      <w:i/>
                      <w:iCs/>
                      <w:color w:val="404040"/>
                      <w:sz w:val="20"/>
                      <w:szCs w:val="20"/>
                      <w:lang w:val="en-GB"/>
                    </w:rPr>
                  </w:pPr>
                  <w:r w:rsidRPr="00294955">
                    <w:rPr>
                      <w:rFonts w:ascii="Tahoma" w:eastAsia="Tahoma" w:hAnsi="Tahoma" w:cs="Tahoma"/>
                      <w:i/>
                      <w:iCs/>
                      <w:color w:val="404040"/>
                      <w:sz w:val="20"/>
                      <w:szCs w:val="20"/>
                      <w:lang w:val="en-GB"/>
                    </w:rPr>
                    <w:t>26.9</w:t>
                  </w:r>
                </w:p>
              </w:tc>
              <w:tc>
                <w:tcPr>
                  <w:tcW w:w="1784" w:type="dxa"/>
                  <w:tcBorders>
                    <w:top w:val="nil"/>
                    <w:left w:val="nil"/>
                    <w:bottom w:val="dotted" w:sz="4" w:space="0" w:color="808080"/>
                    <w:right w:val="nil"/>
                  </w:tcBorders>
                  <w:shd w:val="clear" w:color="000000" w:fill="F9F9F9"/>
                  <w:noWrap/>
                  <w:vAlign w:val="center"/>
                  <w:hideMark/>
                </w:tcPr>
                <w:p w14:paraId="334F8770" w14:textId="77777777" w:rsidR="002B4A1E" w:rsidRPr="00294955" w:rsidRDefault="00637C06" w:rsidP="002B4A1E">
                  <w:pPr>
                    <w:spacing w:after="0" w:line="240" w:lineRule="auto"/>
                    <w:rPr>
                      <w:rFonts w:ascii="Tahoma" w:eastAsia="Times New Roman" w:hAnsi="Tahoma" w:cs="Tahoma"/>
                      <w:i/>
                      <w:iCs/>
                      <w:color w:val="404040"/>
                      <w:sz w:val="20"/>
                      <w:szCs w:val="20"/>
                      <w:lang w:val="en-GB"/>
                    </w:rPr>
                  </w:pPr>
                  <w:r w:rsidRPr="00294955">
                    <w:rPr>
                      <w:rFonts w:ascii="Tahoma" w:eastAsia="Tahoma" w:hAnsi="Tahoma" w:cs="Tahoma"/>
                      <w:i/>
                      <w:iCs/>
                      <w:color w:val="404040"/>
                      <w:sz w:val="20"/>
                      <w:szCs w:val="20"/>
                      <w:lang w:val="en-GB"/>
                    </w:rPr>
                    <w:t>27.3%</w:t>
                  </w:r>
                </w:p>
              </w:tc>
            </w:tr>
            <w:tr w:rsidR="00C11EDC" w:rsidRPr="005A4DC8" w14:paraId="18A7CB14" w14:textId="77777777" w:rsidTr="00B2537D">
              <w:trPr>
                <w:trHeight w:val="330"/>
              </w:trPr>
              <w:tc>
                <w:tcPr>
                  <w:tcW w:w="2340" w:type="dxa"/>
                  <w:tcBorders>
                    <w:top w:val="nil"/>
                    <w:left w:val="nil"/>
                    <w:bottom w:val="dotted" w:sz="4" w:space="0" w:color="808080"/>
                    <w:right w:val="nil"/>
                  </w:tcBorders>
                  <w:shd w:val="clear" w:color="000000" w:fill="F9F9F9"/>
                  <w:noWrap/>
                  <w:vAlign w:val="center"/>
                  <w:hideMark/>
                </w:tcPr>
                <w:p w14:paraId="121E7BF6" w14:textId="77777777" w:rsidR="002B4A1E" w:rsidRPr="00294955" w:rsidRDefault="00637C06" w:rsidP="002B4A1E">
                  <w:pPr>
                    <w:spacing w:after="0" w:line="240" w:lineRule="auto"/>
                    <w:rPr>
                      <w:rFonts w:ascii="Tahoma" w:eastAsia="Times New Roman" w:hAnsi="Tahoma" w:cs="Tahoma"/>
                      <w:i/>
                      <w:iCs/>
                      <w:color w:val="404040"/>
                      <w:sz w:val="20"/>
                      <w:szCs w:val="20"/>
                      <w:lang w:val="en-GB"/>
                    </w:rPr>
                  </w:pPr>
                  <w:r w:rsidRPr="00294955">
                    <w:rPr>
                      <w:rFonts w:ascii="Tahoma" w:eastAsia="Tahoma" w:hAnsi="Tahoma" w:cs="Tahoma"/>
                      <w:i/>
                      <w:iCs/>
                      <w:color w:val="404040"/>
                      <w:sz w:val="20"/>
                      <w:szCs w:val="20"/>
                      <w:lang w:val="en-GB"/>
                    </w:rPr>
                    <w:t>Including railway</w:t>
                  </w:r>
                </w:p>
              </w:tc>
              <w:tc>
                <w:tcPr>
                  <w:tcW w:w="1360" w:type="dxa"/>
                  <w:tcBorders>
                    <w:top w:val="nil"/>
                    <w:left w:val="nil"/>
                    <w:bottom w:val="dotted" w:sz="4" w:space="0" w:color="808080"/>
                    <w:right w:val="nil"/>
                  </w:tcBorders>
                  <w:shd w:val="clear" w:color="000000" w:fill="F9F9F9"/>
                  <w:noWrap/>
                  <w:vAlign w:val="center"/>
                  <w:hideMark/>
                </w:tcPr>
                <w:p w14:paraId="368651AD" w14:textId="77777777" w:rsidR="002B4A1E" w:rsidRPr="00294955" w:rsidRDefault="00637C06" w:rsidP="002B4A1E">
                  <w:pPr>
                    <w:spacing w:after="0" w:line="240" w:lineRule="auto"/>
                    <w:rPr>
                      <w:rFonts w:ascii="Tahoma" w:eastAsia="Times New Roman" w:hAnsi="Tahoma" w:cs="Tahoma"/>
                      <w:i/>
                      <w:iCs/>
                      <w:color w:val="404040"/>
                      <w:sz w:val="20"/>
                      <w:szCs w:val="20"/>
                      <w:lang w:val="en-GB"/>
                    </w:rPr>
                  </w:pPr>
                  <w:r w:rsidRPr="00294955">
                    <w:rPr>
                      <w:rFonts w:ascii="Tahoma" w:eastAsia="Tahoma" w:hAnsi="Tahoma" w:cs="Tahoma"/>
                      <w:i/>
                      <w:iCs/>
                      <w:color w:val="404040"/>
                      <w:sz w:val="20"/>
                      <w:szCs w:val="20"/>
                      <w:lang w:val="en-GB"/>
                    </w:rPr>
                    <w:t>9.4</w:t>
                  </w:r>
                </w:p>
              </w:tc>
              <w:tc>
                <w:tcPr>
                  <w:tcW w:w="1360" w:type="dxa"/>
                  <w:tcBorders>
                    <w:top w:val="nil"/>
                    <w:left w:val="nil"/>
                    <w:bottom w:val="dotted" w:sz="4" w:space="0" w:color="808080"/>
                    <w:right w:val="nil"/>
                  </w:tcBorders>
                  <w:shd w:val="clear" w:color="000000" w:fill="F9F9F9"/>
                  <w:noWrap/>
                  <w:vAlign w:val="center"/>
                  <w:hideMark/>
                </w:tcPr>
                <w:p w14:paraId="59F8345C" w14:textId="77777777" w:rsidR="002B4A1E" w:rsidRPr="00294955" w:rsidRDefault="00637C06" w:rsidP="002B4A1E">
                  <w:pPr>
                    <w:spacing w:after="0" w:line="240" w:lineRule="auto"/>
                    <w:rPr>
                      <w:rFonts w:ascii="Tahoma" w:eastAsia="Times New Roman" w:hAnsi="Tahoma" w:cs="Tahoma"/>
                      <w:i/>
                      <w:iCs/>
                      <w:color w:val="404040"/>
                      <w:sz w:val="20"/>
                      <w:szCs w:val="20"/>
                      <w:lang w:val="en-GB"/>
                    </w:rPr>
                  </w:pPr>
                  <w:r w:rsidRPr="00294955">
                    <w:rPr>
                      <w:rFonts w:ascii="Tahoma" w:eastAsia="Tahoma" w:hAnsi="Tahoma" w:cs="Tahoma"/>
                      <w:i/>
                      <w:iCs/>
                      <w:color w:val="404040"/>
                      <w:sz w:val="20"/>
                      <w:szCs w:val="20"/>
                      <w:lang w:val="en-GB"/>
                    </w:rPr>
                    <w:t>8.4</w:t>
                  </w:r>
                </w:p>
              </w:tc>
              <w:tc>
                <w:tcPr>
                  <w:tcW w:w="1784" w:type="dxa"/>
                  <w:tcBorders>
                    <w:top w:val="nil"/>
                    <w:left w:val="nil"/>
                    <w:bottom w:val="dotted" w:sz="4" w:space="0" w:color="808080"/>
                    <w:right w:val="nil"/>
                  </w:tcBorders>
                  <w:shd w:val="clear" w:color="000000" w:fill="F9F9F9"/>
                  <w:noWrap/>
                  <w:vAlign w:val="center"/>
                  <w:hideMark/>
                </w:tcPr>
                <w:p w14:paraId="21FD9773" w14:textId="77777777" w:rsidR="002B4A1E" w:rsidRPr="00294955" w:rsidRDefault="00637C06" w:rsidP="002B4A1E">
                  <w:pPr>
                    <w:spacing w:after="0" w:line="240" w:lineRule="auto"/>
                    <w:rPr>
                      <w:rFonts w:ascii="Tahoma" w:eastAsia="Times New Roman" w:hAnsi="Tahoma" w:cs="Tahoma"/>
                      <w:i/>
                      <w:iCs/>
                      <w:color w:val="404040"/>
                      <w:sz w:val="20"/>
                      <w:szCs w:val="20"/>
                      <w:lang w:val="en-GB"/>
                    </w:rPr>
                  </w:pPr>
                  <w:r w:rsidRPr="00294955">
                    <w:rPr>
                      <w:rFonts w:ascii="Tahoma" w:eastAsia="Tahoma" w:hAnsi="Tahoma" w:cs="Tahoma"/>
                      <w:i/>
                      <w:iCs/>
                      <w:color w:val="404040"/>
                      <w:sz w:val="20"/>
                      <w:szCs w:val="20"/>
                      <w:lang w:val="en-GB"/>
                    </w:rPr>
                    <w:t>11.5%</w:t>
                  </w:r>
                </w:p>
              </w:tc>
            </w:tr>
            <w:tr w:rsidR="00C11EDC" w:rsidRPr="005A4DC8" w14:paraId="7ECFAF05" w14:textId="77777777" w:rsidTr="00B2537D">
              <w:trPr>
                <w:trHeight w:val="285"/>
              </w:trPr>
              <w:tc>
                <w:tcPr>
                  <w:tcW w:w="2340" w:type="dxa"/>
                  <w:tcBorders>
                    <w:top w:val="nil"/>
                    <w:left w:val="nil"/>
                    <w:bottom w:val="nil"/>
                    <w:right w:val="nil"/>
                  </w:tcBorders>
                  <w:shd w:val="clear" w:color="000000" w:fill="F2F2F2"/>
                  <w:noWrap/>
                  <w:vAlign w:val="center"/>
                  <w:hideMark/>
                </w:tcPr>
                <w:p w14:paraId="78268FDC" w14:textId="77777777" w:rsidR="002B4A1E" w:rsidRPr="00294955" w:rsidRDefault="00637C06" w:rsidP="002B4A1E">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share</w:t>
                  </w:r>
                </w:p>
              </w:tc>
              <w:tc>
                <w:tcPr>
                  <w:tcW w:w="1360" w:type="dxa"/>
                  <w:tcBorders>
                    <w:top w:val="nil"/>
                    <w:left w:val="nil"/>
                    <w:bottom w:val="nil"/>
                    <w:right w:val="nil"/>
                  </w:tcBorders>
                  <w:shd w:val="clear" w:color="000000" w:fill="F2F2F2"/>
                  <w:noWrap/>
                  <w:vAlign w:val="center"/>
                  <w:hideMark/>
                </w:tcPr>
                <w:p w14:paraId="7A69E3B4" w14:textId="77777777" w:rsidR="002B4A1E" w:rsidRPr="00294955" w:rsidRDefault="00637C06" w:rsidP="002B4A1E">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54.1%</w:t>
                  </w:r>
                </w:p>
              </w:tc>
              <w:tc>
                <w:tcPr>
                  <w:tcW w:w="1360" w:type="dxa"/>
                  <w:tcBorders>
                    <w:top w:val="nil"/>
                    <w:left w:val="nil"/>
                    <w:bottom w:val="nil"/>
                    <w:right w:val="nil"/>
                  </w:tcBorders>
                  <w:shd w:val="clear" w:color="000000" w:fill="F2F2F2"/>
                  <w:noWrap/>
                  <w:vAlign w:val="center"/>
                  <w:hideMark/>
                </w:tcPr>
                <w:p w14:paraId="4B51691A" w14:textId="77777777" w:rsidR="002B4A1E" w:rsidRPr="00294955" w:rsidRDefault="00637C06" w:rsidP="002B4A1E">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50.3%</w:t>
                  </w:r>
                </w:p>
              </w:tc>
              <w:tc>
                <w:tcPr>
                  <w:tcW w:w="1784" w:type="dxa"/>
                  <w:tcBorders>
                    <w:top w:val="nil"/>
                    <w:left w:val="nil"/>
                    <w:bottom w:val="nil"/>
                    <w:right w:val="nil"/>
                  </w:tcBorders>
                  <w:shd w:val="clear" w:color="000000" w:fill="F2F2F2"/>
                  <w:noWrap/>
                  <w:vAlign w:val="center"/>
                  <w:hideMark/>
                </w:tcPr>
                <w:p w14:paraId="0D39D5E7" w14:textId="77777777" w:rsidR="002B4A1E" w:rsidRPr="00294955" w:rsidRDefault="00637C06" w:rsidP="002B4A1E">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3,8% pp.</w:t>
                  </w:r>
                </w:p>
              </w:tc>
            </w:tr>
          </w:tbl>
          <w:p w14:paraId="007A4430" w14:textId="77777777" w:rsidR="00622393" w:rsidRPr="00294955" w:rsidRDefault="00622393" w:rsidP="00622393">
            <w:pPr>
              <w:spacing w:line="360" w:lineRule="auto"/>
              <w:jc w:val="both"/>
              <w:rPr>
                <w:rFonts w:ascii="Tahoma" w:eastAsia="Tahoma" w:hAnsi="Tahoma" w:cs="Tahoma"/>
                <w:bCs/>
                <w:color w:val="808080"/>
                <w:sz w:val="18"/>
                <w:szCs w:val="18"/>
                <w:lang w:val="en-GB"/>
              </w:rPr>
            </w:pPr>
          </w:p>
          <w:p w14:paraId="6D96922B" w14:textId="77777777" w:rsidR="0080729F" w:rsidRPr="00294955" w:rsidRDefault="0080729F" w:rsidP="005B039B">
            <w:pPr>
              <w:spacing w:line="360" w:lineRule="auto"/>
              <w:jc w:val="both"/>
              <w:rPr>
                <w:rFonts w:ascii="Tahoma" w:eastAsia="Tahoma" w:hAnsi="Tahoma" w:cs="Tahoma"/>
                <w:b/>
                <w:color w:val="808080"/>
                <w:sz w:val="18"/>
                <w:szCs w:val="18"/>
                <w:highlight w:val="yellow"/>
                <w:lang w:val="en-GB"/>
              </w:rPr>
            </w:pPr>
          </w:p>
          <w:p w14:paraId="44726652" w14:textId="77777777" w:rsidR="009D0F56" w:rsidRPr="00294955" w:rsidRDefault="00637C06" w:rsidP="009D0F56">
            <w:pPr>
              <w:spacing w:line="360" w:lineRule="auto"/>
              <w:jc w:val="both"/>
              <w:rPr>
                <w:rFonts w:ascii="Tahoma" w:eastAsia="Tahoma" w:hAnsi="Tahoma" w:cs="Tahoma"/>
                <w:b/>
                <w:color w:val="808080"/>
                <w:sz w:val="18"/>
                <w:szCs w:val="18"/>
                <w:lang w:val="en-GB"/>
              </w:rPr>
            </w:pPr>
            <w:r w:rsidRPr="00294955">
              <w:rPr>
                <w:rFonts w:ascii="Tahoma" w:eastAsia="Tahoma" w:hAnsi="Tahoma" w:cs="Tahoma"/>
                <w:b/>
                <w:bCs/>
                <w:color w:val="808080"/>
                <w:sz w:val="18"/>
                <w:szCs w:val="18"/>
                <w:lang w:val="en-GB"/>
              </w:rPr>
              <w:t xml:space="preserve">Sales of the </w:t>
            </w:r>
            <w:proofErr w:type="spellStart"/>
            <w:r w:rsidRPr="00294955">
              <w:rPr>
                <w:rFonts w:ascii="Tahoma" w:eastAsia="Tahoma" w:hAnsi="Tahoma" w:cs="Tahoma"/>
                <w:b/>
                <w:bCs/>
                <w:color w:val="808080"/>
                <w:sz w:val="18"/>
                <w:szCs w:val="18"/>
                <w:lang w:val="en-GB"/>
              </w:rPr>
              <w:t>Budimex</w:t>
            </w:r>
            <w:proofErr w:type="spellEnd"/>
            <w:r w:rsidRPr="00294955">
              <w:rPr>
                <w:rFonts w:ascii="Tahoma" w:eastAsia="Tahoma" w:hAnsi="Tahoma" w:cs="Tahoma"/>
                <w:b/>
                <w:bCs/>
                <w:color w:val="808080"/>
                <w:sz w:val="18"/>
                <w:szCs w:val="18"/>
                <w:lang w:val="en-GB"/>
              </w:rPr>
              <w:t xml:space="preserve"> Group's construction segment in 2023 </w:t>
            </w:r>
            <w:r w:rsidRPr="00294955">
              <w:rPr>
                <w:rFonts w:ascii="Tahoma" w:eastAsia="Tahoma" w:hAnsi="Tahoma" w:cs="Tahoma"/>
                <w:b/>
                <w:bCs/>
                <w:color w:val="808080"/>
                <w:sz w:val="18"/>
                <w:szCs w:val="18"/>
                <w:lang w:val="en-GB"/>
              </w:rPr>
              <w:t xml:space="preserve">amounted to ‎PLN 8,902 million (+13.8% year-on-year), recording an increase in </w:t>
            </w:r>
            <w:r w:rsidRPr="00294955">
              <w:rPr>
                <w:rFonts w:ascii="Tahoma" w:eastAsia="Tahoma" w:hAnsi="Tahoma" w:cs="Tahoma"/>
                <w:b/>
                <w:bCs/>
                <w:color w:val="808080"/>
                <w:sz w:val="18"/>
                <w:szCs w:val="18"/>
                <w:lang w:val="en-GB"/>
              </w:rPr>
              <w:lastRenderedPageBreak/>
              <w:t>both ‎operating profitability (from 6.0% to 8.0%) and gross profitability (from ‎‎7.1% to 9.7%). ‎</w:t>
            </w:r>
          </w:p>
          <w:p w14:paraId="73CC2FFA" w14:textId="77777777" w:rsidR="00C46009" w:rsidRPr="00294955" w:rsidRDefault="00C46009" w:rsidP="009D0F56">
            <w:pPr>
              <w:spacing w:line="360" w:lineRule="auto"/>
              <w:jc w:val="both"/>
              <w:rPr>
                <w:rFonts w:ascii="Tahoma" w:eastAsia="Tahoma" w:hAnsi="Tahoma" w:cs="Tahoma"/>
                <w:b/>
                <w:color w:val="808080"/>
                <w:sz w:val="18"/>
                <w:szCs w:val="18"/>
                <w:highlight w:val="cyan"/>
                <w:lang w:val="en-GB"/>
              </w:rPr>
            </w:pPr>
          </w:p>
          <w:tbl>
            <w:tblPr>
              <w:tblW w:w="6980" w:type="dxa"/>
              <w:tblLayout w:type="fixed"/>
              <w:tblCellMar>
                <w:left w:w="70" w:type="dxa"/>
                <w:right w:w="70" w:type="dxa"/>
              </w:tblCellMar>
              <w:tblLook w:val="04A0" w:firstRow="1" w:lastRow="0" w:firstColumn="1" w:lastColumn="0" w:noHBand="0" w:noVBand="1"/>
            </w:tblPr>
            <w:tblGrid>
              <w:gridCol w:w="2600"/>
              <w:gridCol w:w="1460"/>
              <w:gridCol w:w="1480"/>
              <w:gridCol w:w="1260"/>
              <w:gridCol w:w="180"/>
            </w:tblGrid>
            <w:tr w:rsidR="00C11EDC" w:rsidRPr="005A4DC8" w14:paraId="5CD0F7E4" w14:textId="77777777" w:rsidTr="00C46009">
              <w:trPr>
                <w:trHeight w:val="348"/>
              </w:trPr>
              <w:tc>
                <w:tcPr>
                  <w:tcW w:w="2600" w:type="dxa"/>
                  <w:vMerge w:val="restart"/>
                  <w:tcBorders>
                    <w:top w:val="nil"/>
                    <w:left w:val="nil"/>
                    <w:bottom w:val="nil"/>
                    <w:right w:val="nil"/>
                  </w:tcBorders>
                  <w:shd w:val="clear" w:color="000000" w:fill="595959"/>
                  <w:vAlign w:val="center"/>
                  <w:hideMark/>
                </w:tcPr>
                <w:p w14:paraId="7B598201" w14:textId="77777777" w:rsidR="00C46009" w:rsidRPr="00294955" w:rsidRDefault="00637C06" w:rsidP="00C46009">
                  <w:pPr>
                    <w:spacing w:after="0" w:line="240" w:lineRule="auto"/>
                    <w:rPr>
                      <w:rFonts w:ascii="Tahoma" w:eastAsia="Times New Roman" w:hAnsi="Tahoma" w:cs="Tahoma"/>
                      <w:b/>
                      <w:bCs/>
                      <w:color w:val="FFFFFF"/>
                      <w:lang w:val="en-GB"/>
                    </w:rPr>
                  </w:pPr>
                  <w:r w:rsidRPr="00294955">
                    <w:rPr>
                      <w:rFonts w:ascii="Tahoma" w:eastAsia="Tahoma" w:hAnsi="Tahoma" w:cs="Tahoma"/>
                      <w:b/>
                      <w:bCs/>
                      <w:color w:val="FFFFFF"/>
                      <w:lang w:val="en-GB"/>
                    </w:rPr>
                    <w:t xml:space="preserve">Construction segment </w:t>
                  </w:r>
                  <w:r w:rsidRPr="00294955">
                    <w:rPr>
                      <w:rFonts w:ascii="Tahoma" w:eastAsia="Tahoma" w:hAnsi="Tahoma" w:cs="Tahoma"/>
                      <w:b/>
                      <w:bCs/>
                      <w:color w:val="FFFFFF"/>
                      <w:lang w:val="en-GB"/>
                    </w:rPr>
                    <w:br/>
                    <w:t>(PLN million)</w:t>
                  </w:r>
                  <w:r w:rsidRPr="00294955">
                    <w:rPr>
                      <w:rFonts w:ascii="Tahoma" w:eastAsia="Tahoma" w:hAnsi="Tahoma" w:cs="Tahoma"/>
                      <w:color w:val="FFFFFF"/>
                      <w:lang w:val="en-GB"/>
                    </w:rPr>
                    <w:t xml:space="preserve">‎ </w:t>
                  </w:r>
                </w:p>
              </w:tc>
              <w:tc>
                <w:tcPr>
                  <w:tcW w:w="4200" w:type="dxa"/>
                  <w:gridSpan w:val="3"/>
                  <w:tcBorders>
                    <w:top w:val="nil"/>
                    <w:left w:val="nil"/>
                    <w:bottom w:val="single" w:sz="4" w:space="0" w:color="000000"/>
                    <w:right w:val="nil"/>
                  </w:tcBorders>
                  <w:shd w:val="clear" w:color="000000" w:fill="BFBFBF"/>
                  <w:noWrap/>
                  <w:vAlign w:val="center"/>
                  <w:hideMark/>
                </w:tcPr>
                <w:p w14:paraId="33DD47B1" w14:textId="77777777" w:rsidR="00C46009" w:rsidRPr="00294955" w:rsidRDefault="00637C06" w:rsidP="00C46009">
                  <w:pPr>
                    <w:spacing w:after="0" w:line="240" w:lineRule="auto"/>
                    <w:jc w:val="center"/>
                    <w:rPr>
                      <w:rFonts w:ascii="Tahoma" w:eastAsia="Times New Roman" w:hAnsi="Tahoma" w:cs="Tahoma"/>
                      <w:b/>
                      <w:bCs/>
                      <w:color w:val="000000"/>
                      <w:lang w:val="en-GB"/>
                    </w:rPr>
                  </w:pPr>
                  <w:r w:rsidRPr="00294955">
                    <w:rPr>
                      <w:rFonts w:ascii="Tahoma" w:eastAsia="Tahoma" w:hAnsi="Tahoma" w:cs="Tahoma"/>
                      <w:b/>
                      <w:bCs/>
                      <w:color w:val="000000"/>
                      <w:lang w:val="en-GB"/>
                    </w:rPr>
                    <w:t>Profit and loss account</w:t>
                  </w:r>
                </w:p>
              </w:tc>
              <w:tc>
                <w:tcPr>
                  <w:tcW w:w="180" w:type="dxa"/>
                  <w:tcBorders>
                    <w:top w:val="nil"/>
                    <w:left w:val="nil"/>
                    <w:bottom w:val="nil"/>
                    <w:right w:val="nil"/>
                  </w:tcBorders>
                  <w:shd w:val="clear" w:color="000000" w:fill="BFBFBF"/>
                  <w:noWrap/>
                  <w:vAlign w:val="center"/>
                  <w:hideMark/>
                </w:tcPr>
                <w:p w14:paraId="4B14175C" w14:textId="77777777" w:rsidR="00C46009" w:rsidRPr="00294955" w:rsidRDefault="00637C06" w:rsidP="00C46009">
                  <w:pPr>
                    <w:spacing w:after="0" w:line="240" w:lineRule="auto"/>
                    <w:jc w:val="center"/>
                    <w:rPr>
                      <w:rFonts w:ascii="Tahoma" w:eastAsia="Times New Roman" w:hAnsi="Tahoma" w:cs="Tahoma"/>
                      <w:b/>
                      <w:bCs/>
                      <w:color w:val="000000"/>
                      <w:lang w:val="en-GB"/>
                    </w:rPr>
                  </w:pPr>
                  <w:r w:rsidRPr="00294955">
                    <w:rPr>
                      <w:rFonts w:ascii="Tahoma" w:eastAsia="Times New Roman" w:hAnsi="Tahoma" w:cs="Tahoma"/>
                      <w:b/>
                      <w:bCs/>
                      <w:color w:val="000000"/>
                      <w:lang w:val="en-GB"/>
                    </w:rPr>
                    <w:t> </w:t>
                  </w:r>
                </w:p>
              </w:tc>
            </w:tr>
            <w:tr w:rsidR="00C11EDC" w:rsidRPr="005A4DC8" w14:paraId="29BD7FBC" w14:textId="77777777" w:rsidTr="00C46009">
              <w:trPr>
                <w:trHeight w:val="540"/>
              </w:trPr>
              <w:tc>
                <w:tcPr>
                  <w:tcW w:w="2600" w:type="dxa"/>
                  <w:vMerge/>
                  <w:tcBorders>
                    <w:top w:val="nil"/>
                    <w:left w:val="nil"/>
                    <w:bottom w:val="nil"/>
                    <w:right w:val="nil"/>
                  </w:tcBorders>
                  <w:vAlign w:val="center"/>
                  <w:hideMark/>
                </w:tcPr>
                <w:p w14:paraId="57C2CD01" w14:textId="77777777" w:rsidR="00C46009" w:rsidRPr="00294955" w:rsidRDefault="00C46009" w:rsidP="00C46009">
                  <w:pPr>
                    <w:spacing w:after="0" w:line="240" w:lineRule="auto"/>
                    <w:rPr>
                      <w:rFonts w:ascii="Tahoma" w:eastAsia="Times New Roman" w:hAnsi="Tahoma" w:cs="Tahoma"/>
                      <w:b/>
                      <w:bCs/>
                      <w:color w:val="FFFFFF"/>
                      <w:lang w:val="en-GB"/>
                    </w:rPr>
                  </w:pPr>
                </w:p>
              </w:tc>
              <w:tc>
                <w:tcPr>
                  <w:tcW w:w="1460" w:type="dxa"/>
                  <w:tcBorders>
                    <w:top w:val="nil"/>
                    <w:left w:val="nil"/>
                    <w:bottom w:val="nil"/>
                    <w:right w:val="nil"/>
                  </w:tcBorders>
                  <w:shd w:val="clear" w:color="000000" w:fill="BFBFBF"/>
                  <w:vAlign w:val="center"/>
                  <w:hideMark/>
                </w:tcPr>
                <w:p w14:paraId="673F7DC5" w14:textId="77777777" w:rsidR="00C46009" w:rsidRPr="00294955" w:rsidRDefault="00637C06" w:rsidP="00C46009">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2023</w:t>
                  </w:r>
                </w:p>
              </w:tc>
              <w:tc>
                <w:tcPr>
                  <w:tcW w:w="1480" w:type="dxa"/>
                  <w:tcBorders>
                    <w:top w:val="nil"/>
                    <w:left w:val="single" w:sz="4" w:space="0" w:color="000000"/>
                    <w:bottom w:val="single" w:sz="8" w:space="0" w:color="000000"/>
                    <w:right w:val="single" w:sz="4" w:space="0" w:color="000000"/>
                  </w:tcBorders>
                  <w:shd w:val="clear" w:color="000000" w:fill="BFBFBF"/>
                  <w:vAlign w:val="center"/>
                  <w:hideMark/>
                </w:tcPr>
                <w:p w14:paraId="09C8E9AD" w14:textId="77777777" w:rsidR="00C46009" w:rsidRPr="00294955" w:rsidRDefault="00637C06" w:rsidP="00C46009">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2022</w:t>
                  </w:r>
                </w:p>
              </w:tc>
              <w:tc>
                <w:tcPr>
                  <w:tcW w:w="1260" w:type="dxa"/>
                  <w:tcBorders>
                    <w:top w:val="nil"/>
                    <w:left w:val="nil"/>
                    <w:bottom w:val="single" w:sz="8" w:space="0" w:color="000000"/>
                    <w:right w:val="nil"/>
                  </w:tcBorders>
                  <w:shd w:val="clear" w:color="000000" w:fill="BFBFBF"/>
                  <w:noWrap/>
                  <w:vAlign w:val="center"/>
                  <w:hideMark/>
                </w:tcPr>
                <w:p w14:paraId="7BB95607" w14:textId="77777777" w:rsidR="00C46009" w:rsidRPr="00294955" w:rsidRDefault="00637C06" w:rsidP="00C46009">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y/y</w:t>
                  </w:r>
                </w:p>
              </w:tc>
              <w:tc>
                <w:tcPr>
                  <w:tcW w:w="180" w:type="dxa"/>
                  <w:tcBorders>
                    <w:top w:val="nil"/>
                    <w:left w:val="nil"/>
                    <w:bottom w:val="nil"/>
                    <w:right w:val="nil"/>
                  </w:tcBorders>
                  <w:shd w:val="clear" w:color="000000" w:fill="BFBFBF"/>
                  <w:noWrap/>
                  <w:vAlign w:val="center"/>
                  <w:hideMark/>
                </w:tcPr>
                <w:p w14:paraId="102655FD" w14:textId="77777777" w:rsidR="00C46009" w:rsidRPr="00294955" w:rsidRDefault="00637C06" w:rsidP="00C46009">
                  <w:pPr>
                    <w:spacing w:after="0" w:line="240" w:lineRule="auto"/>
                    <w:jc w:val="center"/>
                    <w:rPr>
                      <w:rFonts w:ascii="Tahoma" w:eastAsia="Times New Roman" w:hAnsi="Tahoma" w:cs="Tahoma"/>
                      <w:color w:val="000000"/>
                      <w:lang w:val="en-GB"/>
                    </w:rPr>
                  </w:pPr>
                  <w:r w:rsidRPr="00294955">
                    <w:rPr>
                      <w:rFonts w:ascii="Tahoma" w:eastAsia="Times New Roman" w:hAnsi="Tahoma" w:cs="Tahoma"/>
                      <w:color w:val="000000"/>
                      <w:lang w:val="en-GB"/>
                    </w:rPr>
                    <w:t> </w:t>
                  </w:r>
                </w:p>
              </w:tc>
            </w:tr>
            <w:tr w:rsidR="00C11EDC" w:rsidRPr="005A4DC8" w14:paraId="4776267A" w14:textId="77777777" w:rsidTr="00C46009">
              <w:trPr>
                <w:trHeight w:val="420"/>
              </w:trPr>
              <w:tc>
                <w:tcPr>
                  <w:tcW w:w="2600" w:type="dxa"/>
                  <w:tcBorders>
                    <w:top w:val="single" w:sz="8" w:space="0" w:color="auto"/>
                    <w:left w:val="nil"/>
                    <w:bottom w:val="nil"/>
                    <w:right w:val="nil"/>
                  </w:tcBorders>
                  <w:shd w:val="clear" w:color="000000" w:fill="FFC000"/>
                  <w:noWrap/>
                  <w:vAlign w:val="center"/>
                  <w:hideMark/>
                </w:tcPr>
                <w:p w14:paraId="65DA2B4F"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Sales</w:t>
                  </w:r>
                </w:p>
              </w:tc>
              <w:tc>
                <w:tcPr>
                  <w:tcW w:w="1460" w:type="dxa"/>
                  <w:tcBorders>
                    <w:top w:val="single" w:sz="8" w:space="0" w:color="auto"/>
                    <w:left w:val="nil"/>
                    <w:bottom w:val="nil"/>
                    <w:right w:val="nil"/>
                  </w:tcBorders>
                  <w:shd w:val="clear" w:color="000000" w:fill="FFC000"/>
                  <w:noWrap/>
                  <w:vAlign w:val="center"/>
                  <w:hideMark/>
                </w:tcPr>
                <w:p w14:paraId="7DBC51A2"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8,902</w:t>
                  </w:r>
                </w:p>
              </w:tc>
              <w:tc>
                <w:tcPr>
                  <w:tcW w:w="1480" w:type="dxa"/>
                  <w:tcBorders>
                    <w:top w:val="nil"/>
                    <w:left w:val="nil"/>
                    <w:bottom w:val="nil"/>
                    <w:right w:val="nil"/>
                  </w:tcBorders>
                  <w:shd w:val="clear" w:color="000000" w:fill="FFC000"/>
                  <w:noWrap/>
                  <w:vAlign w:val="center"/>
                  <w:hideMark/>
                </w:tcPr>
                <w:p w14:paraId="3C94AF2F"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7,821</w:t>
                  </w:r>
                </w:p>
              </w:tc>
              <w:tc>
                <w:tcPr>
                  <w:tcW w:w="1260" w:type="dxa"/>
                  <w:tcBorders>
                    <w:top w:val="nil"/>
                    <w:left w:val="nil"/>
                    <w:bottom w:val="single" w:sz="8" w:space="0" w:color="auto"/>
                    <w:right w:val="nil"/>
                  </w:tcBorders>
                  <w:shd w:val="clear" w:color="000000" w:fill="FFC000"/>
                  <w:noWrap/>
                  <w:vAlign w:val="center"/>
                  <w:hideMark/>
                </w:tcPr>
                <w:p w14:paraId="2F117751"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13.8%</w:t>
                  </w:r>
                </w:p>
              </w:tc>
              <w:tc>
                <w:tcPr>
                  <w:tcW w:w="180" w:type="dxa"/>
                  <w:tcBorders>
                    <w:top w:val="nil"/>
                    <w:left w:val="nil"/>
                    <w:bottom w:val="nil"/>
                    <w:right w:val="nil"/>
                  </w:tcBorders>
                  <w:shd w:val="clear" w:color="000000" w:fill="FFC000"/>
                  <w:noWrap/>
                  <w:vAlign w:val="center"/>
                  <w:hideMark/>
                </w:tcPr>
                <w:p w14:paraId="4C1B1EB7"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imes New Roman" w:hAnsi="Tahoma" w:cs="Tahoma"/>
                      <w:b/>
                      <w:bCs/>
                      <w:color w:val="404040"/>
                      <w:lang w:val="en-GB"/>
                    </w:rPr>
                    <w:t> </w:t>
                  </w:r>
                </w:p>
              </w:tc>
            </w:tr>
            <w:tr w:rsidR="00C11EDC" w:rsidRPr="005A4DC8" w14:paraId="08AA5015" w14:textId="77777777" w:rsidTr="00C46009">
              <w:trPr>
                <w:trHeight w:val="420"/>
              </w:trPr>
              <w:tc>
                <w:tcPr>
                  <w:tcW w:w="2600" w:type="dxa"/>
                  <w:tcBorders>
                    <w:top w:val="single" w:sz="8" w:space="0" w:color="auto"/>
                    <w:left w:val="nil"/>
                    <w:bottom w:val="nil"/>
                    <w:right w:val="nil"/>
                  </w:tcBorders>
                  <w:shd w:val="clear" w:color="000000" w:fill="F2F2F2"/>
                  <w:noWrap/>
                  <w:vAlign w:val="center"/>
                  <w:hideMark/>
                </w:tcPr>
                <w:p w14:paraId="1AAEE18D"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‎Operating profit</w:t>
                  </w:r>
                </w:p>
              </w:tc>
              <w:tc>
                <w:tcPr>
                  <w:tcW w:w="1460" w:type="dxa"/>
                  <w:tcBorders>
                    <w:top w:val="single" w:sz="8" w:space="0" w:color="auto"/>
                    <w:left w:val="nil"/>
                    <w:bottom w:val="nil"/>
                    <w:right w:val="nil"/>
                  </w:tcBorders>
                  <w:shd w:val="clear" w:color="000000" w:fill="F2F2F2"/>
                  <w:noWrap/>
                  <w:vAlign w:val="center"/>
                  <w:hideMark/>
                </w:tcPr>
                <w:p w14:paraId="420F9FC9"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714</w:t>
                  </w:r>
                </w:p>
              </w:tc>
              <w:tc>
                <w:tcPr>
                  <w:tcW w:w="1480" w:type="dxa"/>
                  <w:tcBorders>
                    <w:top w:val="single" w:sz="8" w:space="0" w:color="auto"/>
                    <w:left w:val="nil"/>
                    <w:bottom w:val="nil"/>
                    <w:right w:val="nil"/>
                  </w:tcBorders>
                  <w:shd w:val="clear" w:color="000000" w:fill="F2F2F2"/>
                  <w:noWrap/>
                  <w:vAlign w:val="center"/>
                  <w:hideMark/>
                </w:tcPr>
                <w:p w14:paraId="6C71B962"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471</w:t>
                  </w:r>
                </w:p>
              </w:tc>
              <w:tc>
                <w:tcPr>
                  <w:tcW w:w="1260" w:type="dxa"/>
                  <w:tcBorders>
                    <w:top w:val="nil"/>
                    <w:left w:val="nil"/>
                    <w:bottom w:val="nil"/>
                    <w:right w:val="nil"/>
                  </w:tcBorders>
                  <w:shd w:val="clear" w:color="000000" w:fill="F2F2F2"/>
                  <w:noWrap/>
                  <w:vAlign w:val="center"/>
                  <w:hideMark/>
                </w:tcPr>
                <w:p w14:paraId="61E1DCDC"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51.4%</w:t>
                  </w:r>
                </w:p>
              </w:tc>
              <w:tc>
                <w:tcPr>
                  <w:tcW w:w="180" w:type="dxa"/>
                  <w:tcBorders>
                    <w:top w:val="nil"/>
                    <w:left w:val="nil"/>
                    <w:bottom w:val="nil"/>
                    <w:right w:val="nil"/>
                  </w:tcBorders>
                  <w:shd w:val="clear" w:color="000000" w:fill="F2F2F2"/>
                  <w:noWrap/>
                  <w:vAlign w:val="center"/>
                  <w:hideMark/>
                </w:tcPr>
                <w:p w14:paraId="30E2D24B"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imes New Roman" w:hAnsi="Tahoma" w:cs="Tahoma"/>
                      <w:b/>
                      <w:bCs/>
                      <w:color w:val="404040"/>
                      <w:lang w:val="en-GB"/>
                    </w:rPr>
                    <w:t> </w:t>
                  </w:r>
                </w:p>
              </w:tc>
            </w:tr>
            <w:tr w:rsidR="00C11EDC" w:rsidRPr="005A4DC8" w14:paraId="4BD278A1" w14:textId="77777777" w:rsidTr="00C46009">
              <w:trPr>
                <w:trHeight w:val="252"/>
              </w:trPr>
              <w:tc>
                <w:tcPr>
                  <w:tcW w:w="2600" w:type="dxa"/>
                  <w:tcBorders>
                    <w:top w:val="nil"/>
                    <w:left w:val="nil"/>
                    <w:bottom w:val="nil"/>
                    <w:right w:val="nil"/>
                  </w:tcBorders>
                  <w:shd w:val="clear" w:color="000000" w:fill="F2F2F2"/>
                  <w:noWrap/>
                  <w:vAlign w:val="center"/>
                  <w:hideMark/>
                </w:tcPr>
                <w:p w14:paraId="08CED806"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 of sales‎‎</w:t>
                  </w:r>
                </w:p>
              </w:tc>
              <w:tc>
                <w:tcPr>
                  <w:tcW w:w="1460" w:type="dxa"/>
                  <w:tcBorders>
                    <w:top w:val="nil"/>
                    <w:left w:val="nil"/>
                    <w:bottom w:val="single" w:sz="4" w:space="0" w:color="auto"/>
                    <w:right w:val="nil"/>
                  </w:tcBorders>
                  <w:shd w:val="clear" w:color="000000" w:fill="F2F2F2"/>
                  <w:noWrap/>
                  <w:vAlign w:val="center"/>
                  <w:hideMark/>
                </w:tcPr>
                <w:p w14:paraId="02421FF9"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8.0%</w:t>
                  </w:r>
                </w:p>
              </w:tc>
              <w:tc>
                <w:tcPr>
                  <w:tcW w:w="1480" w:type="dxa"/>
                  <w:tcBorders>
                    <w:top w:val="nil"/>
                    <w:left w:val="nil"/>
                    <w:bottom w:val="single" w:sz="4" w:space="0" w:color="auto"/>
                    <w:right w:val="nil"/>
                  </w:tcBorders>
                  <w:shd w:val="clear" w:color="000000" w:fill="F2F2F2"/>
                  <w:noWrap/>
                  <w:vAlign w:val="center"/>
                  <w:hideMark/>
                </w:tcPr>
                <w:p w14:paraId="3DD13301"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6.0%</w:t>
                  </w:r>
                </w:p>
              </w:tc>
              <w:tc>
                <w:tcPr>
                  <w:tcW w:w="1260" w:type="dxa"/>
                  <w:tcBorders>
                    <w:top w:val="nil"/>
                    <w:left w:val="nil"/>
                    <w:bottom w:val="nil"/>
                    <w:right w:val="nil"/>
                  </w:tcBorders>
                  <w:shd w:val="clear" w:color="000000" w:fill="F2F2F2"/>
                  <w:noWrap/>
                  <w:vAlign w:val="center"/>
                  <w:hideMark/>
                </w:tcPr>
                <w:p w14:paraId="1D9E72E7"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2.0% pp.</w:t>
                  </w:r>
                </w:p>
              </w:tc>
              <w:tc>
                <w:tcPr>
                  <w:tcW w:w="180" w:type="dxa"/>
                  <w:tcBorders>
                    <w:top w:val="nil"/>
                    <w:left w:val="nil"/>
                    <w:bottom w:val="nil"/>
                    <w:right w:val="nil"/>
                  </w:tcBorders>
                  <w:shd w:val="clear" w:color="000000" w:fill="F2F2F2"/>
                  <w:noWrap/>
                  <w:vAlign w:val="center"/>
                  <w:hideMark/>
                </w:tcPr>
                <w:p w14:paraId="62AAC19C"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imes New Roman" w:hAnsi="Tahoma" w:cs="Tahoma"/>
                      <w:color w:val="404040"/>
                      <w:lang w:val="en-GB"/>
                    </w:rPr>
                    <w:t> </w:t>
                  </w:r>
                </w:p>
              </w:tc>
            </w:tr>
            <w:tr w:rsidR="00C11EDC" w:rsidRPr="005A4DC8" w14:paraId="575AC84F" w14:textId="77777777" w:rsidTr="00C46009">
              <w:trPr>
                <w:trHeight w:val="420"/>
              </w:trPr>
              <w:tc>
                <w:tcPr>
                  <w:tcW w:w="2600" w:type="dxa"/>
                  <w:tcBorders>
                    <w:top w:val="single" w:sz="4" w:space="0" w:color="auto"/>
                    <w:left w:val="nil"/>
                    <w:bottom w:val="nil"/>
                    <w:right w:val="nil"/>
                  </w:tcBorders>
                  <w:shd w:val="clear" w:color="000000" w:fill="F2F2F2"/>
                  <w:noWrap/>
                  <w:vAlign w:val="center"/>
                  <w:hideMark/>
                </w:tcPr>
                <w:p w14:paraId="646A9519"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Gross profit</w:t>
                  </w:r>
                </w:p>
              </w:tc>
              <w:tc>
                <w:tcPr>
                  <w:tcW w:w="1460" w:type="dxa"/>
                  <w:tcBorders>
                    <w:top w:val="nil"/>
                    <w:left w:val="nil"/>
                    <w:bottom w:val="nil"/>
                    <w:right w:val="nil"/>
                  </w:tcBorders>
                  <w:shd w:val="clear" w:color="000000" w:fill="F2F2F2"/>
                  <w:noWrap/>
                  <w:vAlign w:val="center"/>
                  <w:hideMark/>
                </w:tcPr>
                <w:p w14:paraId="67E6CD66"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863</w:t>
                  </w:r>
                </w:p>
              </w:tc>
              <w:tc>
                <w:tcPr>
                  <w:tcW w:w="1480" w:type="dxa"/>
                  <w:tcBorders>
                    <w:top w:val="nil"/>
                    <w:left w:val="nil"/>
                    <w:bottom w:val="nil"/>
                    <w:right w:val="nil"/>
                  </w:tcBorders>
                  <w:shd w:val="clear" w:color="000000" w:fill="F2F2F2"/>
                  <w:noWrap/>
                  <w:vAlign w:val="center"/>
                  <w:hideMark/>
                </w:tcPr>
                <w:p w14:paraId="1C62C2C9"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552</w:t>
                  </w:r>
                </w:p>
              </w:tc>
              <w:tc>
                <w:tcPr>
                  <w:tcW w:w="1260" w:type="dxa"/>
                  <w:tcBorders>
                    <w:top w:val="single" w:sz="4" w:space="0" w:color="auto"/>
                    <w:left w:val="nil"/>
                    <w:bottom w:val="nil"/>
                    <w:right w:val="nil"/>
                  </w:tcBorders>
                  <w:shd w:val="clear" w:color="000000" w:fill="F2F2F2"/>
                  <w:noWrap/>
                  <w:vAlign w:val="center"/>
                  <w:hideMark/>
                </w:tcPr>
                <w:p w14:paraId="13D74EBF"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56.4%</w:t>
                  </w:r>
                </w:p>
              </w:tc>
              <w:tc>
                <w:tcPr>
                  <w:tcW w:w="180" w:type="dxa"/>
                  <w:tcBorders>
                    <w:top w:val="nil"/>
                    <w:left w:val="nil"/>
                    <w:bottom w:val="nil"/>
                    <w:right w:val="nil"/>
                  </w:tcBorders>
                  <w:shd w:val="clear" w:color="000000" w:fill="F2F2F2"/>
                  <w:noWrap/>
                  <w:vAlign w:val="center"/>
                  <w:hideMark/>
                </w:tcPr>
                <w:p w14:paraId="45F4B1EE"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imes New Roman" w:hAnsi="Tahoma" w:cs="Tahoma"/>
                      <w:b/>
                      <w:bCs/>
                      <w:color w:val="404040"/>
                      <w:lang w:val="en-GB"/>
                    </w:rPr>
                    <w:t> </w:t>
                  </w:r>
                </w:p>
              </w:tc>
            </w:tr>
            <w:tr w:rsidR="00C11EDC" w:rsidRPr="005A4DC8" w14:paraId="6506F63A" w14:textId="77777777" w:rsidTr="00C46009">
              <w:trPr>
                <w:trHeight w:val="252"/>
              </w:trPr>
              <w:tc>
                <w:tcPr>
                  <w:tcW w:w="2600" w:type="dxa"/>
                  <w:tcBorders>
                    <w:top w:val="nil"/>
                    <w:left w:val="nil"/>
                    <w:bottom w:val="nil"/>
                    <w:right w:val="nil"/>
                  </w:tcBorders>
                  <w:shd w:val="clear" w:color="000000" w:fill="F2F2F2"/>
                  <w:noWrap/>
                  <w:vAlign w:val="center"/>
                  <w:hideMark/>
                </w:tcPr>
                <w:p w14:paraId="50C3582A"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b/>
                      <w:bCs/>
                      <w:color w:val="404040"/>
                      <w:lang w:val="en-GB"/>
                    </w:rPr>
                    <w:t>‎‎% of sales</w:t>
                  </w:r>
                  <w:r w:rsidRPr="00294955">
                    <w:rPr>
                      <w:rFonts w:ascii="Tahoma" w:eastAsia="Tahoma" w:hAnsi="Tahoma" w:cs="Tahoma"/>
                      <w:color w:val="404040"/>
                      <w:lang w:val="en-GB"/>
                    </w:rPr>
                    <w:t>‎‎</w:t>
                  </w:r>
                </w:p>
              </w:tc>
              <w:tc>
                <w:tcPr>
                  <w:tcW w:w="1460" w:type="dxa"/>
                  <w:tcBorders>
                    <w:top w:val="nil"/>
                    <w:left w:val="nil"/>
                    <w:bottom w:val="nil"/>
                    <w:right w:val="nil"/>
                  </w:tcBorders>
                  <w:shd w:val="clear" w:color="000000" w:fill="F2F2F2"/>
                  <w:noWrap/>
                  <w:vAlign w:val="center"/>
                  <w:hideMark/>
                </w:tcPr>
                <w:p w14:paraId="711A1873"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9.7%</w:t>
                  </w:r>
                </w:p>
              </w:tc>
              <w:tc>
                <w:tcPr>
                  <w:tcW w:w="1480" w:type="dxa"/>
                  <w:tcBorders>
                    <w:top w:val="nil"/>
                    <w:left w:val="nil"/>
                    <w:bottom w:val="nil"/>
                    <w:right w:val="nil"/>
                  </w:tcBorders>
                  <w:shd w:val="clear" w:color="000000" w:fill="F2F2F2"/>
                  <w:noWrap/>
                  <w:vAlign w:val="center"/>
                  <w:hideMark/>
                </w:tcPr>
                <w:p w14:paraId="1128E1C6"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7.1%</w:t>
                  </w:r>
                </w:p>
              </w:tc>
              <w:tc>
                <w:tcPr>
                  <w:tcW w:w="1260" w:type="dxa"/>
                  <w:tcBorders>
                    <w:top w:val="nil"/>
                    <w:left w:val="nil"/>
                    <w:bottom w:val="nil"/>
                    <w:right w:val="nil"/>
                  </w:tcBorders>
                  <w:shd w:val="clear" w:color="000000" w:fill="F2F2F2"/>
                  <w:noWrap/>
                  <w:vAlign w:val="center"/>
                  <w:hideMark/>
                </w:tcPr>
                <w:p w14:paraId="686A3548"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2.6% pp.</w:t>
                  </w:r>
                </w:p>
              </w:tc>
              <w:tc>
                <w:tcPr>
                  <w:tcW w:w="180" w:type="dxa"/>
                  <w:tcBorders>
                    <w:top w:val="nil"/>
                    <w:left w:val="nil"/>
                    <w:bottom w:val="nil"/>
                    <w:right w:val="nil"/>
                  </w:tcBorders>
                  <w:shd w:val="clear" w:color="000000" w:fill="F2F2F2"/>
                  <w:noWrap/>
                  <w:vAlign w:val="center"/>
                  <w:hideMark/>
                </w:tcPr>
                <w:p w14:paraId="4D8AE884"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imes New Roman" w:hAnsi="Tahoma" w:cs="Tahoma"/>
                      <w:color w:val="404040"/>
                      <w:lang w:val="en-GB"/>
                    </w:rPr>
                    <w:t> </w:t>
                  </w:r>
                </w:p>
              </w:tc>
            </w:tr>
            <w:tr w:rsidR="00C11EDC" w:rsidRPr="005A4DC8" w14:paraId="316066B6" w14:textId="77777777" w:rsidTr="00C46009">
              <w:trPr>
                <w:trHeight w:val="504"/>
              </w:trPr>
              <w:tc>
                <w:tcPr>
                  <w:tcW w:w="2600" w:type="dxa"/>
                  <w:tcBorders>
                    <w:top w:val="single" w:sz="4" w:space="0" w:color="auto"/>
                    <w:left w:val="nil"/>
                    <w:bottom w:val="nil"/>
                    <w:right w:val="nil"/>
                  </w:tcBorders>
                  <w:shd w:val="clear" w:color="000000" w:fill="F2F2F2"/>
                  <w:vAlign w:val="center"/>
                  <w:hideMark/>
                </w:tcPr>
                <w:p w14:paraId="57210CF3"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Order book</w:t>
                  </w:r>
                </w:p>
              </w:tc>
              <w:tc>
                <w:tcPr>
                  <w:tcW w:w="1460" w:type="dxa"/>
                  <w:tcBorders>
                    <w:top w:val="single" w:sz="4" w:space="0" w:color="auto"/>
                    <w:left w:val="nil"/>
                    <w:bottom w:val="nil"/>
                    <w:right w:val="nil"/>
                  </w:tcBorders>
                  <w:shd w:val="clear" w:color="000000" w:fill="F2F2F2"/>
                  <w:noWrap/>
                  <w:vAlign w:val="center"/>
                  <w:hideMark/>
                </w:tcPr>
                <w:p w14:paraId="29FAA61D"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13,140</w:t>
                  </w:r>
                </w:p>
              </w:tc>
              <w:tc>
                <w:tcPr>
                  <w:tcW w:w="1480" w:type="dxa"/>
                  <w:tcBorders>
                    <w:top w:val="single" w:sz="4" w:space="0" w:color="auto"/>
                    <w:left w:val="nil"/>
                    <w:bottom w:val="nil"/>
                    <w:right w:val="nil"/>
                  </w:tcBorders>
                  <w:shd w:val="clear" w:color="000000" w:fill="F2F2F2"/>
                  <w:noWrap/>
                  <w:vAlign w:val="center"/>
                  <w:hideMark/>
                </w:tcPr>
                <w:p w14:paraId="0FC3663A"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13,290</w:t>
                  </w:r>
                </w:p>
              </w:tc>
              <w:tc>
                <w:tcPr>
                  <w:tcW w:w="1260" w:type="dxa"/>
                  <w:tcBorders>
                    <w:top w:val="single" w:sz="4" w:space="0" w:color="auto"/>
                    <w:left w:val="nil"/>
                    <w:bottom w:val="nil"/>
                    <w:right w:val="nil"/>
                  </w:tcBorders>
                  <w:shd w:val="clear" w:color="000000" w:fill="F2F2F2"/>
                  <w:noWrap/>
                  <w:vAlign w:val="center"/>
                  <w:hideMark/>
                </w:tcPr>
                <w:p w14:paraId="563581AE"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-1.1%</w:t>
                  </w:r>
                </w:p>
              </w:tc>
              <w:tc>
                <w:tcPr>
                  <w:tcW w:w="180" w:type="dxa"/>
                  <w:tcBorders>
                    <w:top w:val="nil"/>
                    <w:left w:val="nil"/>
                    <w:bottom w:val="nil"/>
                    <w:right w:val="nil"/>
                  </w:tcBorders>
                  <w:shd w:val="clear" w:color="000000" w:fill="F2F2F2"/>
                  <w:noWrap/>
                  <w:vAlign w:val="center"/>
                  <w:hideMark/>
                </w:tcPr>
                <w:p w14:paraId="5DBCDC68"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imes New Roman" w:hAnsi="Tahoma" w:cs="Tahoma"/>
                      <w:color w:val="404040"/>
                      <w:lang w:val="en-GB"/>
                    </w:rPr>
                    <w:t> </w:t>
                  </w:r>
                </w:p>
              </w:tc>
            </w:tr>
            <w:tr w:rsidR="00C11EDC" w:rsidRPr="005A4DC8" w14:paraId="3E4A2181" w14:textId="77777777" w:rsidTr="00C46009">
              <w:trPr>
                <w:trHeight w:val="504"/>
              </w:trPr>
              <w:tc>
                <w:tcPr>
                  <w:tcW w:w="2600" w:type="dxa"/>
                  <w:tcBorders>
                    <w:top w:val="single" w:sz="4" w:space="0" w:color="auto"/>
                    <w:left w:val="nil"/>
                    <w:bottom w:val="nil"/>
                    <w:right w:val="nil"/>
                  </w:tcBorders>
                  <w:shd w:val="clear" w:color="000000" w:fill="F2F2F2"/>
                  <w:noWrap/>
                  <w:vAlign w:val="center"/>
                  <w:hideMark/>
                </w:tcPr>
                <w:p w14:paraId="5A51214B" w14:textId="77777777" w:rsidR="00C46009" w:rsidRPr="00294955" w:rsidRDefault="00637C06" w:rsidP="00C46009">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Contracts signed</w:t>
                  </w:r>
                </w:p>
              </w:tc>
              <w:tc>
                <w:tcPr>
                  <w:tcW w:w="1460" w:type="dxa"/>
                  <w:tcBorders>
                    <w:top w:val="single" w:sz="4" w:space="0" w:color="auto"/>
                    <w:left w:val="nil"/>
                    <w:bottom w:val="nil"/>
                    <w:right w:val="nil"/>
                  </w:tcBorders>
                  <w:shd w:val="clear" w:color="000000" w:fill="F2F2F2"/>
                  <w:noWrap/>
                  <w:vAlign w:val="center"/>
                  <w:hideMark/>
                </w:tcPr>
                <w:p w14:paraId="75771787"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8,290</w:t>
                  </w:r>
                </w:p>
              </w:tc>
              <w:tc>
                <w:tcPr>
                  <w:tcW w:w="1480" w:type="dxa"/>
                  <w:tcBorders>
                    <w:top w:val="single" w:sz="4" w:space="0" w:color="auto"/>
                    <w:left w:val="nil"/>
                    <w:bottom w:val="nil"/>
                    <w:right w:val="nil"/>
                  </w:tcBorders>
                  <w:shd w:val="clear" w:color="000000" w:fill="F2F2F2"/>
                  <w:noWrap/>
                  <w:vAlign w:val="center"/>
                  <w:hideMark/>
                </w:tcPr>
                <w:p w14:paraId="74CE9BB6"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7,879</w:t>
                  </w:r>
                </w:p>
              </w:tc>
              <w:tc>
                <w:tcPr>
                  <w:tcW w:w="1260" w:type="dxa"/>
                  <w:tcBorders>
                    <w:top w:val="single" w:sz="4" w:space="0" w:color="auto"/>
                    <w:left w:val="nil"/>
                    <w:bottom w:val="nil"/>
                    <w:right w:val="nil"/>
                  </w:tcBorders>
                  <w:shd w:val="clear" w:color="000000" w:fill="F2F2F2"/>
                  <w:noWrap/>
                  <w:vAlign w:val="center"/>
                  <w:hideMark/>
                </w:tcPr>
                <w:p w14:paraId="3538971E"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5.2%</w:t>
                  </w:r>
                </w:p>
              </w:tc>
              <w:tc>
                <w:tcPr>
                  <w:tcW w:w="180" w:type="dxa"/>
                  <w:tcBorders>
                    <w:top w:val="nil"/>
                    <w:left w:val="nil"/>
                    <w:bottom w:val="nil"/>
                    <w:right w:val="nil"/>
                  </w:tcBorders>
                  <w:shd w:val="clear" w:color="000000" w:fill="F2F2F2"/>
                  <w:noWrap/>
                  <w:vAlign w:val="center"/>
                  <w:hideMark/>
                </w:tcPr>
                <w:p w14:paraId="570A396E" w14:textId="77777777" w:rsidR="00C46009" w:rsidRPr="00294955" w:rsidRDefault="00637C06" w:rsidP="00C46009">
                  <w:pPr>
                    <w:spacing w:after="0" w:line="240" w:lineRule="auto"/>
                    <w:rPr>
                      <w:rFonts w:ascii="Tahoma" w:eastAsia="Times New Roman" w:hAnsi="Tahoma" w:cs="Tahoma"/>
                      <w:color w:val="404040"/>
                      <w:lang w:val="en-GB"/>
                    </w:rPr>
                  </w:pPr>
                  <w:r w:rsidRPr="00294955">
                    <w:rPr>
                      <w:rFonts w:ascii="Tahoma" w:eastAsia="Times New Roman" w:hAnsi="Tahoma" w:cs="Tahoma"/>
                      <w:color w:val="404040"/>
                      <w:lang w:val="en-GB"/>
                    </w:rPr>
                    <w:t> </w:t>
                  </w:r>
                </w:p>
              </w:tc>
            </w:tr>
          </w:tbl>
          <w:p w14:paraId="3CF424F6" w14:textId="77777777" w:rsidR="009D0F56" w:rsidRPr="00294955" w:rsidRDefault="009D0F56" w:rsidP="009D0F56">
            <w:pPr>
              <w:spacing w:line="360" w:lineRule="auto"/>
              <w:jc w:val="both"/>
              <w:rPr>
                <w:rFonts w:ascii="Tahoma" w:eastAsia="Tahoma" w:hAnsi="Tahoma" w:cs="Tahoma"/>
                <w:b/>
                <w:color w:val="808080"/>
                <w:sz w:val="18"/>
                <w:szCs w:val="18"/>
                <w:highlight w:val="green"/>
                <w:lang w:val="en-GB"/>
              </w:rPr>
            </w:pPr>
          </w:p>
          <w:p w14:paraId="7D3AB5B3" w14:textId="77777777" w:rsidR="00FD252F" w:rsidRPr="00294955" w:rsidRDefault="00FD252F" w:rsidP="009D0F56">
            <w:pPr>
              <w:spacing w:line="360" w:lineRule="auto"/>
              <w:jc w:val="both"/>
              <w:rPr>
                <w:rFonts w:ascii="Tahoma" w:eastAsia="Tahoma" w:hAnsi="Tahoma" w:cs="Tahoma"/>
                <w:bCs/>
                <w:color w:val="808080"/>
                <w:sz w:val="18"/>
                <w:szCs w:val="18"/>
                <w:highlight w:val="green"/>
                <w:lang w:val="en-GB"/>
              </w:rPr>
            </w:pPr>
          </w:p>
          <w:p w14:paraId="5059870B" w14:textId="032EB4B0" w:rsidR="009D0F56" w:rsidRPr="00294955" w:rsidRDefault="00637C06" w:rsidP="009D0F56">
            <w:pPr>
              <w:spacing w:line="360" w:lineRule="auto"/>
              <w:jc w:val="both"/>
              <w:rPr>
                <w:rFonts w:ascii="Tahoma" w:eastAsia="Tahoma" w:hAnsi="Tahoma" w:cs="Tahoma"/>
                <w:bCs/>
                <w:color w:val="808080"/>
                <w:sz w:val="18"/>
                <w:szCs w:val="18"/>
                <w:lang w:val="en-GB"/>
              </w:rPr>
            </w:pPr>
            <w:r w:rsidRPr="00294955">
              <w:rPr>
                <w:rFonts w:ascii="Tahoma" w:eastAsia="Tahoma" w:hAnsi="Tahoma" w:cs="Tahoma"/>
                <w:bCs/>
                <w:color w:val="808080"/>
                <w:sz w:val="18"/>
                <w:szCs w:val="18"/>
                <w:lang w:val="en-GB"/>
              </w:rPr>
              <w:t xml:space="preserve">The scale of achieved sales revenue in 2023 in the construction segment was noticeably higher than in the previous year. </w:t>
            </w:r>
            <w:r w:rsidR="00294955" w:rsidRPr="00294955">
              <w:rPr>
                <w:rFonts w:ascii="Tahoma" w:eastAsia="Tahoma" w:hAnsi="Tahoma" w:cs="Tahoma"/>
                <w:bCs/>
                <w:color w:val="808080"/>
                <w:sz w:val="18"/>
                <w:szCs w:val="18"/>
                <w:lang w:val="en-GB"/>
              </w:rPr>
              <w:t>An elevated level</w:t>
            </w:r>
            <w:r w:rsidRPr="00294955">
              <w:rPr>
                <w:rFonts w:ascii="Tahoma" w:eastAsia="Tahoma" w:hAnsi="Tahoma" w:cs="Tahoma"/>
                <w:bCs/>
                <w:color w:val="808080"/>
                <w:sz w:val="18"/>
                <w:szCs w:val="18"/>
                <w:lang w:val="en-GB"/>
              </w:rPr>
              <w:t xml:space="preserve"> of the order book ‎and its diversification, combined with </w:t>
            </w:r>
            <w:r w:rsidR="00294955" w:rsidRPr="00294955">
              <w:rPr>
                <w:rFonts w:ascii="Tahoma" w:eastAsia="Tahoma" w:hAnsi="Tahoma" w:cs="Tahoma"/>
                <w:bCs/>
                <w:color w:val="808080"/>
                <w:sz w:val="18"/>
                <w:szCs w:val="18"/>
                <w:lang w:val="en-GB"/>
              </w:rPr>
              <w:t>favourable</w:t>
            </w:r>
            <w:r w:rsidRPr="00294955">
              <w:rPr>
                <w:rFonts w:ascii="Tahoma" w:eastAsia="Tahoma" w:hAnsi="Tahoma" w:cs="Tahoma"/>
                <w:bCs/>
                <w:color w:val="808080"/>
                <w:sz w:val="18"/>
                <w:szCs w:val="18"/>
                <w:lang w:val="en-GB"/>
              </w:rPr>
              <w:t xml:space="preserve"> weather conditions, allowed us ‎to increase reve</w:t>
            </w:r>
            <w:r w:rsidRPr="00294955">
              <w:rPr>
                <w:rFonts w:ascii="Tahoma" w:eastAsia="Tahoma" w:hAnsi="Tahoma" w:cs="Tahoma"/>
                <w:bCs/>
                <w:color w:val="808080"/>
                <w:sz w:val="18"/>
                <w:szCs w:val="18"/>
                <w:lang w:val="en-GB"/>
              </w:rPr>
              <w:t>nues by more than 13.8%</w:t>
            </w:r>
            <w:r w:rsidR="00294955" w:rsidRPr="00294955">
              <w:rPr>
                <w:rFonts w:ascii="Tahoma" w:eastAsia="Tahoma" w:hAnsi="Tahoma" w:cs="Tahoma"/>
                <w:bCs/>
                <w:color w:val="808080"/>
                <w:sz w:val="18"/>
                <w:szCs w:val="18"/>
                <w:lang w:val="en-GB"/>
              </w:rPr>
              <w:t xml:space="preserve">. </w:t>
            </w:r>
            <w:r w:rsidRPr="00294955">
              <w:rPr>
                <w:rFonts w:ascii="Tahoma" w:eastAsia="Tahoma" w:hAnsi="Tahoma" w:cs="Tahoma"/>
                <w:bCs/>
                <w:color w:val="808080"/>
                <w:sz w:val="18"/>
                <w:szCs w:val="18"/>
                <w:lang w:val="en-GB"/>
              </w:rPr>
              <w:t>Sales growth was observed in most ‎areas of construction activity in the domestic market</w:t>
            </w:r>
            <w:r w:rsidR="00294955" w:rsidRPr="00294955">
              <w:rPr>
                <w:rFonts w:ascii="Tahoma" w:eastAsia="Tahoma" w:hAnsi="Tahoma" w:cs="Tahoma"/>
                <w:bCs/>
                <w:color w:val="808080"/>
                <w:sz w:val="18"/>
                <w:szCs w:val="18"/>
                <w:lang w:val="en-GB"/>
              </w:rPr>
              <w:t xml:space="preserve">. </w:t>
            </w:r>
            <w:proofErr w:type="spellStart"/>
            <w:r w:rsidRPr="00294955">
              <w:rPr>
                <w:rFonts w:ascii="Tahoma" w:eastAsia="Tahoma" w:hAnsi="Tahoma" w:cs="Tahoma"/>
                <w:bCs/>
                <w:color w:val="808080"/>
                <w:sz w:val="18"/>
                <w:szCs w:val="18"/>
                <w:lang w:val="en-GB"/>
              </w:rPr>
              <w:t>Budimex</w:t>
            </w:r>
            <w:proofErr w:type="spellEnd"/>
            <w:r w:rsidRPr="00294955">
              <w:rPr>
                <w:rFonts w:ascii="Tahoma" w:eastAsia="Tahoma" w:hAnsi="Tahoma" w:cs="Tahoma"/>
                <w:bCs/>
                <w:color w:val="808080"/>
                <w:sz w:val="18"/>
                <w:szCs w:val="18"/>
                <w:lang w:val="en-GB"/>
              </w:rPr>
              <w:t xml:space="preserve"> Group's sales ‎were also supported by the recognition of the first significant revenues from ‎foreign markets</w:t>
            </w:r>
            <w:r w:rsidR="00294955" w:rsidRPr="00294955">
              <w:rPr>
                <w:rFonts w:ascii="Tahoma" w:eastAsia="Tahoma" w:hAnsi="Tahoma" w:cs="Tahoma"/>
                <w:bCs/>
                <w:color w:val="808080"/>
                <w:sz w:val="18"/>
                <w:szCs w:val="18"/>
                <w:lang w:val="en-GB"/>
              </w:rPr>
              <w:t xml:space="preserve">. </w:t>
            </w:r>
          </w:p>
          <w:p w14:paraId="159E83F2" w14:textId="77777777" w:rsidR="009D0F56" w:rsidRPr="00294955" w:rsidRDefault="009D0F56" w:rsidP="009D0F56">
            <w:pPr>
              <w:spacing w:line="360" w:lineRule="auto"/>
              <w:jc w:val="both"/>
              <w:rPr>
                <w:rFonts w:ascii="Tahoma" w:eastAsia="Tahoma" w:hAnsi="Tahoma" w:cs="Tahoma"/>
                <w:bCs/>
                <w:color w:val="808080"/>
                <w:sz w:val="18"/>
                <w:szCs w:val="18"/>
                <w:lang w:val="en-GB"/>
              </w:rPr>
            </w:pPr>
          </w:p>
          <w:p w14:paraId="7D38914F" w14:textId="77777777" w:rsidR="009D0F56" w:rsidRPr="00294955" w:rsidRDefault="00637C06" w:rsidP="009D0F56">
            <w:pPr>
              <w:spacing w:line="360" w:lineRule="auto"/>
              <w:jc w:val="both"/>
              <w:rPr>
                <w:rFonts w:ascii="Tahoma" w:eastAsia="Tahoma" w:hAnsi="Tahoma" w:cs="Tahoma"/>
                <w:bCs/>
                <w:color w:val="808080"/>
                <w:sz w:val="18"/>
                <w:szCs w:val="18"/>
                <w:lang w:val="en-GB"/>
              </w:rPr>
            </w:pPr>
            <w:r w:rsidRPr="00294955">
              <w:rPr>
                <w:rFonts w:ascii="Tahoma" w:eastAsia="Tahoma" w:hAnsi="Tahoma" w:cs="Tahoma"/>
                <w:bCs/>
                <w:color w:val="808080"/>
                <w:sz w:val="18"/>
                <w:szCs w:val="18"/>
                <w:lang w:val="en-GB"/>
              </w:rPr>
              <w:t>The operating profit</w:t>
            </w:r>
            <w:r w:rsidRPr="00294955">
              <w:rPr>
                <w:rFonts w:ascii="Tahoma" w:eastAsia="Tahoma" w:hAnsi="Tahoma" w:cs="Tahoma"/>
                <w:bCs/>
                <w:color w:val="808080"/>
                <w:sz w:val="18"/>
                <w:szCs w:val="18"/>
                <w:lang w:val="en-GB"/>
              </w:rPr>
              <w:t>ability of the construction segment in the period in question reached 8.0%, that is 2.0 percentage points higher than in 2022.</w:t>
            </w:r>
          </w:p>
          <w:p w14:paraId="7E2B7EF4" w14:textId="77777777" w:rsidR="009D0F56" w:rsidRPr="00294955" w:rsidRDefault="009D0F56" w:rsidP="009D0F56">
            <w:pPr>
              <w:spacing w:line="360" w:lineRule="auto"/>
              <w:jc w:val="both"/>
              <w:rPr>
                <w:rFonts w:ascii="Tahoma" w:eastAsia="Tahoma" w:hAnsi="Tahoma" w:cs="Tahoma"/>
                <w:bCs/>
                <w:color w:val="808080"/>
                <w:sz w:val="18"/>
                <w:szCs w:val="18"/>
                <w:highlight w:val="green"/>
                <w:lang w:val="en-GB"/>
              </w:rPr>
            </w:pPr>
          </w:p>
          <w:p w14:paraId="65B24F33" w14:textId="77777777" w:rsidR="00F306FD" w:rsidRPr="00294955" w:rsidRDefault="00637C06" w:rsidP="00F306FD">
            <w:pPr>
              <w:spacing w:line="360" w:lineRule="auto"/>
              <w:jc w:val="both"/>
              <w:rPr>
                <w:rFonts w:ascii="Tahoma" w:eastAsia="Tahoma" w:hAnsi="Tahoma" w:cs="Tahoma"/>
                <w:bCs/>
                <w:color w:val="808080"/>
                <w:sz w:val="18"/>
                <w:szCs w:val="18"/>
                <w:lang w:val="en-GB"/>
              </w:rPr>
            </w:pPr>
            <w:r w:rsidRPr="00294955">
              <w:rPr>
                <w:rFonts w:ascii="Tahoma" w:eastAsia="Tahoma" w:hAnsi="Tahoma" w:cs="Tahoma"/>
                <w:bCs/>
                <w:color w:val="808080"/>
                <w:sz w:val="18"/>
                <w:szCs w:val="18"/>
                <w:lang w:val="en-GB"/>
              </w:rPr>
              <w:t>The improvement in operating profitability compared to the previous year was possible, among other things, thanks to a diversifi</w:t>
            </w:r>
            <w:r w:rsidRPr="00294955">
              <w:rPr>
                <w:rFonts w:ascii="Tahoma" w:eastAsia="Tahoma" w:hAnsi="Tahoma" w:cs="Tahoma"/>
                <w:bCs/>
                <w:color w:val="808080"/>
                <w:sz w:val="18"/>
                <w:szCs w:val="18"/>
                <w:lang w:val="en-GB"/>
              </w:rPr>
              <w:t xml:space="preserve">ed order book and the stabilisation of prices for key construction materials such as steel, as well as the hedging of asphalt prices. </w:t>
            </w:r>
          </w:p>
          <w:p w14:paraId="04953B69" w14:textId="77777777" w:rsidR="009D0F56" w:rsidRPr="00294955" w:rsidRDefault="009D0F56" w:rsidP="009D0F56">
            <w:pPr>
              <w:spacing w:line="360" w:lineRule="auto"/>
              <w:jc w:val="both"/>
              <w:rPr>
                <w:rFonts w:ascii="Tahoma" w:eastAsia="Tahoma" w:hAnsi="Tahoma" w:cs="Tahoma"/>
                <w:bCs/>
                <w:color w:val="808080"/>
                <w:sz w:val="18"/>
                <w:szCs w:val="18"/>
                <w:highlight w:val="green"/>
                <w:lang w:val="en-GB"/>
              </w:rPr>
            </w:pPr>
          </w:p>
          <w:p w14:paraId="6C14E37D" w14:textId="3482546C" w:rsidR="000535E9" w:rsidRPr="00294955" w:rsidRDefault="00637C06" w:rsidP="000535E9">
            <w:pPr>
              <w:spacing w:line="360" w:lineRule="auto"/>
              <w:jc w:val="both"/>
              <w:rPr>
                <w:rFonts w:ascii="Tahoma" w:eastAsia="Tahoma" w:hAnsi="Tahoma" w:cs="Tahoma"/>
                <w:bCs/>
                <w:color w:val="808080"/>
                <w:sz w:val="18"/>
                <w:szCs w:val="18"/>
                <w:lang w:val="en-GB"/>
              </w:rPr>
            </w:pPr>
            <w:r w:rsidRPr="00294955">
              <w:rPr>
                <w:rFonts w:ascii="Tahoma" w:eastAsia="Tahoma" w:hAnsi="Tahoma" w:cs="Tahoma"/>
                <w:bCs/>
                <w:color w:val="808080"/>
                <w:sz w:val="18"/>
                <w:szCs w:val="18"/>
                <w:lang w:val="en-GB"/>
              </w:rPr>
              <w:t xml:space="preserve">Profitability at the gross profit level was supported by the positive result obtained on financial activities from </w:t>
            </w:r>
            <w:r w:rsidRPr="00294955">
              <w:rPr>
                <w:rFonts w:ascii="Tahoma" w:eastAsia="Tahoma" w:hAnsi="Tahoma" w:cs="Tahoma"/>
                <w:bCs/>
                <w:color w:val="808080"/>
                <w:sz w:val="18"/>
                <w:szCs w:val="18"/>
                <w:lang w:val="en-GB"/>
              </w:rPr>
              <w:t>interests earned on bank deposits</w:t>
            </w:r>
            <w:r w:rsidR="00294955" w:rsidRPr="00294955">
              <w:rPr>
                <w:rFonts w:ascii="Tahoma" w:eastAsia="Tahoma" w:hAnsi="Tahoma" w:cs="Tahoma"/>
                <w:bCs/>
                <w:color w:val="808080"/>
                <w:sz w:val="18"/>
                <w:szCs w:val="18"/>
                <w:lang w:val="en-GB"/>
              </w:rPr>
              <w:t xml:space="preserve">. </w:t>
            </w:r>
          </w:p>
          <w:p w14:paraId="6B700040" w14:textId="77777777" w:rsidR="00B2537D" w:rsidRPr="00294955" w:rsidRDefault="00B2537D" w:rsidP="009D0F56">
            <w:pPr>
              <w:spacing w:line="360" w:lineRule="auto"/>
              <w:jc w:val="both"/>
              <w:rPr>
                <w:rFonts w:ascii="Tahoma" w:eastAsia="Tahoma" w:hAnsi="Tahoma" w:cs="Tahoma"/>
                <w:b/>
                <w:color w:val="808080"/>
                <w:sz w:val="18"/>
                <w:szCs w:val="18"/>
                <w:lang w:val="en-GB"/>
              </w:rPr>
            </w:pPr>
          </w:p>
          <w:p w14:paraId="558AE775" w14:textId="190C24B7" w:rsidR="009D0F56" w:rsidRPr="005A4DC8" w:rsidRDefault="00637C06" w:rsidP="009D0F56">
            <w:pPr>
              <w:spacing w:line="360" w:lineRule="auto"/>
              <w:jc w:val="both"/>
              <w:rPr>
                <w:rFonts w:ascii="Tahoma" w:eastAsia="Tahoma" w:hAnsi="Tahoma" w:cs="Tahoma"/>
                <w:b/>
                <w:color w:val="808080"/>
                <w:sz w:val="18"/>
                <w:szCs w:val="18"/>
                <w:lang w:val="en-GB"/>
              </w:rPr>
            </w:pPr>
            <w:r w:rsidRPr="00294955">
              <w:rPr>
                <w:rFonts w:ascii="Tahoma" w:eastAsia="Tahoma" w:hAnsi="Tahoma" w:cs="Tahoma"/>
                <w:b/>
                <w:bCs/>
                <w:color w:val="808080"/>
                <w:sz w:val="18"/>
                <w:szCs w:val="18"/>
                <w:lang w:val="en-GB"/>
              </w:rPr>
              <w:t>New contracts and order book</w:t>
            </w:r>
          </w:p>
          <w:p w14:paraId="4CDE6399" w14:textId="5F9242DF" w:rsidR="009D0F56" w:rsidRPr="00294955" w:rsidRDefault="00637C06" w:rsidP="009D0F56">
            <w:pPr>
              <w:spacing w:line="360" w:lineRule="auto"/>
              <w:jc w:val="both"/>
              <w:rPr>
                <w:rFonts w:ascii="Tahoma" w:eastAsia="Tahoma" w:hAnsi="Tahoma" w:cs="Tahoma"/>
                <w:bCs/>
                <w:color w:val="808080"/>
                <w:sz w:val="18"/>
                <w:szCs w:val="18"/>
                <w:lang w:val="en-GB"/>
              </w:rPr>
            </w:pPr>
            <w:r w:rsidRPr="00294955">
              <w:rPr>
                <w:rFonts w:ascii="Tahoma" w:eastAsia="Tahoma" w:hAnsi="Tahoma" w:cs="Tahoma"/>
                <w:bCs/>
                <w:color w:val="808080"/>
                <w:sz w:val="18"/>
                <w:szCs w:val="18"/>
                <w:lang w:val="en-GB"/>
              </w:rPr>
              <w:t>In 2023, we won contracts worth PLN 8.3 billion</w:t>
            </w:r>
            <w:r w:rsidR="00294955" w:rsidRPr="00294955">
              <w:rPr>
                <w:rFonts w:ascii="Tahoma" w:eastAsia="Tahoma" w:hAnsi="Tahoma" w:cs="Tahoma"/>
                <w:bCs/>
                <w:color w:val="808080"/>
                <w:sz w:val="18"/>
                <w:szCs w:val="18"/>
                <w:lang w:val="en-GB"/>
              </w:rPr>
              <w:t xml:space="preserve">. </w:t>
            </w:r>
            <w:r w:rsidRPr="00294955">
              <w:rPr>
                <w:rFonts w:ascii="Tahoma" w:eastAsia="Tahoma" w:hAnsi="Tahoma" w:cs="Tahoma"/>
                <w:bCs/>
                <w:color w:val="808080"/>
                <w:sz w:val="18"/>
                <w:szCs w:val="18"/>
                <w:lang w:val="en-GB"/>
              </w:rPr>
              <w:t xml:space="preserve">These include projects such as:  </w:t>
            </w:r>
            <w:proofErr w:type="spellStart"/>
            <w:r w:rsidRPr="00294955">
              <w:rPr>
                <w:rFonts w:ascii="Tahoma" w:eastAsia="Tahoma" w:hAnsi="Tahoma" w:cs="Tahoma"/>
                <w:bCs/>
                <w:color w:val="808080"/>
                <w:sz w:val="18"/>
                <w:szCs w:val="18"/>
                <w:lang w:val="en-GB"/>
              </w:rPr>
              <w:t>Zabierzów</w:t>
            </w:r>
            <w:proofErr w:type="spellEnd"/>
            <w:r w:rsidRPr="00294955">
              <w:rPr>
                <w:rFonts w:ascii="Tahoma" w:eastAsia="Tahoma" w:hAnsi="Tahoma" w:cs="Tahoma"/>
                <w:bCs/>
                <w:color w:val="808080"/>
                <w:sz w:val="18"/>
                <w:szCs w:val="18"/>
                <w:lang w:val="en-GB"/>
              </w:rPr>
              <w:t xml:space="preserve"> bypass within national road DK 79, railway line 104 </w:t>
            </w:r>
            <w:proofErr w:type="spellStart"/>
            <w:r w:rsidRPr="00294955">
              <w:rPr>
                <w:rFonts w:ascii="Tahoma" w:eastAsia="Tahoma" w:hAnsi="Tahoma" w:cs="Tahoma"/>
                <w:bCs/>
                <w:color w:val="808080"/>
                <w:sz w:val="18"/>
                <w:szCs w:val="18"/>
                <w:lang w:val="en-GB"/>
              </w:rPr>
              <w:t>Chabówka</w:t>
            </w:r>
            <w:proofErr w:type="spellEnd"/>
            <w:r w:rsidRPr="00294955">
              <w:rPr>
                <w:rFonts w:ascii="Tahoma" w:eastAsia="Tahoma" w:hAnsi="Tahoma" w:cs="Tahoma"/>
                <w:bCs/>
                <w:color w:val="808080"/>
                <w:sz w:val="18"/>
                <w:szCs w:val="18"/>
                <w:lang w:val="en-GB"/>
              </w:rPr>
              <w:t xml:space="preserve"> – </w:t>
            </w:r>
            <w:proofErr w:type="spellStart"/>
            <w:r w:rsidRPr="00294955">
              <w:rPr>
                <w:rFonts w:ascii="Tahoma" w:eastAsia="Tahoma" w:hAnsi="Tahoma" w:cs="Tahoma"/>
                <w:bCs/>
                <w:color w:val="808080"/>
                <w:sz w:val="18"/>
                <w:szCs w:val="18"/>
                <w:lang w:val="en-GB"/>
              </w:rPr>
              <w:t>Rabka</w:t>
            </w:r>
            <w:proofErr w:type="spellEnd"/>
            <w:r w:rsidRPr="00294955">
              <w:rPr>
                <w:rFonts w:ascii="Tahoma" w:eastAsia="Tahoma" w:hAnsi="Tahoma" w:cs="Tahoma"/>
                <w:bCs/>
                <w:color w:val="808080"/>
                <w:sz w:val="18"/>
                <w:szCs w:val="18"/>
                <w:lang w:val="en-GB"/>
              </w:rPr>
              <w:t xml:space="preserve"> </w:t>
            </w:r>
            <w:proofErr w:type="spellStart"/>
            <w:r w:rsidRPr="00294955">
              <w:rPr>
                <w:rFonts w:ascii="Tahoma" w:eastAsia="Tahoma" w:hAnsi="Tahoma" w:cs="Tahoma"/>
                <w:bCs/>
                <w:color w:val="808080"/>
                <w:sz w:val="18"/>
                <w:szCs w:val="18"/>
                <w:lang w:val="en-GB"/>
              </w:rPr>
              <w:t>Zaryte</w:t>
            </w:r>
            <w:proofErr w:type="spellEnd"/>
            <w:r w:rsidRPr="00294955">
              <w:rPr>
                <w:rFonts w:ascii="Tahoma" w:eastAsia="Tahoma" w:hAnsi="Tahoma" w:cs="Tahoma"/>
                <w:bCs/>
                <w:color w:val="808080"/>
                <w:sz w:val="18"/>
                <w:szCs w:val="18"/>
                <w:lang w:val="en-GB"/>
              </w:rPr>
              <w:t>, renovation of the</w:t>
            </w:r>
            <w:r w:rsidRPr="00294955">
              <w:rPr>
                <w:rFonts w:ascii="Tahoma" w:eastAsia="Tahoma" w:hAnsi="Tahoma" w:cs="Tahoma"/>
                <w:bCs/>
                <w:color w:val="808080"/>
                <w:sz w:val="18"/>
                <w:szCs w:val="18"/>
                <w:lang w:val="en-GB"/>
              </w:rPr>
              <w:t xml:space="preserve"> A1 </w:t>
            </w:r>
            <w:proofErr w:type="spellStart"/>
            <w:r w:rsidRPr="00294955">
              <w:rPr>
                <w:rFonts w:ascii="Tahoma" w:eastAsia="Tahoma" w:hAnsi="Tahoma" w:cs="Tahoma"/>
                <w:bCs/>
                <w:color w:val="808080"/>
                <w:sz w:val="18"/>
                <w:szCs w:val="18"/>
                <w:lang w:val="en-GB"/>
              </w:rPr>
              <w:t>Rusocin-Czerniewice</w:t>
            </w:r>
            <w:proofErr w:type="spellEnd"/>
            <w:r w:rsidRPr="00294955">
              <w:rPr>
                <w:rFonts w:ascii="Tahoma" w:eastAsia="Tahoma" w:hAnsi="Tahoma" w:cs="Tahoma"/>
                <w:bCs/>
                <w:color w:val="808080"/>
                <w:sz w:val="18"/>
                <w:szCs w:val="18"/>
                <w:lang w:val="en-GB"/>
              </w:rPr>
              <w:t xml:space="preserve"> highway, S8 </w:t>
            </w:r>
            <w:proofErr w:type="spellStart"/>
            <w:r w:rsidRPr="00294955">
              <w:rPr>
                <w:rFonts w:ascii="Tahoma" w:eastAsia="Tahoma" w:hAnsi="Tahoma" w:cs="Tahoma"/>
                <w:bCs/>
                <w:color w:val="808080"/>
                <w:sz w:val="18"/>
                <w:szCs w:val="18"/>
                <w:lang w:val="en-GB"/>
              </w:rPr>
              <w:t>Wrocław-Kłodzko</w:t>
            </w:r>
            <w:proofErr w:type="spellEnd"/>
            <w:r w:rsidRPr="00294955">
              <w:rPr>
                <w:rFonts w:ascii="Tahoma" w:eastAsia="Tahoma" w:hAnsi="Tahoma" w:cs="Tahoma"/>
                <w:bCs/>
                <w:color w:val="808080"/>
                <w:sz w:val="18"/>
                <w:szCs w:val="18"/>
                <w:lang w:val="en-GB"/>
              </w:rPr>
              <w:t xml:space="preserve"> task 3 </w:t>
            </w:r>
            <w:proofErr w:type="spellStart"/>
            <w:r w:rsidRPr="00294955">
              <w:rPr>
                <w:rFonts w:ascii="Tahoma" w:eastAsia="Tahoma" w:hAnsi="Tahoma" w:cs="Tahoma"/>
                <w:bCs/>
                <w:color w:val="808080"/>
                <w:sz w:val="18"/>
                <w:szCs w:val="18"/>
                <w:lang w:val="en-GB"/>
              </w:rPr>
              <w:t>Jordanów</w:t>
            </w:r>
            <w:proofErr w:type="spellEnd"/>
            <w:r w:rsidRPr="00294955">
              <w:rPr>
                <w:rFonts w:ascii="Tahoma" w:eastAsia="Tahoma" w:hAnsi="Tahoma" w:cs="Tahoma"/>
                <w:bCs/>
                <w:color w:val="808080"/>
                <w:sz w:val="18"/>
                <w:szCs w:val="18"/>
                <w:lang w:val="en-GB"/>
              </w:rPr>
              <w:t xml:space="preserve"> </w:t>
            </w:r>
            <w:proofErr w:type="spellStart"/>
            <w:r w:rsidRPr="00294955">
              <w:rPr>
                <w:rFonts w:ascii="Tahoma" w:eastAsia="Tahoma" w:hAnsi="Tahoma" w:cs="Tahoma"/>
                <w:bCs/>
                <w:color w:val="808080"/>
                <w:sz w:val="18"/>
                <w:szCs w:val="18"/>
                <w:lang w:val="en-GB"/>
              </w:rPr>
              <w:t>Śląski</w:t>
            </w:r>
            <w:proofErr w:type="spellEnd"/>
            <w:r w:rsidRPr="00294955">
              <w:rPr>
                <w:rFonts w:ascii="Tahoma" w:eastAsia="Tahoma" w:hAnsi="Tahoma" w:cs="Tahoma"/>
                <w:bCs/>
                <w:color w:val="808080"/>
                <w:sz w:val="18"/>
                <w:szCs w:val="18"/>
                <w:lang w:val="en-GB"/>
              </w:rPr>
              <w:t xml:space="preserve"> or a railway contract for the implementation of comprehensive construction works including railway and road infrastructure on the Tychy – Most </w:t>
            </w:r>
            <w:proofErr w:type="spellStart"/>
            <w:r w:rsidRPr="00294955">
              <w:rPr>
                <w:rFonts w:ascii="Tahoma" w:eastAsia="Tahoma" w:hAnsi="Tahoma" w:cs="Tahoma"/>
                <w:bCs/>
                <w:color w:val="808080"/>
                <w:sz w:val="18"/>
                <w:szCs w:val="18"/>
                <w:lang w:val="en-GB"/>
              </w:rPr>
              <w:t>Wisła</w:t>
            </w:r>
            <w:proofErr w:type="spellEnd"/>
            <w:r w:rsidRPr="00294955">
              <w:rPr>
                <w:rFonts w:ascii="Tahoma" w:eastAsia="Tahoma" w:hAnsi="Tahoma" w:cs="Tahoma"/>
                <w:bCs/>
                <w:color w:val="808080"/>
                <w:sz w:val="18"/>
                <w:szCs w:val="18"/>
                <w:lang w:val="en-GB"/>
              </w:rPr>
              <w:t xml:space="preserve"> section.</w:t>
            </w:r>
          </w:p>
          <w:p w14:paraId="0A9FB43C" w14:textId="77777777" w:rsidR="008507A5" w:rsidRPr="00294955" w:rsidRDefault="008507A5" w:rsidP="009D0F56">
            <w:pPr>
              <w:spacing w:line="360" w:lineRule="auto"/>
              <w:jc w:val="both"/>
              <w:rPr>
                <w:rFonts w:ascii="Tahoma" w:eastAsia="Tahoma" w:hAnsi="Tahoma" w:cs="Tahoma"/>
                <w:bCs/>
                <w:color w:val="808080"/>
                <w:sz w:val="18"/>
                <w:szCs w:val="18"/>
                <w:lang w:val="en-GB"/>
              </w:rPr>
            </w:pPr>
          </w:p>
          <w:p w14:paraId="2BD2187F" w14:textId="0020443D" w:rsidR="009D0F56" w:rsidRPr="00294955" w:rsidRDefault="00637C06" w:rsidP="009D0F56">
            <w:pPr>
              <w:spacing w:line="360" w:lineRule="auto"/>
              <w:jc w:val="both"/>
              <w:rPr>
                <w:rFonts w:ascii="Tahoma" w:eastAsia="Tahoma" w:hAnsi="Tahoma" w:cs="Tahoma"/>
                <w:bCs/>
                <w:color w:val="808080"/>
                <w:sz w:val="18"/>
                <w:szCs w:val="18"/>
                <w:lang w:val="en-GB"/>
              </w:rPr>
            </w:pPr>
            <w:r w:rsidRPr="00294955">
              <w:rPr>
                <w:rFonts w:ascii="Tahoma" w:eastAsia="Tahoma" w:hAnsi="Tahoma" w:cs="Tahoma"/>
                <w:bCs/>
                <w:color w:val="808080"/>
                <w:sz w:val="18"/>
                <w:szCs w:val="18"/>
                <w:lang w:val="en-GB"/>
              </w:rPr>
              <w:t>In December 2023, a co</w:t>
            </w:r>
            <w:r w:rsidRPr="00294955">
              <w:rPr>
                <w:rFonts w:ascii="Tahoma" w:eastAsia="Tahoma" w:hAnsi="Tahoma" w:cs="Tahoma"/>
                <w:bCs/>
                <w:color w:val="808080"/>
                <w:sz w:val="18"/>
                <w:szCs w:val="18"/>
                <w:lang w:val="en-GB"/>
              </w:rPr>
              <w:t xml:space="preserve">nsortium consisting of:  </w:t>
            </w:r>
            <w:proofErr w:type="spellStart"/>
            <w:r w:rsidRPr="00294955">
              <w:rPr>
                <w:rFonts w:ascii="Tahoma" w:eastAsia="Tahoma" w:hAnsi="Tahoma" w:cs="Tahoma"/>
                <w:bCs/>
                <w:color w:val="808080"/>
                <w:sz w:val="18"/>
                <w:szCs w:val="18"/>
                <w:lang w:val="en-GB"/>
              </w:rPr>
              <w:t>Eiffage</w:t>
            </w:r>
            <w:proofErr w:type="spellEnd"/>
            <w:r w:rsidRPr="00294955">
              <w:rPr>
                <w:rFonts w:ascii="Tahoma" w:eastAsia="Tahoma" w:hAnsi="Tahoma" w:cs="Tahoma"/>
                <w:bCs/>
                <w:color w:val="808080"/>
                <w:sz w:val="18"/>
                <w:szCs w:val="18"/>
                <w:lang w:val="en-GB"/>
              </w:rPr>
              <w:t xml:space="preserve"> Genie Civil, </w:t>
            </w:r>
            <w:proofErr w:type="spellStart"/>
            <w:r w:rsidRPr="00294955">
              <w:rPr>
                <w:rFonts w:ascii="Tahoma" w:eastAsia="Tahoma" w:hAnsi="Tahoma" w:cs="Tahoma"/>
                <w:bCs/>
                <w:color w:val="808080"/>
                <w:sz w:val="18"/>
                <w:szCs w:val="18"/>
                <w:lang w:val="en-GB"/>
              </w:rPr>
              <w:t>Rizzani</w:t>
            </w:r>
            <w:proofErr w:type="spellEnd"/>
            <w:r w:rsidRPr="00294955">
              <w:rPr>
                <w:rFonts w:ascii="Tahoma" w:eastAsia="Tahoma" w:hAnsi="Tahoma" w:cs="Tahoma"/>
                <w:bCs/>
                <w:color w:val="808080"/>
                <w:sz w:val="18"/>
                <w:szCs w:val="18"/>
                <w:lang w:val="en-GB"/>
              </w:rPr>
              <w:t xml:space="preserve"> de ‎</w:t>
            </w:r>
            <w:proofErr w:type="spellStart"/>
            <w:r w:rsidRPr="00294955">
              <w:rPr>
                <w:rFonts w:ascii="Tahoma" w:eastAsia="Tahoma" w:hAnsi="Tahoma" w:cs="Tahoma"/>
                <w:bCs/>
                <w:color w:val="808080"/>
                <w:sz w:val="18"/>
                <w:szCs w:val="18"/>
                <w:lang w:val="en-GB"/>
              </w:rPr>
              <w:t>Eccher</w:t>
            </w:r>
            <w:proofErr w:type="spellEnd"/>
            <w:r w:rsidRPr="00294955">
              <w:rPr>
                <w:rFonts w:ascii="Tahoma" w:eastAsia="Tahoma" w:hAnsi="Tahoma" w:cs="Tahoma"/>
                <w:bCs/>
                <w:color w:val="808080"/>
                <w:sz w:val="18"/>
                <w:szCs w:val="18"/>
                <w:lang w:val="en-GB"/>
              </w:rPr>
              <w:t xml:space="preserve"> S.p.A. and </w:t>
            </w:r>
            <w:proofErr w:type="spellStart"/>
            <w:r w:rsidRPr="00294955">
              <w:rPr>
                <w:rFonts w:ascii="Tahoma" w:eastAsia="Tahoma" w:hAnsi="Tahoma" w:cs="Tahoma"/>
                <w:bCs/>
                <w:color w:val="808080"/>
                <w:sz w:val="18"/>
                <w:szCs w:val="18"/>
                <w:lang w:val="en-GB"/>
              </w:rPr>
              <w:t>Budimex</w:t>
            </w:r>
            <w:proofErr w:type="spellEnd"/>
            <w:r w:rsidRPr="00294955">
              <w:rPr>
                <w:rFonts w:ascii="Tahoma" w:eastAsia="Tahoma" w:hAnsi="Tahoma" w:cs="Tahoma"/>
                <w:bCs/>
                <w:color w:val="808080"/>
                <w:sz w:val="18"/>
                <w:szCs w:val="18"/>
                <w:lang w:val="en-GB"/>
              </w:rPr>
              <w:t xml:space="preserve"> SA signed a contract for the execution of the ‎first stage of works for the construction of the main railway line "Rail </w:t>
            </w:r>
            <w:proofErr w:type="spellStart"/>
            <w:r w:rsidRPr="00294955">
              <w:rPr>
                <w:rFonts w:ascii="Tahoma" w:eastAsia="Tahoma" w:hAnsi="Tahoma" w:cs="Tahoma"/>
                <w:bCs/>
                <w:color w:val="808080"/>
                <w:sz w:val="18"/>
                <w:szCs w:val="18"/>
                <w:lang w:val="en-GB"/>
              </w:rPr>
              <w:t>Baltica</w:t>
            </w:r>
            <w:proofErr w:type="spellEnd"/>
            <w:r w:rsidRPr="00294955">
              <w:rPr>
                <w:rFonts w:ascii="Tahoma" w:eastAsia="Tahoma" w:hAnsi="Tahoma" w:cs="Tahoma"/>
                <w:bCs/>
                <w:color w:val="808080"/>
                <w:sz w:val="18"/>
                <w:szCs w:val="18"/>
                <w:lang w:val="en-GB"/>
              </w:rPr>
              <w:t>" in ‎Latvia</w:t>
            </w:r>
            <w:r w:rsidR="00294955" w:rsidRPr="00294955">
              <w:rPr>
                <w:rFonts w:ascii="Tahoma" w:eastAsia="Tahoma" w:hAnsi="Tahoma" w:cs="Tahoma"/>
                <w:bCs/>
                <w:color w:val="808080"/>
                <w:sz w:val="18"/>
                <w:szCs w:val="18"/>
                <w:lang w:val="en-GB"/>
              </w:rPr>
              <w:t xml:space="preserve">. </w:t>
            </w:r>
            <w:proofErr w:type="spellStart"/>
            <w:r w:rsidRPr="00294955">
              <w:rPr>
                <w:rFonts w:ascii="Tahoma" w:eastAsia="Tahoma" w:hAnsi="Tahoma" w:cs="Tahoma"/>
                <w:bCs/>
                <w:color w:val="808080"/>
                <w:sz w:val="18"/>
                <w:szCs w:val="18"/>
                <w:lang w:val="en-GB"/>
              </w:rPr>
              <w:t>Budimex</w:t>
            </w:r>
            <w:proofErr w:type="spellEnd"/>
            <w:r w:rsidRPr="00294955">
              <w:rPr>
                <w:rFonts w:ascii="Tahoma" w:eastAsia="Tahoma" w:hAnsi="Tahoma" w:cs="Tahoma"/>
                <w:bCs/>
                <w:color w:val="808080"/>
                <w:sz w:val="18"/>
                <w:szCs w:val="18"/>
                <w:lang w:val="en-GB"/>
              </w:rPr>
              <w:t xml:space="preserve"> SA holds more than 30% </w:t>
            </w:r>
            <w:r w:rsidRPr="00294955">
              <w:rPr>
                <w:rFonts w:ascii="Tahoma" w:eastAsia="Tahoma" w:hAnsi="Tahoma" w:cs="Tahoma"/>
                <w:bCs/>
                <w:color w:val="808080"/>
                <w:sz w:val="18"/>
                <w:szCs w:val="18"/>
                <w:lang w:val="en-GB"/>
              </w:rPr>
              <w:t>share in the consortium</w:t>
            </w:r>
            <w:r w:rsidR="00294955" w:rsidRPr="00294955">
              <w:rPr>
                <w:rFonts w:ascii="Tahoma" w:eastAsia="Tahoma" w:hAnsi="Tahoma" w:cs="Tahoma"/>
                <w:bCs/>
                <w:color w:val="808080"/>
                <w:sz w:val="18"/>
                <w:szCs w:val="18"/>
                <w:lang w:val="en-GB"/>
              </w:rPr>
              <w:t xml:space="preserve">. </w:t>
            </w:r>
            <w:r w:rsidRPr="00294955">
              <w:rPr>
                <w:rFonts w:ascii="Tahoma" w:eastAsia="Tahoma" w:hAnsi="Tahoma" w:cs="Tahoma"/>
                <w:bCs/>
                <w:color w:val="808080"/>
                <w:sz w:val="18"/>
                <w:szCs w:val="18"/>
                <w:lang w:val="en-GB"/>
              </w:rPr>
              <w:t>The ‎value of works to be carried out by the consortium under the first order is ‎about €200 million, and the budget for the entire contract is estimated at ‎nearly €3.7 billion.  The execution of the entire project will be carried</w:t>
            </w:r>
            <w:r w:rsidRPr="00294955">
              <w:rPr>
                <w:rFonts w:ascii="Tahoma" w:eastAsia="Tahoma" w:hAnsi="Tahoma" w:cs="Tahoma"/>
                <w:bCs/>
                <w:color w:val="808080"/>
                <w:sz w:val="18"/>
                <w:szCs w:val="18"/>
                <w:lang w:val="en-GB"/>
              </w:rPr>
              <w:t xml:space="preserve"> out over ‎the next few years, which should further support the maintenance of the ‎Group's high and geographically diversified order book.‎</w:t>
            </w:r>
          </w:p>
          <w:p w14:paraId="36028A8B" w14:textId="77777777" w:rsidR="008507A5" w:rsidRPr="00294955" w:rsidRDefault="008507A5" w:rsidP="009D0F56">
            <w:pPr>
              <w:spacing w:line="360" w:lineRule="auto"/>
              <w:jc w:val="both"/>
              <w:rPr>
                <w:rFonts w:ascii="Tahoma" w:eastAsia="Tahoma" w:hAnsi="Tahoma" w:cs="Tahoma"/>
                <w:bCs/>
                <w:color w:val="808080"/>
                <w:sz w:val="18"/>
                <w:szCs w:val="18"/>
                <w:lang w:val="en-GB"/>
              </w:rPr>
            </w:pPr>
          </w:p>
          <w:p w14:paraId="1A89B823" w14:textId="2A9E6943" w:rsidR="008507A5" w:rsidRPr="00294955" w:rsidRDefault="00637C06" w:rsidP="009D0F56">
            <w:pPr>
              <w:spacing w:line="360" w:lineRule="auto"/>
              <w:jc w:val="both"/>
              <w:rPr>
                <w:rFonts w:ascii="Tahoma" w:eastAsia="Tahoma" w:hAnsi="Tahoma" w:cs="Tahoma"/>
                <w:bCs/>
                <w:color w:val="808080"/>
                <w:sz w:val="18"/>
                <w:szCs w:val="18"/>
                <w:lang w:val="en-GB"/>
              </w:rPr>
            </w:pPr>
            <w:proofErr w:type="spellStart"/>
            <w:r w:rsidRPr="00294955">
              <w:rPr>
                <w:rFonts w:ascii="Tahoma" w:eastAsia="Tahoma" w:hAnsi="Tahoma" w:cs="Tahoma"/>
                <w:bCs/>
                <w:color w:val="808080"/>
                <w:sz w:val="18"/>
                <w:szCs w:val="18"/>
                <w:lang w:val="en-GB"/>
              </w:rPr>
              <w:t>Budimex</w:t>
            </w:r>
            <w:proofErr w:type="spellEnd"/>
            <w:r w:rsidRPr="00294955">
              <w:rPr>
                <w:rFonts w:ascii="Tahoma" w:eastAsia="Tahoma" w:hAnsi="Tahoma" w:cs="Tahoma"/>
                <w:bCs/>
                <w:color w:val="808080"/>
                <w:sz w:val="18"/>
                <w:szCs w:val="18"/>
                <w:lang w:val="en-GB"/>
              </w:rPr>
              <w:t xml:space="preserve"> Group's order book at the end of 2023 exceeded PLN 13 billion, which secures work for the next two years. </w:t>
            </w:r>
            <w:r w:rsidRPr="00294955">
              <w:rPr>
                <w:rFonts w:ascii="Tahoma" w:eastAsia="Tahoma" w:hAnsi="Tahoma" w:cs="Tahoma"/>
                <w:bCs/>
                <w:color w:val="808080"/>
                <w:sz w:val="18"/>
                <w:szCs w:val="18"/>
                <w:lang w:val="en-GB"/>
              </w:rPr>
              <w:t>The ‎intensification of work on acquiring new projects in the country and abroad has ‎resulted in the value of projects awaiting signature, and those where the bid of ‎</w:t>
            </w:r>
            <w:proofErr w:type="spellStart"/>
            <w:r w:rsidRPr="00294955">
              <w:rPr>
                <w:rFonts w:ascii="Tahoma" w:eastAsia="Tahoma" w:hAnsi="Tahoma" w:cs="Tahoma"/>
                <w:bCs/>
                <w:color w:val="808080"/>
                <w:sz w:val="18"/>
                <w:szCs w:val="18"/>
                <w:lang w:val="en-GB"/>
              </w:rPr>
              <w:t>Budimex</w:t>
            </w:r>
            <w:proofErr w:type="spellEnd"/>
            <w:r w:rsidRPr="00294955">
              <w:rPr>
                <w:rFonts w:ascii="Tahoma" w:eastAsia="Tahoma" w:hAnsi="Tahoma" w:cs="Tahoma"/>
                <w:bCs/>
                <w:color w:val="808080"/>
                <w:sz w:val="18"/>
                <w:szCs w:val="18"/>
                <w:lang w:val="en-GB"/>
              </w:rPr>
              <w:t xml:space="preserve"> or the companies of the Group has </w:t>
            </w:r>
            <w:r w:rsidR="00294955" w:rsidRPr="00294955">
              <w:rPr>
                <w:rFonts w:ascii="Tahoma" w:eastAsia="Tahoma" w:hAnsi="Tahoma" w:cs="Tahoma"/>
                <w:bCs/>
                <w:color w:val="808080"/>
                <w:sz w:val="18"/>
                <w:szCs w:val="18"/>
                <w:lang w:val="en-GB"/>
              </w:rPr>
              <w:t>received</w:t>
            </w:r>
            <w:r w:rsidRPr="00294955">
              <w:rPr>
                <w:rFonts w:ascii="Tahoma" w:eastAsia="Tahoma" w:hAnsi="Tahoma" w:cs="Tahoma"/>
                <w:bCs/>
                <w:color w:val="808080"/>
                <w:sz w:val="18"/>
                <w:szCs w:val="18"/>
                <w:lang w:val="en-GB"/>
              </w:rPr>
              <w:t xml:space="preserve"> the best score, or holds the best ten</w:t>
            </w:r>
            <w:r w:rsidRPr="00294955">
              <w:rPr>
                <w:rFonts w:ascii="Tahoma" w:eastAsia="Tahoma" w:hAnsi="Tahoma" w:cs="Tahoma"/>
                <w:bCs/>
                <w:color w:val="808080"/>
                <w:sz w:val="18"/>
                <w:szCs w:val="18"/>
                <w:lang w:val="en-GB"/>
              </w:rPr>
              <w:t>der position, is ‎currently close to PLN 13 billion. XXX More than PLN 7 billion of this amount is ‎attributable to contracts in foreign markets - the Czech Republic and Latvia</w:t>
            </w:r>
            <w:r w:rsidR="00294955" w:rsidRPr="00294955">
              <w:rPr>
                <w:rFonts w:ascii="Tahoma" w:eastAsia="Tahoma" w:hAnsi="Tahoma" w:cs="Tahoma"/>
                <w:bCs/>
                <w:color w:val="808080"/>
                <w:sz w:val="18"/>
                <w:szCs w:val="18"/>
                <w:lang w:val="en-GB"/>
              </w:rPr>
              <w:t xml:space="preserve">. </w:t>
            </w:r>
          </w:p>
          <w:p w14:paraId="3069CEB0" w14:textId="77777777" w:rsidR="009D0F56" w:rsidRPr="00294955" w:rsidRDefault="009D0F56" w:rsidP="009D0F56">
            <w:pPr>
              <w:spacing w:line="360" w:lineRule="auto"/>
              <w:jc w:val="both"/>
              <w:rPr>
                <w:rFonts w:ascii="Tahoma" w:eastAsia="Tahoma" w:hAnsi="Tahoma" w:cs="Tahoma"/>
                <w:bCs/>
                <w:color w:val="808080"/>
                <w:sz w:val="18"/>
                <w:szCs w:val="18"/>
                <w:highlight w:val="green"/>
                <w:lang w:val="en-GB"/>
              </w:rPr>
            </w:pPr>
          </w:p>
          <w:p w14:paraId="662B03B6" w14:textId="51511B13" w:rsidR="003542F5" w:rsidRPr="00294955" w:rsidRDefault="00637C06" w:rsidP="00ED37CE">
            <w:pPr>
              <w:spacing w:line="360" w:lineRule="auto"/>
              <w:jc w:val="both"/>
              <w:rPr>
                <w:rFonts w:ascii="Tahoma" w:eastAsia="Tahoma" w:hAnsi="Tahoma" w:cs="Tahoma"/>
                <w:bCs/>
                <w:color w:val="808080"/>
                <w:sz w:val="18"/>
                <w:szCs w:val="18"/>
                <w:lang w:val="en-GB"/>
              </w:rPr>
            </w:pPr>
            <w:r w:rsidRPr="00294955">
              <w:rPr>
                <w:rFonts w:ascii="Tahoma" w:eastAsia="Tahoma" w:hAnsi="Tahoma" w:cs="Tahoma"/>
                <w:b/>
                <w:bCs/>
                <w:color w:val="808080"/>
                <w:sz w:val="18"/>
                <w:szCs w:val="18"/>
                <w:lang w:val="en-GB"/>
              </w:rPr>
              <w:t>‎</w:t>
            </w:r>
            <w:proofErr w:type="spellStart"/>
            <w:r w:rsidRPr="00294955">
              <w:rPr>
                <w:rFonts w:ascii="Tahoma" w:eastAsia="Tahoma" w:hAnsi="Tahoma" w:cs="Tahoma"/>
                <w:b/>
                <w:bCs/>
                <w:color w:val="808080"/>
                <w:sz w:val="18"/>
                <w:szCs w:val="18"/>
                <w:lang w:val="en-GB"/>
              </w:rPr>
              <w:t>Budimex</w:t>
            </w:r>
            <w:proofErr w:type="spellEnd"/>
            <w:r w:rsidRPr="00294955">
              <w:rPr>
                <w:rFonts w:ascii="Tahoma" w:eastAsia="Tahoma" w:hAnsi="Tahoma" w:cs="Tahoma"/>
                <w:b/>
                <w:bCs/>
                <w:color w:val="808080"/>
                <w:sz w:val="18"/>
                <w:szCs w:val="18"/>
                <w:lang w:val="en-GB"/>
              </w:rPr>
              <w:t xml:space="preserve"> Group ended 2023 with a strong net cash position, exceeding ‎PLN 3.7 billion. </w:t>
            </w:r>
            <w:r w:rsidRPr="00294955">
              <w:rPr>
                <w:rFonts w:ascii="Tahoma" w:eastAsia="Tahoma" w:hAnsi="Tahoma" w:cs="Tahoma"/>
                <w:color w:val="808080"/>
                <w:sz w:val="18"/>
                <w:szCs w:val="18"/>
                <w:lang w:val="en-GB"/>
              </w:rPr>
              <w:t>In June, for the 15th consecutive year, we paid a dividend of ‎PLN 459 million, that is PLN 17.99 per share</w:t>
            </w:r>
            <w:r w:rsidR="00294955" w:rsidRPr="00294955">
              <w:rPr>
                <w:rFonts w:ascii="Tahoma" w:eastAsia="Tahoma" w:hAnsi="Tahoma" w:cs="Tahoma"/>
                <w:color w:val="808080"/>
                <w:sz w:val="18"/>
                <w:szCs w:val="18"/>
                <w:lang w:val="en-GB"/>
              </w:rPr>
              <w:t xml:space="preserve">. </w:t>
            </w:r>
            <w:r w:rsidRPr="00294955">
              <w:rPr>
                <w:rFonts w:ascii="Tahoma" w:eastAsia="Tahoma" w:hAnsi="Tahoma" w:cs="Tahoma"/>
                <w:color w:val="808080"/>
                <w:sz w:val="18"/>
                <w:szCs w:val="18"/>
                <w:lang w:val="en-GB"/>
              </w:rPr>
              <w:t>The stable margins achieved on ‎construction sites in recent</w:t>
            </w:r>
            <w:r w:rsidRPr="00294955">
              <w:rPr>
                <w:rFonts w:ascii="Tahoma" w:eastAsia="Tahoma" w:hAnsi="Tahoma" w:cs="Tahoma"/>
                <w:color w:val="808080"/>
                <w:sz w:val="18"/>
                <w:szCs w:val="18"/>
                <w:lang w:val="en-GB"/>
              </w:rPr>
              <w:t xml:space="preserve"> quarters, combined with effective working ‎capital management and meticulous control of fixed costs, allow the </w:t>
            </w:r>
            <w:proofErr w:type="spellStart"/>
            <w:r w:rsidRPr="00294955">
              <w:rPr>
                <w:rFonts w:ascii="Tahoma" w:eastAsia="Tahoma" w:hAnsi="Tahoma" w:cs="Tahoma"/>
                <w:color w:val="808080"/>
                <w:sz w:val="18"/>
                <w:szCs w:val="18"/>
                <w:lang w:val="en-GB"/>
              </w:rPr>
              <w:t>Budimex</w:t>
            </w:r>
            <w:proofErr w:type="spellEnd"/>
            <w:r w:rsidRPr="00294955">
              <w:rPr>
                <w:rFonts w:ascii="Tahoma" w:eastAsia="Tahoma" w:hAnsi="Tahoma" w:cs="Tahoma"/>
                <w:color w:val="808080"/>
                <w:sz w:val="18"/>
                <w:szCs w:val="18"/>
                <w:lang w:val="en-GB"/>
              </w:rPr>
              <w:t xml:space="preserve"> ‎Group to maintain a safe level of cash that can be invested in new areas of ‎activity in the future.‎</w:t>
            </w:r>
          </w:p>
          <w:p w14:paraId="4AC1A04C" w14:textId="77777777" w:rsidR="00FD252F" w:rsidRPr="00294955" w:rsidRDefault="00FD252F" w:rsidP="009D0F56">
            <w:pPr>
              <w:spacing w:line="360" w:lineRule="auto"/>
              <w:jc w:val="both"/>
              <w:rPr>
                <w:rFonts w:ascii="Tahoma" w:eastAsia="Tahoma" w:hAnsi="Tahoma" w:cs="Tahoma"/>
                <w:bCs/>
                <w:color w:val="808080"/>
                <w:sz w:val="18"/>
                <w:szCs w:val="18"/>
                <w:lang w:val="en-GB"/>
              </w:rPr>
            </w:pPr>
          </w:p>
          <w:p w14:paraId="2EAA1610" w14:textId="36980DAB" w:rsidR="005A4DC8" w:rsidRPr="005A4DC8" w:rsidRDefault="00637C06" w:rsidP="00D4399C">
            <w:pPr>
              <w:spacing w:line="360" w:lineRule="auto"/>
              <w:jc w:val="both"/>
              <w:rPr>
                <w:rFonts w:ascii="Tahoma" w:eastAsia="Tahoma" w:hAnsi="Tahoma" w:cs="Tahoma"/>
                <w:b/>
                <w:bCs/>
                <w:noProof/>
                <w:color w:val="808080"/>
                <w:sz w:val="18"/>
                <w:szCs w:val="18"/>
                <w:lang w:val="en-GB"/>
              </w:rPr>
            </w:pPr>
            <w:r w:rsidRPr="00294955">
              <w:rPr>
                <w:rFonts w:ascii="Tahoma" w:eastAsia="Tahoma" w:hAnsi="Tahoma" w:cs="Tahoma"/>
                <w:b/>
                <w:noProof/>
                <w:color w:val="808080"/>
                <w:sz w:val="18"/>
                <w:szCs w:val="18"/>
                <w:highlight w:val="cyan"/>
              </w:rPr>
              <mc:AlternateContent>
                <mc:Choice Requires="wps">
                  <w:drawing>
                    <wp:anchor distT="0" distB="0" distL="114300" distR="114300" simplePos="0" relativeHeight="251662336" behindDoc="0" locked="0" layoutInCell="1" allowOverlap="1" wp14:anchorId="76C7144E" wp14:editId="4E62E09B">
                      <wp:simplePos x="0" y="0"/>
                      <wp:positionH relativeFrom="margin">
                        <wp:align>center</wp:align>
                      </wp:positionH>
                      <wp:positionV relativeFrom="page">
                        <wp:posOffset>9931207</wp:posOffset>
                      </wp:positionV>
                      <wp:extent cx="6487795" cy="244475"/>
                      <wp:effectExtent l="0" t="0" r="0" b="3175"/>
                      <wp:wrapNone/>
                      <wp:docPr id="12" name="Pole tekstowe 12"/>
                      <wp:cNvGraphicFramePr/>
                      <a:graphic xmlns:a="http://schemas.openxmlformats.org/drawingml/2006/main">
                        <a:graphicData uri="http://schemas.microsoft.com/office/word/2010/wordprocessingShape">
                          <wps:wsp>
                            <wps:cNvSpPr txBox="1"/>
                            <wps:spPr>
                              <a:xfrm>
                                <a:off x="0" y="0"/>
                                <a:ext cx="6487795" cy="244475"/>
                              </a:xfrm>
                              <a:prstGeom prst="rect">
                                <a:avLst/>
                              </a:prstGeom>
                              <a:noFill/>
                              <a:ln w="6350">
                                <a:noFill/>
                              </a:ln>
                            </wps:spPr>
                            <wps:txbx>
                              <w:txbxContent>
                                <w:p w14:paraId="3D310F68" w14:textId="77777777" w:rsidR="0001727E" w:rsidRPr="00294955" w:rsidRDefault="00637C06" w:rsidP="0001727E">
                                  <w:pPr>
                                    <w:rPr>
                                      <w:rFonts w:ascii="Tahoma" w:hAnsi="Tahoma" w:cs="Tahoma"/>
                                      <w:i/>
                                      <w:color w:val="808080" w:themeColor="background1" w:themeShade="80"/>
                                      <w:sz w:val="14"/>
                                      <w:szCs w:val="14"/>
                                      <w:lang w:val="en-GB"/>
                                    </w:rPr>
                                  </w:pPr>
                                  <w:r>
                                    <w:rPr>
                                      <w:rFonts w:ascii="Tahoma" w:eastAsia="Tahoma" w:hAnsi="Tahoma" w:cs="Tahoma"/>
                                      <w:i/>
                                      <w:iCs/>
                                      <w:color w:val="808080"/>
                                      <w:sz w:val="14"/>
                                      <w:szCs w:val="14"/>
                                      <w:lang w:val="en-US"/>
                                    </w:rPr>
                                    <w:t>*pro-forma data, prepared</w:t>
                                  </w:r>
                                  <w:r>
                                    <w:rPr>
                                      <w:rFonts w:ascii="Tahoma" w:eastAsia="Tahoma" w:hAnsi="Tahoma" w:cs="Tahoma"/>
                                      <w:i/>
                                      <w:iCs/>
                                      <w:color w:val="808080"/>
                                      <w:sz w:val="14"/>
                                      <w:szCs w:val="14"/>
                                      <w:lang w:val="en-US"/>
                                    </w:rPr>
                                    <w:t xml:space="preserve"> on the assumption of consolidation of </w:t>
                                  </w:r>
                                  <w:proofErr w:type="spellStart"/>
                                  <w:r>
                                    <w:rPr>
                                      <w:rFonts w:ascii="Tahoma" w:eastAsia="Tahoma" w:hAnsi="Tahoma" w:cs="Tahoma"/>
                                      <w:i/>
                                      <w:iCs/>
                                      <w:color w:val="808080"/>
                                      <w:sz w:val="14"/>
                                      <w:szCs w:val="14"/>
                                      <w:lang w:val="en-US"/>
                                    </w:rPr>
                                    <w:t>FBSerwis</w:t>
                                  </w:r>
                                  <w:proofErr w:type="spellEnd"/>
                                  <w:r>
                                    <w:rPr>
                                      <w:rFonts w:ascii="Tahoma" w:eastAsia="Tahoma" w:hAnsi="Tahoma" w:cs="Tahoma"/>
                                      <w:i/>
                                      <w:iCs/>
                                      <w:color w:val="808080"/>
                                      <w:sz w:val="14"/>
                                      <w:szCs w:val="14"/>
                                      <w:lang w:val="en-US"/>
                                    </w:rPr>
                                    <w:t xml:space="preserve"> Group from 01.01.2019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7144E" id="_x0000_t202" coordsize="21600,21600" o:spt="202" path="m,l,21600r21600,l21600,xe">
                      <v:stroke joinstyle="miter"/>
                      <v:path gradientshapeok="t" o:connecttype="rect"/>
                    </v:shapetype>
                    <v:shape id="Pole tekstowe 12" o:spid="_x0000_s1026" type="#_x0000_t202" style="position:absolute;left:0;text-align:left;margin-left:0;margin-top:782pt;width:510.85pt;height:19.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" filled="f" stroked="f" strokeweight=".5pt">
                      <v:textbox>
                        <w:txbxContent>
                          <w:p w14:paraId="3D310F68" w14:textId="77777777" w:rsidR="0001727E" w:rsidRPr="00294955" w:rsidRDefault="00000000" w:rsidP="0001727E">
                            <w:pPr>
                              <w:rPr>
                                <w:rFonts w:ascii="Tahoma" w:hAnsi="Tahoma" w:cs="Tahoma"/>
                                <w:i/>
                                <w:color w:val="808080" w:themeColor="background1" w:themeShade="80"/>
                                <w:sz w:val="14"/>
                                <w:szCs w:val="14"/>
                                <w:lang w:val="en-GB"/>
                              </w:rPr>
                            </w:pPr>
                            <w:r>
                              <w:rPr>
                                <w:rFonts w:ascii="Tahoma" w:eastAsia="Tahoma" w:hAnsi="Tahoma" w:cs="Tahoma"/>
                                <w:i/>
                                <w:iCs/>
                                <w:color w:val="808080"/>
                                <w:sz w:val="14"/>
                                <w:szCs w:val="14"/>
                                <w:lang w:val="en-US"/>
                              </w:rPr>
                              <w:t>*pro-forma data, prepared on the assumption of consolidation of FBSerwis Group from 01.01.2019</w:t>
                            </w:r>
                          </w:p>
                        </w:txbxContent>
                      </v:textbox>
                      <w10:wrap anchorx="margin" anchory="page"/>
                    </v:shape>
                  </w:pict>
                </mc:Fallback>
              </mc:AlternateContent>
            </w:r>
            <w:r w:rsidRPr="00294955">
              <w:rPr>
                <w:rFonts w:ascii="Tahoma" w:eastAsia="Tahoma" w:hAnsi="Tahoma" w:cs="Tahoma"/>
                <w:b/>
                <w:bCs/>
                <w:noProof/>
                <w:color w:val="808080"/>
                <w:sz w:val="18"/>
                <w:szCs w:val="18"/>
                <w:lang w:val="en-GB"/>
              </w:rPr>
              <w:t>Sales of the services segment amounted to PLN 932 million.‎</w:t>
            </w:r>
          </w:p>
          <w:p w14:paraId="12FB211D" w14:textId="77777777" w:rsidR="00D4399C" w:rsidRPr="00294955" w:rsidRDefault="00D4399C" w:rsidP="00D4399C">
            <w:pPr>
              <w:spacing w:line="360" w:lineRule="auto"/>
              <w:jc w:val="both"/>
              <w:rPr>
                <w:rStyle w:val="Odwoaniedokomentarza"/>
                <w:highlight w:val="yellow"/>
                <w:lang w:val="en-GB"/>
              </w:rPr>
            </w:pPr>
          </w:p>
          <w:tbl>
            <w:tblPr>
              <w:tblW w:w="6620" w:type="dxa"/>
              <w:tblLayout w:type="fixed"/>
              <w:tblCellMar>
                <w:left w:w="70" w:type="dxa"/>
                <w:right w:w="70" w:type="dxa"/>
              </w:tblCellMar>
              <w:tblLook w:val="04A0" w:firstRow="1" w:lastRow="0" w:firstColumn="1" w:lastColumn="0" w:noHBand="0" w:noVBand="1"/>
            </w:tblPr>
            <w:tblGrid>
              <w:gridCol w:w="2520"/>
              <w:gridCol w:w="1420"/>
              <w:gridCol w:w="1440"/>
              <w:gridCol w:w="1240"/>
            </w:tblGrid>
            <w:tr w:rsidR="00C11EDC" w:rsidRPr="005A4DC8" w14:paraId="1DDCEAA8" w14:textId="77777777" w:rsidTr="002759CA">
              <w:trPr>
                <w:trHeight w:val="349"/>
              </w:trPr>
              <w:tc>
                <w:tcPr>
                  <w:tcW w:w="2520" w:type="dxa"/>
                  <w:vMerge w:val="restart"/>
                  <w:tcBorders>
                    <w:top w:val="nil"/>
                    <w:left w:val="nil"/>
                    <w:bottom w:val="nil"/>
                    <w:right w:val="nil"/>
                  </w:tcBorders>
                  <w:shd w:val="clear" w:color="000000" w:fill="595959"/>
                  <w:vAlign w:val="center"/>
                  <w:hideMark/>
                </w:tcPr>
                <w:p w14:paraId="47321321" w14:textId="77777777" w:rsidR="002759CA" w:rsidRPr="00294955" w:rsidRDefault="00637C06" w:rsidP="002759CA">
                  <w:pPr>
                    <w:spacing w:after="0" w:line="240" w:lineRule="auto"/>
                    <w:rPr>
                      <w:rFonts w:ascii="Tahoma" w:eastAsia="Times New Roman" w:hAnsi="Tahoma" w:cs="Tahoma"/>
                      <w:b/>
                      <w:bCs/>
                      <w:color w:val="FFFFFF"/>
                      <w:lang w:val="en-GB"/>
                    </w:rPr>
                  </w:pPr>
                  <w:bookmarkStart w:id="1" w:name="_Hlk77692426"/>
                  <w:bookmarkStart w:id="2" w:name="_Hlk100758814"/>
                  <w:r w:rsidRPr="00294955">
                    <w:rPr>
                      <w:rFonts w:ascii="Tahoma" w:eastAsia="Tahoma" w:hAnsi="Tahoma" w:cs="Tahoma"/>
                      <w:b/>
                      <w:bCs/>
                      <w:color w:val="FFFFFF"/>
                      <w:lang w:val="en-GB"/>
                    </w:rPr>
                    <w:t>Services segment</w:t>
                  </w:r>
                  <w:r w:rsidRPr="00294955">
                    <w:rPr>
                      <w:rFonts w:ascii="Tahoma" w:eastAsia="Tahoma" w:hAnsi="Tahoma" w:cs="Tahoma"/>
                      <w:b/>
                      <w:bCs/>
                      <w:color w:val="FFFFFF"/>
                      <w:lang w:val="en-GB"/>
                    </w:rPr>
                    <w:br/>
                    <w:t>(PLN million)</w:t>
                  </w:r>
                </w:p>
              </w:tc>
              <w:tc>
                <w:tcPr>
                  <w:tcW w:w="4100" w:type="dxa"/>
                  <w:gridSpan w:val="3"/>
                  <w:tcBorders>
                    <w:top w:val="nil"/>
                    <w:left w:val="nil"/>
                    <w:bottom w:val="single" w:sz="4" w:space="0" w:color="000000"/>
                    <w:right w:val="nil"/>
                  </w:tcBorders>
                  <w:shd w:val="clear" w:color="000000" w:fill="BFBFBF"/>
                  <w:noWrap/>
                  <w:vAlign w:val="center"/>
                  <w:hideMark/>
                </w:tcPr>
                <w:p w14:paraId="6714A3CD" w14:textId="77777777" w:rsidR="002759CA" w:rsidRPr="00294955" w:rsidRDefault="00637C06" w:rsidP="002759CA">
                  <w:pPr>
                    <w:spacing w:after="0" w:line="240" w:lineRule="auto"/>
                    <w:jc w:val="center"/>
                    <w:rPr>
                      <w:rFonts w:ascii="Tahoma" w:eastAsia="Times New Roman" w:hAnsi="Tahoma" w:cs="Tahoma"/>
                      <w:b/>
                      <w:bCs/>
                      <w:color w:val="000000"/>
                      <w:lang w:val="en-GB"/>
                    </w:rPr>
                  </w:pPr>
                  <w:r w:rsidRPr="00294955">
                    <w:rPr>
                      <w:rFonts w:ascii="Tahoma" w:eastAsia="Tahoma" w:hAnsi="Tahoma" w:cs="Tahoma"/>
                      <w:b/>
                      <w:bCs/>
                      <w:color w:val="000000"/>
                      <w:lang w:val="en-GB"/>
                    </w:rPr>
                    <w:t>Profit and loss account</w:t>
                  </w:r>
                </w:p>
              </w:tc>
            </w:tr>
            <w:tr w:rsidR="00C11EDC" w:rsidRPr="005A4DC8" w14:paraId="24BB616F" w14:textId="77777777" w:rsidTr="002759CA">
              <w:trPr>
                <w:trHeight w:val="525"/>
              </w:trPr>
              <w:tc>
                <w:tcPr>
                  <w:tcW w:w="2520" w:type="dxa"/>
                  <w:vMerge/>
                  <w:tcBorders>
                    <w:top w:val="nil"/>
                    <w:left w:val="nil"/>
                    <w:bottom w:val="nil"/>
                    <w:right w:val="nil"/>
                  </w:tcBorders>
                  <w:vAlign w:val="center"/>
                  <w:hideMark/>
                </w:tcPr>
                <w:p w14:paraId="3F22FA2F" w14:textId="77777777" w:rsidR="002759CA" w:rsidRPr="00294955" w:rsidRDefault="002759CA" w:rsidP="002759CA">
                  <w:pPr>
                    <w:spacing w:after="0" w:line="240" w:lineRule="auto"/>
                    <w:rPr>
                      <w:rFonts w:ascii="Tahoma" w:eastAsia="Times New Roman" w:hAnsi="Tahoma" w:cs="Tahoma"/>
                      <w:b/>
                      <w:bCs/>
                      <w:color w:val="FFFFFF"/>
                      <w:lang w:val="en-GB"/>
                    </w:rPr>
                  </w:pPr>
                </w:p>
              </w:tc>
              <w:tc>
                <w:tcPr>
                  <w:tcW w:w="1420" w:type="dxa"/>
                  <w:tcBorders>
                    <w:top w:val="nil"/>
                    <w:left w:val="nil"/>
                    <w:bottom w:val="nil"/>
                    <w:right w:val="nil"/>
                  </w:tcBorders>
                  <w:shd w:val="clear" w:color="000000" w:fill="BFBFBF"/>
                  <w:vAlign w:val="center"/>
                  <w:hideMark/>
                </w:tcPr>
                <w:p w14:paraId="3BE4BE08" w14:textId="77777777" w:rsidR="002759CA" w:rsidRPr="00294955" w:rsidRDefault="00637C06" w:rsidP="002759CA">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2023</w:t>
                  </w:r>
                </w:p>
              </w:tc>
              <w:tc>
                <w:tcPr>
                  <w:tcW w:w="1440" w:type="dxa"/>
                  <w:tcBorders>
                    <w:top w:val="nil"/>
                    <w:left w:val="single" w:sz="4" w:space="0" w:color="000000"/>
                    <w:bottom w:val="single" w:sz="8" w:space="0" w:color="000000"/>
                    <w:right w:val="single" w:sz="4" w:space="0" w:color="000000"/>
                  </w:tcBorders>
                  <w:shd w:val="clear" w:color="000000" w:fill="BFBFBF"/>
                  <w:vAlign w:val="center"/>
                  <w:hideMark/>
                </w:tcPr>
                <w:p w14:paraId="515B1465" w14:textId="77777777" w:rsidR="002759CA" w:rsidRPr="00294955" w:rsidRDefault="00637C06" w:rsidP="002759CA">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2022</w:t>
                  </w:r>
                </w:p>
              </w:tc>
              <w:tc>
                <w:tcPr>
                  <w:tcW w:w="1240" w:type="dxa"/>
                  <w:tcBorders>
                    <w:top w:val="nil"/>
                    <w:left w:val="nil"/>
                    <w:bottom w:val="single" w:sz="8" w:space="0" w:color="000000"/>
                    <w:right w:val="nil"/>
                  </w:tcBorders>
                  <w:shd w:val="clear" w:color="000000" w:fill="BFBFBF"/>
                  <w:noWrap/>
                  <w:vAlign w:val="center"/>
                  <w:hideMark/>
                </w:tcPr>
                <w:p w14:paraId="2E2A3837" w14:textId="77777777" w:rsidR="002759CA" w:rsidRPr="00294955" w:rsidRDefault="00637C06" w:rsidP="002759CA">
                  <w:pPr>
                    <w:spacing w:after="0" w:line="240" w:lineRule="auto"/>
                    <w:jc w:val="center"/>
                    <w:rPr>
                      <w:rFonts w:ascii="Tahoma" w:eastAsia="Times New Roman" w:hAnsi="Tahoma" w:cs="Tahoma"/>
                      <w:color w:val="000000"/>
                      <w:lang w:val="en-GB"/>
                    </w:rPr>
                  </w:pPr>
                  <w:r w:rsidRPr="00294955">
                    <w:rPr>
                      <w:rFonts w:ascii="Tahoma" w:eastAsia="Tahoma" w:hAnsi="Tahoma" w:cs="Tahoma"/>
                      <w:color w:val="000000"/>
                      <w:lang w:val="en-GB"/>
                    </w:rPr>
                    <w:t>y/y</w:t>
                  </w:r>
                </w:p>
              </w:tc>
            </w:tr>
            <w:tr w:rsidR="00C11EDC" w:rsidRPr="005A4DC8" w14:paraId="0B0A8463" w14:textId="77777777" w:rsidTr="002759CA">
              <w:trPr>
                <w:trHeight w:val="420"/>
              </w:trPr>
              <w:tc>
                <w:tcPr>
                  <w:tcW w:w="2520" w:type="dxa"/>
                  <w:tcBorders>
                    <w:top w:val="single" w:sz="8" w:space="0" w:color="auto"/>
                    <w:left w:val="nil"/>
                    <w:bottom w:val="nil"/>
                    <w:right w:val="nil"/>
                  </w:tcBorders>
                  <w:shd w:val="clear" w:color="000000" w:fill="FFC000"/>
                  <w:noWrap/>
                  <w:vAlign w:val="center"/>
                  <w:hideMark/>
                </w:tcPr>
                <w:p w14:paraId="4395B5CB"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Sales</w:t>
                  </w:r>
                </w:p>
              </w:tc>
              <w:tc>
                <w:tcPr>
                  <w:tcW w:w="1420" w:type="dxa"/>
                  <w:tcBorders>
                    <w:top w:val="single" w:sz="8" w:space="0" w:color="auto"/>
                    <w:left w:val="nil"/>
                    <w:bottom w:val="nil"/>
                    <w:right w:val="nil"/>
                  </w:tcBorders>
                  <w:shd w:val="clear" w:color="000000" w:fill="FFC000"/>
                  <w:noWrap/>
                  <w:vAlign w:val="center"/>
                  <w:hideMark/>
                </w:tcPr>
                <w:p w14:paraId="616BF7BF"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932</w:t>
                  </w:r>
                </w:p>
              </w:tc>
              <w:tc>
                <w:tcPr>
                  <w:tcW w:w="1440" w:type="dxa"/>
                  <w:tcBorders>
                    <w:top w:val="nil"/>
                    <w:left w:val="nil"/>
                    <w:bottom w:val="nil"/>
                    <w:right w:val="nil"/>
                  </w:tcBorders>
                  <w:shd w:val="clear" w:color="000000" w:fill="FFC000"/>
                  <w:noWrap/>
                  <w:vAlign w:val="center"/>
                  <w:hideMark/>
                </w:tcPr>
                <w:p w14:paraId="060C53C6"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821</w:t>
                  </w:r>
                </w:p>
              </w:tc>
              <w:tc>
                <w:tcPr>
                  <w:tcW w:w="1240" w:type="dxa"/>
                  <w:tcBorders>
                    <w:top w:val="nil"/>
                    <w:left w:val="nil"/>
                    <w:bottom w:val="nil"/>
                    <w:right w:val="nil"/>
                  </w:tcBorders>
                  <w:shd w:val="clear" w:color="000000" w:fill="FFC000"/>
                  <w:noWrap/>
                  <w:vAlign w:val="center"/>
                  <w:hideMark/>
                </w:tcPr>
                <w:p w14:paraId="21F6904C"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13.5%</w:t>
                  </w:r>
                </w:p>
              </w:tc>
            </w:tr>
            <w:tr w:rsidR="00C11EDC" w:rsidRPr="005A4DC8" w14:paraId="74D89CA8" w14:textId="77777777" w:rsidTr="002759CA">
              <w:trPr>
                <w:trHeight w:val="420"/>
              </w:trPr>
              <w:tc>
                <w:tcPr>
                  <w:tcW w:w="2520" w:type="dxa"/>
                  <w:tcBorders>
                    <w:top w:val="single" w:sz="8" w:space="0" w:color="auto"/>
                    <w:left w:val="nil"/>
                    <w:bottom w:val="nil"/>
                    <w:right w:val="nil"/>
                  </w:tcBorders>
                  <w:shd w:val="clear" w:color="000000" w:fill="F2F2F2"/>
                  <w:noWrap/>
                  <w:vAlign w:val="center"/>
                  <w:hideMark/>
                </w:tcPr>
                <w:p w14:paraId="2D857619"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‎Operating profit</w:t>
                  </w:r>
                </w:p>
              </w:tc>
              <w:tc>
                <w:tcPr>
                  <w:tcW w:w="1420" w:type="dxa"/>
                  <w:tcBorders>
                    <w:top w:val="single" w:sz="8" w:space="0" w:color="auto"/>
                    <w:left w:val="nil"/>
                    <w:bottom w:val="nil"/>
                    <w:right w:val="nil"/>
                  </w:tcBorders>
                  <w:shd w:val="clear" w:color="000000" w:fill="F2F2F2"/>
                  <w:noWrap/>
                  <w:vAlign w:val="center"/>
                  <w:hideMark/>
                </w:tcPr>
                <w:p w14:paraId="74107665"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68</w:t>
                  </w:r>
                </w:p>
              </w:tc>
              <w:tc>
                <w:tcPr>
                  <w:tcW w:w="1440" w:type="dxa"/>
                  <w:tcBorders>
                    <w:top w:val="single" w:sz="8" w:space="0" w:color="auto"/>
                    <w:left w:val="nil"/>
                    <w:bottom w:val="nil"/>
                    <w:right w:val="nil"/>
                  </w:tcBorders>
                  <w:shd w:val="clear" w:color="000000" w:fill="F2F2F2"/>
                  <w:noWrap/>
                  <w:vAlign w:val="center"/>
                  <w:hideMark/>
                </w:tcPr>
                <w:p w14:paraId="369AEE50"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92</w:t>
                  </w:r>
                </w:p>
              </w:tc>
              <w:tc>
                <w:tcPr>
                  <w:tcW w:w="1240" w:type="dxa"/>
                  <w:tcBorders>
                    <w:top w:val="single" w:sz="8" w:space="0" w:color="auto"/>
                    <w:left w:val="nil"/>
                    <w:bottom w:val="nil"/>
                    <w:right w:val="nil"/>
                  </w:tcBorders>
                  <w:shd w:val="clear" w:color="000000" w:fill="F2F2F2"/>
                  <w:noWrap/>
                  <w:vAlign w:val="center"/>
                  <w:hideMark/>
                </w:tcPr>
                <w:p w14:paraId="70B54302"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-26.5%</w:t>
                  </w:r>
                </w:p>
              </w:tc>
            </w:tr>
            <w:tr w:rsidR="00C11EDC" w:rsidRPr="005A4DC8" w14:paraId="1DE1255C" w14:textId="77777777" w:rsidTr="002759CA">
              <w:trPr>
                <w:trHeight w:val="252"/>
              </w:trPr>
              <w:tc>
                <w:tcPr>
                  <w:tcW w:w="2520" w:type="dxa"/>
                  <w:tcBorders>
                    <w:top w:val="nil"/>
                    <w:left w:val="nil"/>
                    <w:bottom w:val="nil"/>
                    <w:right w:val="nil"/>
                  </w:tcBorders>
                  <w:shd w:val="clear" w:color="000000" w:fill="F2F2F2"/>
                  <w:noWrap/>
                  <w:vAlign w:val="center"/>
                  <w:hideMark/>
                </w:tcPr>
                <w:p w14:paraId="34FEDFD4" w14:textId="77777777" w:rsidR="002759CA" w:rsidRPr="00294955" w:rsidRDefault="00637C06" w:rsidP="002759CA">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 of sales‎‎</w:t>
                  </w:r>
                </w:p>
              </w:tc>
              <w:tc>
                <w:tcPr>
                  <w:tcW w:w="1420" w:type="dxa"/>
                  <w:tcBorders>
                    <w:top w:val="nil"/>
                    <w:left w:val="nil"/>
                    <w:bottom w:val="nil"/>
                    <w:right w:val="nil"/>
                  </w:tcBorders>
                  <w:shd w:val="clear" w:color="000000" w:fill="F2F2F2"/>
                  <w:noWrap/>
                  <w:vAlign w:val="center"/>
                  <w:hideMark/>
                </w:tcPr>
                <w:p w14:paraId="30DD992A" w14:textId="77777777" w:rsidR="002759CA" w:rsidRPr="00294955" w:rsidRDefault="00637C06" w:rsidP="002759CA">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7.3%</w:t>
                  </w:r>
                </w:p>
              </w:tc>
              <w:tc>
                <w:tcPr>
                  <w:tcW w:w="1440" w:type="dxa"/>
                  <w:tcBorders>
                    <w:top w:val="nil"/>
                    <w:left w:val="nil"/>
                    <w:bottom w:val="nil"/>
                    <w:right w:val="nil"/>
                  </w:tcBorders>
                  <w:shd w:val="clear" w:color="000000" w:fill="F2F2F2"/>
                  <w:noWrap/>
                  <w:vAlign w:val="center"/>
                  <w:hideMark/>
                </w:tcPr>
                <w:p w14:paraId="4049AF3C" w14:textId="77777777" w:rsidR="002759CA" w:rsidRPr="00294955" w:rsidRDefault="00637C06" w:rsidP="002759CA">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11.2%</w:t>
                  </w:r>
                </w:p>
              </w:tc>
              <w:tc>
                <w:tcPr>
                  <w:tcW w:w="1240" w:type="dxa"/>
                  <w:tcBorders>
                    <w:top w:val="nil"/>
                    <w:left w:val="nil"/>
                    <w:bottom w:val="nil"/>
                    <w:right w:val="nil"/>
                  </w:tcBorders>
                  <w:shd w:val="clear" w:color="000000" w:fill="F2F2F2"/>
                  <w:noWrap/>
                  <w:vAlign w:val="center"/>
                  <w:hideMark/>
                </w:tcPr>
                <w:p w14:paraId="65D45581" w14:textId="77777777" w:rsidR="002759CA" w:rsidRPr="00294955" w:rsidRDefault="00637C06" w:rsidP="002759CA">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-3.9% pp.</w:t>
                  </w:r>
                </w:p>
              </w:tc>
            </w:tr>
            <w:tr w:rsidR="00C11EDC" w:rsidRPr="005A4DC8" w14:paraId="6A09369B" w14:textId="77777777" w:rsidTr="002759CA">
              <w:trPr>
                <w:trHeight w:val="420"/>
              </w:trPr>
              <w:tc>
                <w:tcPr>
                  <w:tcW w:w="2520" w:type="dxa"/>
                  <w:tcBorders>
                    <w:top w:val="single" w:sz="4" w:space="0" w:color="auto"/>
                    <w:left w:val="nil"/>
                    <w:bottom w:val="nil"/>
                    <w:right w:val="nil"/>
                  </w:tcBorders>
                  <w:shd w:val="clear" w:color="000000" w:fill="F2F2F2"/>
                  <w:noWrap/>
                  <w:vAlign w:val="center"/>
                  <w:hideMark/>
                </w:tcPr>
                <w:p w14:paraId="6162F8B0"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Gross profit</w:t>
                  </w:r>
                </w:p>
              </w:tc>
              <w:tc>
                <w:tcPr>
                  <w:tcW w:w="1420" w:type="dxa"/>
                  <w:tcBorders>
                    <w:top w:val="single" w:sz="4" w:space="0" w:color="auto"/>
                    <w:left w:val="nil"/>
                    <w:bottom w:val="nil"/>
                    <w:right w:val="nil"/>
                  </w:tcBorders>
                  <w:shd w:val="clear" w:color="000000" w:fill="F2F2F2"/>
                  <w:noWrap/>
                  <w:vAlign w:val="center"/>
                  <w:hideMark/>
                </w:tcPr>
                <w:p w14:paraId="2CEB4F9B"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71</w:t>
                  </w:r>
                </w:p>
              </w:tc>
              <w:tc>
                <w:tcPr>
                  <w:tcW w:w="1440" w:type="dxa"/>
                  <w:tcBorders>
                    <w:top w:val="single" w:sz="4" w:space="0" w:color="auto"/>
                    <w:left w:val="nil"/>
                    <w:bottom w:val="nil"/>
                    <w:right w:val="nil"/>
                  </w:tcBorders>
                  <w:shd w:val="clear" w:color="000000" w:fill="F2F2F2"/>
                  <w:noWrap/>
                  <w:vAlign w:val="center"/>
                  <w:hideMark/>
                </w:tcPr>
                <w:p w14:paraId="5A59B4B7"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99</w:t>
                  </w:r>
                </w:p>
              </w:tc>
              <w:tc>
                <w:tcPr>
                  <w:tcW w:w="1240" w:type="dxa"/>
                  <w:tcBorders>
                    <w:top w:val="single" w:sz="4" w:space="0" w:color="auto"/>
                    <w:left w:val="nil"/>
                    <w:bottom w:val="nil"/>
                    <w:right w:val="nil"/>
                  </w:tcBorders>
                  <w:shd w:val="clear" w:color="000000" w:fill="F2F2F2"/>
                  <w:noWrap/>
                  <w:vAlign w:val="center"/>
                  <w:hideMark/>
                </w:tcPr>
                <w:p w14:paraId="3E76AE4B" w14:textId="77777777" w:rsidR="002759CA" w:rsidRPr="00294955" w:rsidRDefault="00637C06" w:rsidP="002759CA">
                  <w:pPr>
                    <w:spacing w:after="0" w:line="240" w:lineRule="auto"/>
                    <w:rPr>
                      <w:rFonts w:ascii="Tahoma" w:eastAsia="Times New Roman" w:hAnsi="Tahoma" w:cs="Tahoma"/>
                      <w:b/>
                      <w:bCs/>
                      <w:color w:val="404040"/>
                      <w:lang w:val="en-GB"/>
                    </w:rPr>
                  </w:pPr>
                  <w:r w:rsidRPr="00294955">
                    <w:rPr>
                      <w:rFonts w:ascii="Tahoma" w:eastAsia="Tahoma" w:hAnsi="Tahoma" w:cs="Tahoma"/>
                      <w:b/>
                      <w:bCs/>
                      <w:color w:val="404040"/>
                      <w:lang w:val="en-GB"/>
                    </w:rPr>
                    <w:t>-28.9%</w:t>
                  </w:r>
                </w:p>
              </w:tc>
            </w:tr>
            <w:tr w:rsidR="00C11EDC" w:rsidRPr="005A4DC8" w14:paraId="6DF87C54" w14:textId="77777777" w:rsidTr="002759CA">
              <w:trPr>
                <w:trHeight w:val="252"/>
              </w:trPr>
              <w:tc>
                <w:tcPr>
                  <w:tcW w:w="2520" w:type="dxa"/>
                  <w:tcBorders>
                    <w:top w:val="nil"/>
                    <w:left w:val="nil"/>
                    <w:bottom w:val="single" w:sz="4" w:space="0" w:color="auto"/>
                    <w:right w:val="nil"/>
                  </w:tcBorders>
                  <w:shd w:val="clear" w:color="000000" w:fill="F2F2F2"/>
                  <w:noWrap/>
                  <w:vAlign w:val="center"/>
                  <w:hideMark/>
                </w:tcPr>
                <w:p w14:paraId="7E80BD75" w14:textId="77777777" w:rsidR="002759CA" w:rsidRPr="00294955" w:rsidRDefault="00637C06" w:rsidP="002759CA">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 of sales‎‎</w:t>
                  </w:r>
                </w:p>
              </w:tc>
              <w:tc>
                <w:tcPr>
                  <w:tcW w:w="1420" w:type="dxa"/>
                  <w:tcBorders>
                    <w:top w:val="nil"/>
                    <w:left w:val="nil"/>
                    <w:bottom w:val="single" w:sz="4" w:space="0" w:color="auto"/>
                    <w:right w:val="nil"/>
                  </w:tcBorders>
                  <w:shd w:val="clear" w:color="000000" w:fill="F2F2F2"/>
                  <w:noWrap/>
                  <w:vAlign w:val="center"/>
                  <w:hideMark/>
                </w:tcPr>
                <w:p w14:paraId="2BF139F3" w14:textId="77777777" w:rsidR="002759CA" w:rsidRPr="00294955" w:rsidRDefault="00637C06" w:rsidP="002759CA">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7.6%</w:t>
                  </w:r>
                </w:p>
              </w:tc>
              <w:tc>
                <w:tcPr>
                  <w:tcW w:w="1440" w:type="dxa"/>
                  <w:tcBorders>
                    <w:top w:val="nil"/>
                    <w:left w:val="nil"/>
                    <w:bottom w:val="single" w:sz="4" w:space="0" w:color="auto"/>
                    <w:right w:val="nil"/>
                  </w:tcBorders>
                  <w:shd w:val="clear" w:color="000000" w:fill="F2F2F2"/>
                  <w:noWrap/>
                  <w:vAlign w:val="center"/>
                  <w:hideMark/>
                </w:tcPr>
                <w:p w14:paraId="6048F046" w14:textId="77777777" w:rsidR="002759CA" w:rsidRPr="00294955" w:rsidRDefault="00637C06" w:rsidP="002759CA">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12.1%</w:t>
                  </w:r>
                </w:p>
              </w:tc>
              <w:tc>
                <w:tcPr>
                  <w:tcW w:w="1240" w:type="dxa"/>
                  <w:tcBorders>
                    <w:top w:val="nil"/>
                    <w:left w:val="nil"/>
                    <w:bottom w:val="single" w:sz="4" w:space="0" w:color="auto"/>
                    <w:right w:val="nil"/>
                  </w:tcBorders>
                  <w:shd w:val="clear" w:color="000000" w:fill="F2F2F2"/>
                  <w:noWrap/>
                  <w:vAlign w:val="center"/>
                  <w:hideMark/>
                </w:tcPr>
                <w:p w14:paraId="693694D4" w14:textId="77777777" w:rsidR="002759CA" w:rsidRPr="00294955" w:rsidRDefault="00637C06" w:rsidP="002759CA">
                  <w:pPr>
                    <w:spacing w:after="0" w:line="240" w:lineRule="auto"/>
                    <w:rPr>
                      <w:rFonts w:ascii="Tahoma" w:eastAsia="Times New Roman" w:hAnsi="Tahoma" w:cs="Tahoma"/>
                      <w:color w:val="404040"/>
                      <w:lang w:val="en-GB"/>
                    </w:rPr>
                  </w:pPr>
                  <w:r w:rsidRPr="00294955">
                    <w:rPr>
                      <w:rFonts w:ascii="Tahoma" w:eastAsia="Tahoma" w:hAnsi="Tahoma" w:cs="Tahoma"/>
                      <w:color w:val="404040"/>
                      <w:lang w:val="en-GB"/>
                    </w:rPr>
                    <w:t>-4,5% pp.</w:t>
                  </w:r>
                </w:p>
              </w:tc>
            </w:tr>
          </w:tbl>
          <w:p w14:paraId="70C69142" w14:textId="77777777" w:rsidR="00277101" w:rsidRPr="00294955" w:rsidRDefault="00277101" w:rsidP="00277101">
            <w:pPr>
              <w:rPr>
                <w:highlight w:val="yellow"/>
                <w:lang w:val="en-GB"/>
              </w:rPr>
            </w:pPr>
          </w:p>
          <w:p w14:paraId="0CBF7CCD" w14:textId="77777777" w:rsidR="004E6EA9" w:rsidRPr="00294955" w:rsidRDefault="00637C06" w:rsidP="004E6EA9">
            <w:pPr>
              <w:spacing w:line="360" w:lineRule="auto"/>
              <w:jc w:val="both"/>
              <w:rPr>
                <w:rFonts w:ascii="Tahoma" w:eastAsia="Tahoma" w:hAnsi="Tahoma" w:cs="Tahoma"/>
                <w:bCs/>
                <w:color w:val="808080"/>
                <w:sz w:val="18"/>
                <w:szCs w:val="18"/>
                <w:lang w:val="en-GB"/>
              </w:rPr>
            </w:pPr>
            <w:r w:rsidRPr="00294955">
              <w:rPr>
                <w:rFonts w:ascii="Tahoma" w:eastAsia="Tahoma" w:hAnsi="Tahoma" w:cs="Tahoma"/>
                <w:bCs/>
                <w:color w:val="808080"/>
                <w:sz w:val="18"/>
                <w:szCs w:val="18"/>
                <w:lang w:val="en-GB"/>
              </w:rPr>
              <w:t xml:space="preserve">Revenues of the </w:t>
            </w:r>
            <w:proofErr w:type="spellStart"/>
            <w:r w:rsidRPr="00294955">
              <w:rPr>
                <w:rFonts w:ascii="Tahoma" w:eastAsia="Tahoma" w:hAnsi="Tahoma" w:cs="Tahoma"/>
                <w:bCs/>
                <w:color w:val="808080"/>
                <w:sz w:val="18"/>
                <w:szCs w:val="18"/>
                <w:lang w:val="en-GB"/>
              </w:rPr>
              <w:t>FBSerwis</w:t>
            </w:r>
            <w:proofErr w:type="spellEnd"/>
            <w:r w:rsidRPr="00294955">
              <w:rPr>
                <w:rFonts w:ascii="Tahoma" w:eastAsia="Tahoma" w:hAnsi="Tahoma" w:cs="Tahoma"/>
                <w:bCs/>
                <w:color w:val="808080"/>
                <w:sz w:val="18"/>
                <w:szCs w:val="18"/>
                <w:lang w:val="en-GB"/>
              </w:rPr>
              <w:t xml:space="preserve"> Group, which is a key asset within the services ‎segment (the results of the services segment also include the activities of ‎companies in the RES area and </w:t>
            </w:r>
            <w:proofErr w:type="spellStart"/>
            <w:r w:rsidRPr="00294955">
              <w:rPr>
                <w:rFonts w:ascii="Tahoma" w:eastAsia="Tahoma" w:hAnsi="Tahoma" w:cs="Tahoma"/>
                <w:bCs/>
                <w:color w:val="808080"/>
                <w:sz w:val="18"/>
                <w:szCs w:val="18"/>
                <w:lang w:val="en-GB"/>
              </w:rPr>
              <w:t>Budimex</w:t>
            </w:r>
            <w:proofErr w:type="spellEnd"/>
            <w:r w:rsidRPr="00294955">
              <w:rPr>
                <w:rFonts w:ascii="Tahoma" w:eastAsia="Tahoma" w:hAnsi="Tahoma" w:cs="Tahoma"/>
                <w:bCs/>
                <w:color w:val="808080"/>
                <w:sz w:val="18"/>
                <w:szCs w:val="18"/>
                <w:lang w:val="en-GB"/>
              </w:rPr>
              <w:t xml:space="preserve"> Parking </w:t>
            </w:r>
            <w:proofErr w:type="spellStart"/>
            <w:r w:rsidRPr="00294955">
              <w:rPr>
                <w:rFonts w:ascii="Tahoma" w:eastAsia="Tahoma" w:hAnsi="Tahoma" w:cs="Tahoma"/>
                <w:bCs/>
                <w:color w:val="808080"/>
                <w:sz w:val="18"/>
                <w:szCs w:val="18"/>
                <w:lang w:val="en-GB"/>
              </w:rPr>
              <w:t>Wrocław</w:t>
            </w:r>
            <w:proofErr w:type="spellEnd"/>
            <w:r w:rsidRPr="00294955">
              <w:rPr>
                <w:rFonts w:ascii="Tahoma" w:eastAsia="Tahoma" w:hAnsi="Tahoma" w:cs="Tahoma"/>
                <w:bCs/>
                <w:color w:val="808080"/>
                <w:sz w:val="18"/>
                <w:szCs w:val="18"/>
                <w:lang w:val="en-GB"/>
              </w:rPr>
              <w:t>), amounted to PLN ‎‎924.1 million and were 13% high</w:t>
            </w:r>
            <w:r w:rsidRPr="00294955">
              <w:rPr>
                <w:rFonts w:ascii="Tahoma" w:eastAsia="Tahoma" w:hAnsi="Tahoma" w:cs="Tahoma"/>
                <w:bCs/>
                <w:color w:val="808080"/>
                <w:sz w:val="18"/>
                <w:szCs w:val="18"/>
                <w:lang w:val="en-GB"/>
              </w:rPr>
              <w:t xml:space="preserve">er than in the same period of the previous year. The ‎increase in sales </w:t>
            </w:r>
            <w:r w:rsidRPr="00294955">
              <w:rPr>
                <w:rFonts w:ascii="Tahoma" w:eastAsia="Tahoma" w:hAnsi="Tahoma" w:cs="Tahoma"/>
                <w:bCs/>
                <w:color w:val="808080"/>
                <w:sz w:val="18"/>
                <w:szCs w:val="18"/>
                <w:lang w:val="en-GB"/>
              </w:rPr>
              <w:lastRenderedPageBreak/>
              <w:t xml:space="preserve">value was achieved in each of the business segments and ‎was higher than our internal plans. ‎ </w:t>
            </w:r>
          </w:p>
          <w:p w14:paraId="292386A3" w14:textId="77777777" w:rsidR="0069312F" w:rsidRPr="00294955" w:rsidRDefault="0069312F" w:rsidP="004E6EA9">
            <w:pPr>
              <w:spacing w:line="360" w:lineRule="auto"/>
              <w:jc w:val="both"/>
              <w:rPr>
                <w:rFonts w:ascii="Tahoma" w:eastAsia="Tahoma" w:hAnsi="Tahoma" w:cs="Tahoma"/>
                <w:bCs/>
                <w:color w:val="808080"/>
                <w:sz w:val="18"/>
                <w:szCs w:val="18"/>
                <w:lang w:val="en-GB"/>
              </w:rPr>
            </w:pPr>
          </w:p>
          <w:p w14:paraId="7D72343C" w14:textId="003F577E" w:rsidR="0069312F" w:rsidRPr="005A4DC8" w:rsidRDefault="00637C06" w:rsidP="0069312F">
            <w:pPr>
              <w:spacing w:line="360" w:lineRule="auto"/>
              <w:jc w:val="both"/>
              <w:rPr>
                <w:rFonts w:ascii="Tahoma" w:eastAsia="Tahoma" w:hAnsi="Tahoma" w:cs="Tahoma"/>
                <w:b/>
                <w:noProof/>
                <w:color w:val="808080"/>
                <w:sz w:val="18"/>
                <w:szCs w:val="18"/>
                <w:lang w:val="en-GB"/>
              </w:rPr>
            </w:pPr>
            <w:r w:rsidRPr="00294955">
              <w:rPr>
                <w:rFonts w:ascii="Tahoma" w:eastAsia="Tahoma" w:hAnsi="Tahoma" w:cs="Tahoma"/>
                <w:b/>
                <w:bCs/>
                <w:noProof/>
                <w:color w:val="808080"/>
                <w:sz w:val="18"/>
                <w:szCs w:val="18"/>
                <w:lang w:val="en-GB"/>
              </w:rPr>
              <w:t xml:space="preserve">Renewable energy and electromobility </w:t>
            </w:r>
          </w:p>
          <w:p w14:paraId="214AD317" w14:textId="77777777" w:rsidR="0069312F" w:rsidRPr="00294955" w:rsidRDefault="00637C06" w:rsidP="0069312F">
            <w:pPr>
              <w:spacing w:line="360" w:lineRule="auto"/>
              <w:jc w:val="both"/>
              <w:rPr>
                <w:rFonts w:ascii="Tahoma" w:eastAsia="Tahoma" w:hAnsi="Tahoma" w:cs="Tahoma"/>
                <w:bCs/>
                <w:noProof/>
                <w:color w:val="808080"/>
                <w:sz w:val="18"/>
                <w:szCs w:val="18"/>
                <w:lang w:val="en-GB"/>
              </w:rPr>
            </w:pPr>
            <w:r w:rsidRPr="00294955">
              <w:rPr>
                <w:rFonts w:ascii="Tahoma" w:eastAsia="Tahoma" w:hAnsi="Tahoma" w:cs="Tahoma"/>
                <w:bCs/>
                <w:noProof/>
                <w:color w:val="808080"/>
                <w:sz w:val="18"/>
                <w:szCs w:val="18"/>
                <w:lang w:val="en-GB"/>
              </w:rPr>
              <w:t xml:space="preserve">Last year was an exceptional year for us in </w:t>
            </w:r>
            <w:r w:rsidRPr="00294955">
              <w:rPr>
                <w:rFonts w:ascii="Tahoma" w:eastAsia="Tahoma" w:hAnsi="Tahoma" w:cs="Tahoma"/>
                <w:bCs/>
                <w:noProof/>
                <w:color w:val="808080"/>
                <w:sz w:val="18"/>
                <w:szCs w:val="18"/>
                <w:lang w:val="en-GB"/>
              </w:rPr>
              <w:t>terms of new lines of business, ‎namely renewable energy and electromobility.  In September, our first wind ‎farm began producing green energy.  In 2023, we established a new ‎company, BXF Energia.  The company's goal is to develop, build and operate renew</w:t>
            </w:r>
            <w:r w:rsidRPr="00294955">
              <w:rPr>
                <w:rFonts w:ascii="Tahoma" w:eastAsia="Tahoma" w:hAnsi="Tahoma" w:cs="Tahoma"/>
                <w:bCs/>
                <w:noProof/>
                <w:color w:val="808080"/>
                <w:sz w:val="18"/>
                <w:szCs w:val="18"/>
                <w:lang w:val="en-GB"/>
              </w:rPr>
              <w:t>able energy ‎projects.  It is focusing on projects in ‎photovoltaic and wind farm technology, the preparation of which has started ‎by securing more locations for potential power plants with a capacity of several ‎hundred MW.‎</w:t>
            </w:r>
          </w:p>
          <w:p w14:paraId="4E90E568" w14:textId="77777777" w:rsidR="0069312F" w:rsidRPr="00294955" w:rsidRDefault="0069312F" w:rsidP="0069312F">
            <w:pPr>
              <w:spacing w:line="360" w:lineRule="auto"/>
              <w:jc w:val="both"/>
              <w:rPr>
                <w:rFonts w:ascii="Tahoma" w:eastAsia="Tahoma" w:hAnsi="Tahoma" w:cs="Tahoma"/>
                <w:bCs/>
                <w:noProof/>
                <w:color w:val="808080"/>
                <w:sz w:val="18"/>
                <w:szCs w:val="18"/>
                <w:lang w:val="en-GB"/>
              </w:rPr>
            </w:pPr>
          </w:p>
          <w:p w14:paraId="27BDAEA2" w14:textId="77777777" w:rsidR="0069312F" w:rsidRPr="00294955" w:rsidRDefault="00637C06" w:rsidP="0069312F">
            <w:pPr>
              <w:spacing w:line="360" w:lineRule="auto"/>
              <w:jc w:val="both"/>
              <w:rPr>
                <w:rFonts w:ascii="Tahoma" w:eastAsia="Tahoma" w:hAnsi="Tahoma" w:cs="Tahoma"/>
                <w:bCs/>
                <w:strike/>
                <w:noProof/>
                <w:color w:val="808080"/>
                <w:sz w:val="18"/>
                <w:szCs w:val="18"/>
                <w:lang w:val="en-GB"/>
              </w:rPr>
            </w:pPr>
            <w:r w:rsidRPr="00294955">
              <w:rPr>
                <w:rFonts w:ascii="Tahoma" w:eastAsia="Tahoma" w:hAnsi="Tahoma" w:cs="Tahoma"/>
                <w:bCs/>
                <w:noProof/>
                <w:color w:val="808080"/>
                <w:sz w:val="18"/>
                <w:szCs w:val="18"/>
                <w:lang w:val="en-GB"/>
              </w:rPr>
              <w:t>On the other hand, we are gr</w:t>
            </w:r>
            <w:r w:rsidRPr="00294955">
              <w:rPr>
                <w:rFonts w:ascii="Tahoma" w:eastAsia="Tahoma" w:hAnsi="Tahoma" w:cs="Tahoma"/>
                <w:bCs/>
                <w:noProof/>
                <w:color w:val="808080"/>
                <w:sz w:val="18"/>
                <w:szCs w:val="18"/>
                <w:lang w:val="en-GB"/>
              </w:rPr>
              <w:t>adually building our potential in the area of ‎electromobility. We are one of the largest players in the area of domestic ‎electric vehicle charging infrastructure.  Currently, Budimex Mobility has more ‎than 160 publicly available chargers, and internal p</w:t>
            </w:r>
            <w:r w:rsidRPr="00294955">
              <w:rPr>
                <w:rFonts w:ascii="Tahoma" w:eastAsia="Tahoma" w:hAnsi="Tahoma" w:cs="Tahoma"/>
                <w:bCs/>
                <w:noProof/>
                <w:color w:val="808080"/>
                <w:sz w:val="18"/>
                <w:szCs w:val="18"/>
                <w:lang w:val="en-GB"/>
              </w:rPr>
              <w:t>lans assume 230 chargers by ‎the end of 2024‎</w:t>
            </w:r>
          </w:p>
          <w:bookmarkEnd w:id="1"/>
          <w:bookmarkEnd w:id="2"/>
          <w:p w14:paraId="085D6645" w14:textId="77777777" w:rsidR="00815619" w:rsidRPr="00294955" w:rsidRDefault="00815619" w:rsidP="00775CAB">
            <w:pPr>
              <w:spacing w:line="360" w:lineRule="auto"/>
              <w:jc w:val="both"/>
              <w:rPr>
                <w:rFonts w:ascii="Tahoma" w:eastAsia="Tahoma" w:hAnsi="Tahoma" w:cs="Tahoma"/>
                <w:b/>
                <w:color w:val="FF0000"/>
                <w:sz w:val="18"/>
                <w:szCs w:val="18"/>
                <w:highlight w:val="magenta"/>
                <w:lang w:val="en-GB"/>
              </w:rPr>
            </w:pPr>
          </w:p>
          <w:p w14:paraId="00A1BB83" w14:textId="025133DD" w:rsidR="00C96A98" w:rsidRPr="005A4DC8" w:rsidRDefault="00637C06" w:rsidP="00C96A98">
            <w:pPr>
              <w:spacing w:line="360" w:lineRule="auto"/>
              <w:jc w:val="both"/>
              <w:rPr>
                <w:rFonts w:ascii="Tahoma" w:eastAsia="Tahoma" w:hAnsi="Tahoma" w:cs="Tahoma"/>
                <w:b/>
                <w:color w:val="808080"/>
                <w:sz w:val="18"/>
                <w:szCs w:val="18"/>
                <w:lang w:val="en-GB"/>
              </w:rPr>
            </w:pPr>
            <w:r w:rsidRPr="00294955">
              <w:rPr>
                <w:rFonts w:ascii="Tahoma" w:eastAsia="Tahoma" w:hAnsi="Tahoma" w:cs="Tahoma"/>
                <w:b/>
                <w:bCs/>
                <w:color w:val="808080"/>
                <w:sz w:val="18"/>
                <w:szCs w:val="18"/>
                <w:lang w:val="en-GB"/>
              </w:rPr>
              <w:t xml:space="preserve">Market outlook </w:t>
            </w:r>
          </w:p>
          <w:p w14:paraId="57A34BB6" w14:textId="1AA61A5C" w:rsidR="00C96A98" w:rsidRPr="00294955" w:rsidRDefault="00637C06" w:rsidP="00C96A98">
            <w:pPr>
              <w:spacing w:line="360" w:lineRule="auto"/>
              <w:jc w:val="both"/>
              <w:rPr>
                <w:rFonts w:ascii="Tahoma" w:eastAsia="Tahoma" w:hAnsi="Tahoma" w:cs="Tahoma"/>
                <w:bCs/>
                <w:color w:val="808080"/>
                <w:sz w:val="18"/>
                <w:szCs w:val="18"/>
                <w:lang w:val="en-GB"/>
              </w:rPr>
            </w:pPr>
            <w:r w:rsidRPr="00294955">
              <w:rPr>
                <w:rFonts w:ascii="Tahoma" w:eastAsia="Tahoma" w:hAnsi="Tahoma" w:cs="Tahoma"/>
                <w:bCs/>
                <w:color w:val="808080"/>
                <w:sz w:val="18"/>
                <w:szCs w:val="18"/>
                <w:lang w:val="en-GB"/>
              </w:rPr>
              <w:t>We are entering the new year with an order book exceeding PLN 13 billion ‎and a record level of contracts awaiting signature</w:t>
            </w:r>
            <w:r w:rsidR="00294955" w:rsidRPr="00294955">
              <w:rPr>
                <w:rFonts w:ascii="Tahoma" w:eastAsia="Tahoma" w:hAnsi="Tahoma" w:cs="Tahoma"/>
                <w:bCs/>
                <w:color w:val="808080"/>
                <w:sz w:val="18"/>
                <w:szCs w:val="18"/>
                <w:lang w:val="en-GB"/>
              </w:rPr>
              <w:t xml:space="preserve">. </w:t>
            </w:r>
            <w:r w:rsidRPr="00294955">
              <w:rPr>
                <w:rFonts w:ascii="Tahoma" w:eastAsia="Tahoma" w:hAnsi="Tahoma" w:cs="Tahoma"/>
                <w:bCs/>
                <w:color w:val="808080"/>
                <w:sz w:val="18"/>
                <w:szCs w:val="18"/>
                <w:lang w:val="en-GB"/>
              </w:rPr>
              <w:t xml:space="preserve">Our order book is healthy and based on ‎contracts signed in the </w:t>
            </w:r>
            <w:r w:rsidRPr="00294955">
              <w:rPr>
                <w:rFonts w:ascii="Tahoma" w:eastAsia="Tahoma" w:hAnsi="Tahoma" w:cs="Tahoma"/>
                <w:bCs/>
                <w:color w:val="808080"/>
                <w:sz w:val="18"/>
                <w:szCs w:val="18"/>
                <w:lang w:val="en-GB"/>
              </w:rPr>
              <w:t>last 2 years, which were bid at current prices. Additionally, most projects are subject to indexation</w:t>
            </w:r>
            <w:r w:rsidR="00294955" w:rsidRPr="00294955">
              <w:rPr>
                <w:rFonts w:ascii="Tahoma" w:eastAsia="Tahoma" w:hAnsi="Tahoma" w:cs="Tahoma"/>
                <w:bCs/>
                <w:color w:val="808080"/>
                <w:sz w:val="18"/>
                <w:szCs w:val="18"/>
                <w:lang w:val="en-GB"/>
              </w:rPr>
              <w:t xml:space="preserve">. </w:t>
            </w:r>
            <w:r w:rsidRPr="00294955">
              <w:rPr>
                <w:rFonts w:ascii="Tahoma" w:eastAsia="Tahoma" w:hAnsi="Tahoma" w:cs="Tahoma"/>
                <w:bCs/>
                <w:color w:val="808080"/>
                <w:sz w:val="18"/>
                <w:szCs w:val="18"/>
                <w:lang w:val="en-GB"/>
              </w:rPr>
              <w:t>In an environment of high competition and an expected lower number of tenders launched by major contracting authorities, this gives us the prospect of st</w:t>
            </w:r>
            <w:r w:rsidRPr="00294955">
              <w:rPr>
                <w:rFonts w:ascii="Tahoma" w:eastAsia="Tahoma" w:hAnsi="Tahoma" w:cs="Tahoma"/>
                <w:bCs/>
                <w:color w:val="808080"/>
                <w:sz w:val="18"/>
                <w:szCs w:val="18"/>
                <w:lang w:val="en-GB"/>
              </w:rPr>
              <w:t xml:space="preserve">able margins and, at the same time, the comfort of the business and the certainty of utilising our production capacity in the next 2-3 years. </w:t>
            </w:r>
          </w:p>
          <w:p w14:paraId="2E9C5BA8" w14:textId="77777777" w:rsidR="00F0217B" w:rsidRPr="00294955" w:rsidRDefault="00F0217B" w:rsidP="00C96A98">
            <w:pPr>
              <w:spacing w:line="360" w:lineRule="auto"/>
              <w:jc w:val="both"/>
              <w:rPr>
                <w:rFonts w:ascii="Tahoma" w:eastAsia="Tahoma" w:hAnsi="Tahoma" w:cs="Tahoma"/>
                <w:bCs/>
                <w:color w:val="808080"/>
                <w:sz w:val="18"/>
                <w:szCs w:val="18"/>
                <w:lang w:val="en-GB"/>
              </w:rPr>
            </w:pPr>
          </w:p>
          <w:p w14:paraId="3F74FAE5" w14:textId="6B8A82B9" w:rsidR="00145D8E" w:rsidRPr="00294955" w:rsidRDefault="00637C06" w:rsidP="00C96A98">
            <w:pPr>
              <w:spacing w:line="360" w:lineRule="auto"/>
              <w:jc w:val="both"/>
              <w:rPr>
                <w:rFonts w:ascii="Tahoma" w:eastAsia="Tahoma" w:hAnsi="Tahoma" w:cs="Tahoma"/>
                <w:bCs/>
                <w:color w:val="808080"/>
                <w:sz w:val="18"/>
                <w:szCs w:val="18"/>
                <w:lang w:val="en-GB"/>
              </w:rPr>
            </w:pPr>
            <w:r w:rsidRPr="00294955">
              <w:rPr>
                <w:rFonts w:ascii="Tahoma" w:eastAsia="Tahoma" w:hAnsi="Tahoma" w:cs="Tahoma"/>
                <w:bCs/>
                <w:color w:val="808080"/>
                <w:sz w:val="18"/>
                <w:szCs w:val="18"/>
                <w:lang w:val="en-GB"/>
              </w:rPr>
              <w:t xml:space="preserve">In the local market, we are constantly witnessing an aggressive battle for contracts in the areas of road, </w:t>
            </w:r>
            <w:r w:rsidR="00294955" w:rsidRPr="00294955">
              <w:rPr>
                <w:rFonts w:ascii="Tahoma" w:eastAsia="Tahoma" w:hAnsi="Tahoma" w:cs="Tahoma"/>
                <w:bCs/>
                <w:color w:val="808080"/>
                <w:sz w:val="18"/>
                <w:szCs w:val="18"/>
                <w:lang w:val="en-GB"/>
              </w:rPr>
              <w:t>rail,</w:t>
            </w:r>
            <w:r w:rsidRPr="00294955">
              <w:rPr>
                <w:rFonts w:ascii="Tahoma" w:eastAsia="Tahoma" w:hAnsi="Tahoma" w:cs="Tahoma"/>
                <w:bCs/>
                <w:color w:val="808080"/>
                <w:sz w:val="18"/>
                <w:szCs w:val="18"/>
                <w:lang w:val="en-GB"/>
              </w:rPr>
              <w:t xml:space="preserve"> and general construction</w:t>
            </w:r>
            <w:r w:rsidR="00294955" w:rsidRPr="00294955">
              <w:rPr>
                <w:rFonts w:ascii="Tahoma" w:eastAsia="Tahoma" w:hAnsi="Tahoma" w:cs="Tahoma"/>
                <w:bCs/>
                <w:color w:val="808080"/>
                <w:sz w:val="18"/>
                <w:szCs w:val="18"/>
                <w:lang w:val="en-GB"/>
              </w:rPr>
              <w:t xml:space="preserve">. </w:t>
            </w:r>
            <w:r w:rsidRPr="00294955">
              <w:rPr>
                <w:rFonts w:ascii="Tahoma" w:eastAsia="Tahoma" w:hAnsi="Tahoma" w:cs="Tahoma"/>
                <w:bCs/>
                <w:color w:val="808080"/>
                <w:sz w:val="18"/>
                <w:szCs w:val="18"/>
                <w:lang w:val="en-GB"/>
              </w:rPr>
              <w:t>In addition, we consistently encounter strong ‎competition from foreign companies</w:t>
            </w:r>
            <w:r w:rsidR="00294955" w:rsidRPr="00294955">
              <w:rPr>
                <w:rFonts w:ascii="Tahoma" w:eastAsia="Tahoma" w:hAnsi="Tahoma" w:cs="Tahoma"/>
                <w:bCs/>
                <w:color w:val="808080"/>
                <w:sz w:val="18"/>
                <w:szCs w:val="18"/>
                <w:lang w:val="en-GB"/>
              </w:rPr>
              <w:t xml:space="preserve">. </w:t>
            </w:r>
            <w:r w:rsidRPr="00294955">
              <w:rPr>
                <w:rFonts w:ascii="Tahoma" w:eastAsia="Tahoma" w:hAnsi="Tahoma" w:cs="Tahoma"/>
                <w:bCs/>
                <w:color w:val="808080"/>
                <w:sz w:val="18"/>
                <w:szCs w:val="18"/>
                <w:lang w:val="en-GB"/>
              </w:rPr>
              <w:t xml:space="preserve">When competing in tenders outside Poland, ‎we usually </w:t>
            </w:r>
            <w:r w:rsidR="00294955" w:rsidRPr="00294955">
              <w:rPr>
                <w:rFonts w:ascii="Tahoma" w:eastAsia="Tahoma" w:hAnsi="Tahoma" w:cs="Tahoma"/>
                <w:bCs/>
                <w:color w:val="808080"/>
                <w:sz w:val="18"/>
                <w:szCs w:val="18"/>
                <w:lang w:val="en-GB"/>
              </w:rPr>
              <w:t>must</w:t>
            </w:r>
            <w:r w:rsidRPr="00294955">
              <w:rPr>
                <w:rFonts w:ascii="Tahoma" w:eastAsia="Tahoma" w:hAnsi="Tahoma" w:cs="Tahoma"/>
                <w:bCs/>
                <w:color w:val="808080"/>
                <w:sz w:val="18"/>
                <w:szCs w:val="18"/>
                <w:lang w:val="en-GB"/>
              </w:rPr>
              <w:t xml:space="preserve"> undergo a certification process. We would like to have the impression that foreign cons</w:t>
            </w:r>
            <w:r w:rsidRPr="00294955">
              <w:rPr>
                <w:rFonts w:ascii="Tahoma" w:eastAsia="Tahoma" w:hAnsi="Tahoma" w:cs="Tahoma"/>
                <w:bCs/>
                <w:color w:val="808080"/>
                <w:sz w:val="18"/>
                <w:szCs w:val="18"/>
                <w:lang w:val="en-GB"/>
              </w:rPr>
              <w:t xml:space="preserve">truction companies are verified and certified in Poland in the same way as Polish companies - including </w:t>
            </w:r>
            <w:proofErr w:type="spellStart"/>
            <w:r w:rsidRPr="00294955">
              <w:rPr>
                <w:rFonts w:ascii="Tahoma" w:eastAsia="Tahoma" w:hAnsi="Tahoma" w:cs="Tahoma"/>
                <w:bCs/>
                <w:color w:val="808080"/>
                <w:sz w:val="18"/>
                <w:szCs w:val="18"/>
                <w:lang w:val="en-GB"/>
              </w:rPr>
              <w:t>Budimex</w:t>
            </w:r>
            <w:proofErr w:type="spellEnd"/>
            <w:r w:rsidRPr="00294955">
              <w:rPr>
                <w:rFonts w:ascii="Tahoma" w:eastAsia="Tahoma" w:hAnsi="Tahoma" w:cs="Tahoma"/>
                <w:bCs/>
                <w:color w:val="808080"/>
                <w:sz w:val="18"/>
                <w:szCs w:val="18"/>
                <w:lang w:val="en-GB"/>
              </w:rPr>
              <w:t xml:space="preserve"> - in other EU countries. On the local market, we have already had the first cases of additional verification of bidders in terms of the referenc</w:t>
            </w:r>
            <w:r w:rsidRPr="00294955">
              <w:rPr>
                <w:rFonts w:ascii="Tahoma" w:eastAsia="Tahoma" w:hAnsi="Tahoma" w:cs="Tahoma"/>
                <w:bCs/>
                <w:color w:val="808080"/>
                <w:sz w:val="18"/>
                <w:szCs w:val="18"/>
                <w:lang w:val="en-GB"/>
              </w:rPr>
              <w:t xml:space="preserve">es they have obtained, but these still are exceptions. </w:t>
            </w:r>
          </w:p>
          <w:p w14:paraId="05CA0C3F" w14:textId="77777777" w:rsidR="00145D8E" w:rsidRPr="00294955" w:rsidRDefault="00145D8E" w:rsidP="00C96A98">
            <w:pPr>
              <w:spacing w:line="360" w:lineRule="auto"/>
              <w:jc w:val="both"/>
              <w:rPr>
                <w:rFonts w:ascii="Tahoma" w:eastAsia="Tahoma" w:hAnsi="Tahoma" w:cs="Tahoma"/>
                <w:bCs/>
                <w:color w:val="808080"/>
                <w:sz w:val="18"/>
                <w:szCs w:val="18"/>
                <w:lang w:val="en-GB"/>
              </w:rPr>
            </w:pPr>
          </w:p>
          <w:p w14:paraId="6CDC3DA2" w14:textId="77777777" w:rsidR="00DE4D7D" w:rsidRDefault="00637C06" w:rsidP="00433509">
            <w:pPr>
              <w:spacing w:line="360" w:lineRule="auto"/>
              <w:jc w:val="both"/>
              <w:rPr>
                <w:rFonts w:ascii="Tahoma" w:eastAsia="Tahoma" w:hAnsi="Tahoma" w:cs="Tahoma"/>
                <w:bCs/>
                <w:color w:val="808080"/>
                <w:sz w:val="18"/>
                <w:szCs w:val="18"/>
                <w:lang w:val="en-GB"/>
              </w:rPr>
            </w:pPr>
            <w:r w:rsidRPr="00294955">
              <w:rPr>
                <w:rFonts w:ascii="Tahoma" w:eastAsia="Tahoma" w:hAnsi="Tahoma" w:cs="Tahoma"/>
                <w:bCs/>
                <w:color w:val="808080"/>
                <w:sz w:val="18"/>
                <w:szCs w:val="18"/>
                <w:lang w:val="en-GB"/>
              </w:rPr>
              <w:t xml:space="preserve">Last year was for the </w:t>
            </w:r>
            <w:proofErr w:type="spellStart"/>
            <w:r w:rsidRPr="00294955">
              <w:rPr>
                <w:rFonts w:ascii="Tahoma" w:eastAsia="Tahoma" w:hAnsi="Tahoma" w:cs="Tahoma"/>
                <w:bCs/>
                <w:color w:val="808080"/>
                <w:sz w:val="18"/>
                <w:szCs w:val="18"/>
                <w:lang w:val="en-GB"/>
              </w:rPr>
              <w:t>Budimex</w:t>
            </w:r>
            <w:proofErr w:type="spellEnd"/>
            <w:r w:rsidRPr="00294955">
              <w:rPr>
                <w:rFonts w:ascii="Tahoma" w:eastAsia="Tahoma" w:hAnsi="Tahoma" w:cs="Tahoma"/>
                <w:bCs/>
                <w:color w:val="808080"/>
                <w:sz w:val="18"/>
                <w:szCs w:val="18"/>
                <w:lang w:val="en-GB"/>
              </w:rPr>
              <w:t xml:space="preserve"> Group a period of intensifying activities on foreign markets</w:t>
            </w:r>
            <w:r w:rsidR="00294955" w:rsidRPr="00294955">
              <w:rPr>
                <w:rFonts w:ascii="Tahoma" w:eastAsia="Tahoma" w:hAnsi="Tahoma" w:cs="Tahoma"/>
                <w:bCs/>
                <w:color w:val="808080"/>
                <w:sz w:val="18"/>
                <w:szCs w:val="18"/>
                <w:lang w:val="en-GB"/>
              </w:rPr>
              <w:t xml:space="preserve">. </w:t>
            </w:r>
            <w:r w:rsidRPr="00294955">
              <w:rPr>
                <w:rFonts w:ascii="Tahoma" w:eastAsia="Tahoma" w:hAnsi="Tahoma" w:cs="Tahoma"/>
                <w:bCs/>
                <w:color w:val="808080"/>
                <w:sz w:val="18"/>
                <w:szCs w:val="18"/>
                <w:lang w:val="en-GB"/>
              </w:rPr>
              <w:t>We developed structures on the German, Slovak, Czech and Latvian markets</w:t>
            </w:r>
            <w:r w:rsidR="00294955" w:rsidRPr="00294955">
              <w:rPr>
                <w:rFonts w:ascii="Tahoma" w:eastAsia="Tahoma" w:hAnsi="Tahoma" w:cs="Tahoma"/>
                <w:bCs/>
                <w:color w:val="808080"/>
                <w:sz w:val="18"/>
                <w:szCs w:val="18"/>
                <w:lang w:val="en-GB"/>
              </w:rPr>
              <w:t xml:space="preserve">. </w:t>
            </w:r>
            <w:r w:rsidRPr="00294955">
              <w:rPr>
                <w:rFonts w:ascii="Tahoma" w:eastAsia="Tahoma" w:hAnsi="Tahoma" w:cs="Tahoma"/>
                <w:bCs/>
                <w:color w:val="808080"/>
                <w:sz w:val="18"/>
                <w:szCs w:val="18"/>
                <w:lang w:val="en-GB"/>
              </w:rPr>
              <w:t xml:space="preserve">We acquired a historic Rail </w:t>
            </w:r>
            <w:proofErr w:type="spellStart"/>
            <w:r w:rsidRPr="00294955">
              <w:rPr>
                <w:rFonts w:ascii="Tahoma" w:eastAsia="Tahoma" w:hAnsi="Tahoma" w:cs="Tahoma"/>
                <w:bCs/>
                <w:color w:val="808080"/>
                <w:sz w:val="18"/>
                <w:szCs w:val="18"/>
                <w:lang w:val="en-GB"/>
              </w:rPr>
              <w:t>Balti</w:t>
            </w:r>
            <w:r w:rsidRPr="00294955">
              <w:rPr>
                <w:rFonts w:ascii="Tahoma" w:eastAsia="Tahoma" w:hAnsi="Tahoma" w:cs="Tahoma"/>
                <w:bCs/>
                <w:color w:val="808080"/>
                <w:sz w:val="18"/>
                <w:szCs w:val="18"/>
                <w:lang w:val="en-GB"/>
              </w:rPr>
              <w:t>ca</w:t>
            </w:r>
            <w:proofErr w:type="spellEnd"/>
            <w:r w:rsidRPr="00294955">
              <w:rPr>
                <w:rFonts w:ascii="Tahoma" w:eastAsia="Tahoma" w:hAnsi="Tahoma" w:cs="Tahoma"/>
                <w:bCs/>
                <w:color w:val="808080"/>
                <w:sz w:val="18"/>
                <w:szCs w:val="18"/>
                <w:lang w:val="en-GB"/>
              </w:rPr>
              <w:t xml:space="preserve"> contract </w:t>
            </w:r>
            <w:r w:rsidR="00294955" w:rsidRPr="00294955">
              <w:rPr>
                <w:rFonts w:ascii="Tahoma" w:eastAsia="Tahoma" w:hAnsi="Tahoma" w:cs="Tahoma"/>
                <w:bCs/>
                <w:color w:val="808080"/>
                <w:sz w:val="18"/>
                <w:szCs w:val="18"/>
                <w:lang w:val="en-GB"/>
              </w:rPr>
              <w:t>and</w:t>
            </w:r>
            <w:r w:rsidRPr="00294955">
              <w:rPr>
                <w:rFonts w:ascii="Tahoma" w:eastAsia="Tahoma" w:hAnsi="Tahoma" w:cs="Tahoma"/>
                <w:bCs/>
                <w:color w:val="808080"/>
                <w:sz w:val="18"/>
                <w:szCs w:val="18"/>
                <w:lang w:val="en-GB"/>
              </w:rPr>
              <w:t xml:space="preserve"> the first contract in C</w:t>
            </w:r>
            <w:r w:rsidR="00294955">
              <w:rPr>
                <w:rFonts w:ascii="Tahoma" w:eastAsia="Tahoma" w:hAnsi="Tahoma" w:cs="Tahoma"/>
                <w:bCs/>
                <w:color w:val="808080"/>
                <w:sz w:val="18"/>
                <w:szCs w:val="18"/>
                <w:lang w:val="en-GB"/>
              </w:rPr>
              <w:t>z</w:t>
            </w:r>
            <w:r w:rsidRPr="00294955">
              <w:rPr>
                <w:rFonts w:ascii="Tahoma" w:eastAsia="Tahoma" w:hAnsi="Tahoma" w:cs="Tahoma"/>
                <w:bCs/>
                <w:color w:val="808080"/>
                <w:sz w:val="18"/>
                <w:szCs w:val="18"/>
                <w:lang w:val="en-GB"/>
              </w:rPr>
              <w:t xml:space="preserve">ech Republic - </w:t>
            </w:r>
            <w:proofErr w:type="spellStart"/>
            <w:r w:rsidRPr="00294955">
              <w:rPr>
                <w:rFonts w:ascii="Tahoma" w:eastAsia="Tahoma" w:hAnsi="Tahoma" w:cs="Tahoma"/>
                <w:bCs/>
                <w:color w:val="808080"/>
                <w:sz w:val="18"/>
                <w:szCs w:val="18"/>
                <w:lang w:val="en-GB"/>
              </w:rPr>
              <w:t>Kutřin</w:t>
            </w:r>
            <w:proofErr w:type="spellEnd"/>
            <w:r w:rsidRPr="00294955">
              <w:rPr>
                <w:rFonts w:ascii="Tahoma" w:eastAsia="Tahoma" w:hAnsi="Tahoma" w:cs="Tahoma"/>
                <w:bCs/>
                <w:color w:val="808080"/>
                <w:sz w:val="18"/>
                <w:szCs w:val="18"/>
                <w:lang w:val="en-GB"/>
              </w:rPr>
              <w:t xml:space="preserve"> detention reservoir worth PLN 113 million.  Given the fierce </w:t>
            </w:r>
            <w:r w:rsidRPr="00294955">
              <w:rPr>
                <w:rFonts w:ascii="Tahoma" w:eastAsia="Tahoma" w:hAnsi="Tahoma" w:cs="Tahoma"/>
                <w:bCs/>
                <w:color w:val="808080"/>
                <w:sz w:val="18"/>
                <w:szCs w:val="18"/>
                <w:lang w:val="en-GB"/>
              </w:rPr>
              <w:lastRenderedPageBreak/>
              <w:t xml:space="preserve">competition on the local market, we are </w:t>
            </w:r>
            <w:r w:rsidR="00294955" w:rsidRPr="00294955">
              <w:rPr>
                <w:rFonts w:ascii="Tahoma" w:eastAsia="Tahoma" w:hAnsi="Tahoma" w:cs="Tahoma"/>
                <w:bCs/>
                <w:color w:val="808080"/>
                <w:sz w:val="18"/>
                <w:szCs w:val="18"/>
                <w:lang w:val="en-GB"/>
              </w:rPr>
              <w:t>even more</w:t>
            </w:r>
            <w:r w:rsidRPr="00294955">
              <w:rPr>
                <w:rFonts w:ascii="Tahoma" w:eastAsia="Tahoma" w:hAnsi="Tahoma" w:cs="Tahoma"/>
                <w:bCs/>
                <w:color w:val="808080"/>
                <w:sz w:val="18"/>
                <w:szCs w:val="18"/>
                <w:lang w:val="en-GB"/>
              </w:rPr>
              <w:t xml:space="preserve"> convinced that decisions to diversify into new segments and expand into foreign mar</w:t>
            </w:r>
            <w:r w:rsidRPr="00294955">
              <w:rPr>
                <w:rFonts w:ascii="Tahoma" w:eastAsia="Tahoma" w:hAnsi="Tahoma" w:cs="Tahoma"/>
                <w:bCs/>
                <w:color w:val="808080"/>
                <w:sz w:val="18"/>
                <w:szCs w:val="18"/>
                <w:lang w:val="en-GB"/>
              </w:rPr>
              <w:t xml:space="preserve">kets have been the right direction.  We have adequate equipment, people, </w:t>
            </w:r>
            <w:r w:rsidR="00294955" w:rsidRPr="00294955">
              <w:rPr>
                <w:rFonts w:ascii="Tahoma" w:eastAsia="Tahoma" w:hAnsi="Tahoma" w:cs="Tahoma"/>
                <w:bCs/>
                <w:color w:val="808080"/>
                <w:sz w:val="18"/>
                <w:szCs w:val="18"/>
                <w:lang w:val="en-GB"/>
              </w:rPr>
              <w:t>capital,</w:t>
            </w:r>
            <w:r w:rsidRPr="00294955">
              <w:rPr>
                <w:rFonts w:ascii="Tahoma" w:eastAsia="Tahoma" w:hAnsi="Tahoma" w:cs="Tahoma"/>
                <w:bCs/>
                <w:color w:val="808080"/>
                <w:sz w:val="18"/>
                <w:szCs w:val="18"/>
                <w:lang w:val="en-GB"/>
              </w:rPr>
              <w:t xml:space="preserve"> and experience to execute such complex contracts in Poland and abroad. It is an opportunity for us to strengthen the </w:t>
            </w:r>
            <w:proofErr w:type="spellStart"/>
            <w:r w:rsidRPr="00294955">
              <w:rPr>
                <w:rFonts w:ascii="Tahoma" w:eastAsia="Tahoma" w:hAnsi="Tahoma" w:cs="Tahoma"/>
                <w:bCs/>
                <w:color w:val="808080"/>
                <w:sz w:val="18"/>
                <w:szCs w:val="18"/>
                <w:lang w:val="en-GB"/>
              </w:rPr>
              <w:t>Budimex</w:t>
            </w:r>
            <w:proofErr w:type="spellEnd"/>
            <w:r w:rsidRPr="00294955">
              <w:rPr>
                <w:rFonts w:ascii="Tahoma" w:eastAsia="Tahoma" w:hAnsi="Tahoma" w:cs="Tahoma"/>
                <w:bCs/>
                <w:color w:val="808080"/>
                <w:sz w:val="18"/>
                <w:szCs w:val="18"/>
                <w:lang w:val="en-GB"/>
              </w:rPr>
              <w:t xml:space="preserve"> Group's position as a leading construction compan</w:t>
            </w:r>
            <w:r w:rsidRPr="00294955">
              <w:rPr>
                <w:rFonts w:ascii="Tahoma" w:eastAsia="Tahoma" w:hAnsi="Tahoma" w:cs="Tahoma"/>
                <w:bCs/>
                <w:color w:val="808080"/>
                <w:sz w:val="18"/>
                <w:szCs w:val="18"/>
                <w:lang w:val="en-GB"/>
              </w:rPr>
              <w:t xml:space="preserve">y </w:t>
            </w:r>
            <w:r w:rsidR="00294955" w:rsidRPr="00294955">
              <w:rPr>
                <w:rFonts w:ascii="Tahoma" w:eastAsia="Tahoma" w:hAnsi="Tahoma" w:cs="Tahoma"/>
                <w:bCs/>
                <w:color w:val="808080"/>
                <w:sz w:val="18"/>
                <w:szCs w:val="18"/>
                <w:lang w:val="en-GB"/>
              </w:rPr>
              <w:t>in</w:t>
            </w:r>
            <w:r w:rsidRPr="00294955">
              <w:rPr>
                <w:rFonts w:ascii="Tahoma" w:eastAsia="Tahoma" w:hAnsi="Tahoma" w:cs="Tahoma"/>
                <w:bCs/>
                <w:color w:val="808080"/>
                <w:sz w:val="18"/>
                <w:szCs w:val="18"/>
                <w:lang w:val="en-GB"/>
              </w:rPr>
              <w:t xml:space="preserve"> Central and Eastern Europe. </w:t>
            </w:r>
          </w:p>
          <w:p w14:paraId="46506231" w14:textId="77777777" w:rsidR="005A4DC8" w:rsidRDefault="005A4DC8" w:rsidP="00433509">
            <w:pPr>
              <w:spacing w:line="360" w:lineRule="auto"/>
              <w:jc w:val="both"/>
              <w:rPr>
                <w:rFonts w:ascii="Tahoma" w:eastAsia="Tahoma" w:hAnsi="Tahoma" w:cs="Tahoma"/>
                <w:bCs/>
                <w:color w:val="808080"/>
                <w:sz w:val="18"/>
                <w:szCs w:val="18"/>
                <w:lang w:val="en-GB"/>
              </w:rPr>
            </w:pPr>
          </w:p>
          <w:p w14:paraId="4E77AF08" w14:textId="77777777" w:rsidR="005A4DC8" w:rsidRPr="005A4DC8" w:rsidRDefault="005A4DC8" w:rsidP="005A4DC8">
            <w:pPr>
              <w:spacing w:line="360" w:lineRule="auto"/>
              <w:jc w:val="both"/>
              <w:rPr>
                <w:rFonts w:ascii="Tahoma" w:eastAsia="Tahoma" w:hAnsi="Tahoma" w:cs="Tahoma"/>
                <w:b/>
                <w:bCs/>
                <w:color w:val="808080"/>
                <w:sz w:val="18"/>
                <w:szCs w:val="18"/>
                <w:lang w:val="en-GB"/>
              </w:rPr>
            </w:pPr>
            <w:r w:rsidRPr="005A4DC8">
              <w:rPr>
                <w:rFonts w:ascii="Tahoma" w:eastAsia="Tahoma" w:hAnsi="Tahoma" w:cs="Tahoma"/>
                <w:b/>
                <w:bCs/>
                <w:color w:val="808080"/>
                <w:sz w:val="18"/>
                <w:szCs w:val="18"/>
                <w:lang w:val="en-GB"/>
              </w:rPr>
              <w:t>Social activities and awards</w:t>
            </w:r>
          </w:p>
          <w:p w14:paraId="6082AEBB" w14:textId="77777777" w:rsidR="005A4DC8" w:rsidRDefault="005A4DC8" w:rsidP="005A4DC8">
            <w:pPr>
              <w:spacing w:line="360" w:lineRule="auto"/>
              <w:jc w:val="both"/>
              <w:rPr>
                <w:rFonts w:ascii="Tahoma" w:eastAsia="Tahoma" w:hAnsi="Tahoma" w:cs="Tahoma"/>
                <w:bCs/>
                <w:color w:val="808080"/>
                <w:sz w:val="18"/>
                <w:szCs w:val="18"/>
                <w:lang w:val="en-GB"/>
              </w:rPr>
            </w:pPr>
            <w:proofErr w:type="spellStart"/>
            <w:r w:rsidRPr="005A4DC8">
              <w:rPr>
                <w:rFonts w:ascii="Tahoma" w:eastAsia="Tahoma" w:hAnsi="Tahoma" w:cs="Tahoma"/>
                <w:bCs/>
                <w:color w:val="808080"/>
                <w:sz w:val="18"/>
                <w:szCs w:val="18"/>
                <w:lang w:val="en-GB"/>
              </w:rPr>
              <w:t>Budimex</w:t>
            </w:r>
            <w:proofErr w:type="spellEnd"/>
            <w:r w:rsidRPr="005A4DC8">
              <w:rPr>
                <w:rFonts w:ascii="Tahoma" w:eastAsia="Tahoma" w:hAnsi="Tahoma" w:cs="Tahoma"/>
                <w:bCs/>
                <w:color w:val="808080"/>
                <w:sz w:val="18"/>
                <w:szCs w:val="18"/>
                <w:lang w:val="en-GB"/>
              </w:rPr>
              <w:t xml:space="preserve">, as every year, implemented its flagship social programmes: the road safety campaign „Hello ICE" and a campaign supporting children's wards in hospitals called “Parents Zone”.  In the year in question, a total of more than 20,000 school children participated in meetings with our educators, police, and fire brigade representatives. </w:t>
            </w:r>
          </w:p>
          <w:p w14:paraId="14D3D0AA" w14:textId="77777777" w:rsidR="005A4DC8" w:rsidRPr="005A4DC8" w:rsidRDefault="005A4DC8" w:rsidP="005A4DC8">
            <w:pPr>
              <w:spacing w:line="360" w:lineRule="auto"/>
              <w:jc w:val="both"/>
              <w:rPr>
                <w:rFonts w:ascii="Tahoma" w:eastAsia="Tahoma" w:hAnsi="Tahoma" w:cs="Tahoma"/>
                <w:bCs/>
                <w:color w:val="808080"/>
                <w:sz w:val="18"/>
                <w:szCs w:val="18"/>
                <w:lang w:val="en-GB"/>
              </w:rPr>
            </w:pPr>
          </w:p>
          <w:p w14:paraId="10761A32" w14:textId="77777777" w:rsidR="005A4DC8" w:rsidRPr="005A4DC8" w:rsidRDefault="005A4DC8" w:rsidP="005A4DC8">
            <w:pPr>
              <w:spacing w:line="360" w:lineRule="auto"/>
              <w:jc w:val="both"/>
              <w:rPr>
                <w:rFonts w:ascii="Tahoma" w:eastAsia="Tahoma" w:hAnsi="Tahoma" w:cs="Tahoma"/>
                <w:bCs/>
                <w:color w:val="808080"/>
                <w:sz w:val="18"/>
                <w:szCs w:val="18"/>
                <w:lang w:val="en-GB"/>
              </w:rPr>
            </w:pPr>
            <w:r w:rsidRPr="005A4DC8">
              <w:rPr>
                <w:rFonts w:ascii="Tahoma" w:eastAsia="Tahoma" w:hAnsi="Tahoma" w:cs="Tahoma"/>
                <w:bCs/>
                <w:color w:val="808080"/>
                <w:sz w:val="18"/>
                <w:szCs w:val="18"/>
                <w:lang w:val="en-GB"/>
              </w:rPr>
              <w:t xml:space="preserve">In 2023, a new Parent Zone was set up at a hospital in </w:t>
            </w:r>
            <w:proofErr w:type="spellStart"/>
            <w:r w:rsidRPr="005A4DC8">
              <w:rPr>
                <w:rFonts w:ascii="Tahoma" w:eastAsia="Tahoma" w:hAnsi="Tahoma" w:cs="Tahoma"/>
                <w:bCs/>
                <w:color w:val="808080"/>
                <w:sz w:val="18"/>
                <w:szCs w:val="18"/>
                <w:lang w:val="en-GB"/>
              </w:rPr>
              <w:t>Ełk</w:t>
            </w:r>
            <w:proofErr w:type="spellEnd"/>
            <w:r w:rsidRPr="005A4DC8">
              <w:rPr>
                <w:rFonts w:ascii="Tahoma" w:eastAsia="Tahoma" w:hAnsi="Tahoma" w:cs="Tahoma"/>
                <w:bCs/>
                <w:color w:val="808080"/>
                <w:sz w:val="18"/>
                <w:szCs w:val="18"/>
                <w:lang w:val="en-GB"/>
              </w:rPr>
              <w:t xml:space="preserve">.  We also launched the third edition of the “Home from the Heart” campaign.  In its framework, we are building a house for Teresa from </w:t>
            </w:r>
            <w:proofErr w:type="spellStart"/>
            <w:r w:rsidRPr="005A4DC8">
              <w:rPr>
                <w:rFonts w:ascii="Tahoma" w:eastAsia="Tahoma" w:hAnsi="Tahoma" w:cs="Tahoma"/>
                <w:bCs/>
                <w:color w:val="808080"/>
                <w:sz w:val="18"/>
                <w:szCs w:val="18"/>
                <w:lang w:val="en-GB"/>
              </w:rPr>
              <w:t>Wołomin</w:t>
            </w:r>
            <w:proofErr w:type="spellEnd"/>
            <w:r w:rsidRPr="005A4DC8">
              <w:rPr>
                <w:rFonts w:ascii="Tahoma" w:eastAsia="Tahoma" w:hAnsi="Tahoma" w:cs="Tahoma"/>
                <w:bCs/>
                <w:color w:val="808080"/>
                <w:sz w:val="18"/>
                <w:szCs w:val="18"/>
                <w:lang w:val="en-GB"/>
              </w:rPr>
              <w:t xml:space="preserve"> near Warsaw. We have previously built such houses near Radom and in </w:t>
            </w:r>
            <w:proofErr w:type="spellStart"/>
            <w:r w:rsidRPr="005A4DC8">
              <w:rPr>
                <w:rFonts w:ascii="Tahoma" w:eastAsia="Tahoma" w:hAnsi="Tahoma" w:cs="Tahoma"/>
                <w:bCs/>
                <w:color w:val="808080"/>
                <w:sz w:val="18"/>
                <w:szCs w:val="18"/>
                <w:lang w:val="en-GB"/>
              </w:rPr>
              <w:t>Bory</w:t>
            </w:r>
            <w:proofErr w:type="spellEnd"/>
            <w:r w:rsidRPr="005A4DC8">
              <w:rPr>
                <w:rFonts w:ascii="Tahoma" w:eastAsia="Tahoma" w:hAnsi="Tahoma" w:cs="Tahoma"/>
                <w:bCs/>
                <w:color w:val="808080"/>
                <w:sz w:val="18"/>
                <w:szCs w:val="18"/>
                <w:lang w:val="en-GB"/>
              </w:rPr>
              <w:t xml:space="preserve"> </w:t>
            </w:r>
            <w:proofErr w:type="spellStart"/>
            <w:r w:rsidRPr="005A4DC8">
              <w:rPr>
                <w:rFonts w:ascii="Tahoma" w:eastAsia="Tahoma" w:hAnsi="Tahoma" w:cs="Tahoma"/>
                <w:bCs/>
                <w:color w:val="808080"/>
                <w:sz w:val="18"/>
                <w:szCs w:val="18"/>
                <w:lang w:val="en-GB"/>
              </w:rPr>
              <w:t>Tucholskie</w:t>
            </w:r>
            <w:proofErr w:type="spellEnd"/>
            <w:r w:rsidRPr="005A4DC8">
              <w:rPr>
                <w:rFonts w:ascii="Tahoma" w:eastAsia="Tahoma" w:hAnsi="Tahoma" w:cs="Tahoma"/>
                <w:bCs/>
                <w:color w:val="808080"/>
                <w:sz w:val="18"/>
                <w:szCs w:val="18"/>
                <w:lang w:val="en-GB"/>
              </w:rPr>
              <w:t xml:space="preserve"> for numerous families. </w:t>
            </w:r>
          </w:p>
          <w:p w14:paraId="1DD7B6F9" w14:textId="77777777" w:rsidR="005A4DC8" w:rsidRDefault="005A4DC8" w:rsidP="005A4DC8">
            <w:pPr>
              <w:spacing w:line="360" w:lineRule="auto"/>
              <w:jc w:val="both"/>
              <w:rPr>
                <w:rFonts w:ascii="Tahoma" w:eastAsia="Tahoma" w:hAnsi="Tahoma" w:cs="Tahoma"/>
                <w:bCs/>
                <w:color w:val="808080"/>
                <w:sz w:val="18"/>
                <w:szCs w:val="18"/>
                <w:lang w:val="en-GB"/>
              </w:rPr>
            </w:pPr>
            <w:r w:rsidRPr="005A4DC8">
              <w:rPr>
                <w:rFonts w:ascii="Tahoma" w:eastAsia="Tahoma" w:hAnsi="Tahoma" w:cs="Tahoma"/>
                <w:bCs/>
                <w:color w:val="808080"/>
                <w:sz w:val="18"/>
                <w:szCs w:val="18"/>
                <w:lang w:val="en-GB"/>
              </w:rPr>
              <w:t xml:space="preserve">We created a new school room for the Energy Technical School in </w:t>
            </w:r>
            <w:proofErr w:type="spellStart"/>
            <w:r w:rsidRPr="005A4DC8">
              <w:rPr>
                <w:rFonts w:ascii="Tahoma" w:eastAsia="Tahoma" w:hAnsi="Tahoma" w:cs="Tahoma"/>
                <w:bCs/>
                <w:color w:val="808080"/>
                <w:sz w:val="18"/>
                <w:szCs w:val="18"/>
                <w:lang w:val="en-GB"/>
              </w:rPr>
              <w:t>Bełchatów</w:t>
            </w:r>
            <w:proofErr w:type="spellEnd"/>
            <w:r w:rsidRPr="005A4DC8">
              <w:rPr>
                <w:rFonts w:ascii="Tahoma" w:eastAsia="Tahoma" w:hAnsi="Tahoma" w:cs="Tahoma"/>
                <w:bCs/>
                <w:color w:val="808080"/>
                <w:sz w:val="18"/>
                <w:szCs w:val="18"/>
                <w:lang w:val="en-GB"/>
              </w:rPr>
              <w:t xml:space="preserve">. This is the award in the competition for the best CSR project as part of the "Internship that stays with you" action, which is an initiative of </w:t>
            </w:r>
            <w:proofErr w:type="spellStart"/>
            <w:r w:rsidRPr="005A4DC8">
              <w:rPr>
                <w:rFonts w:ascii="Tahoma" w:eastAsia="Tahoma" w:hAnsi="Tahoma" w:cs="Tahoma"/>
                <w:bCs/>
                <w:color w:val="808080"/>
                <w:sz w:val="18"/>
                <w:szCs w:val="18"/>
                <w:lang w:val="en-GB"/>
              </w:rPr>
              <w:t>Budimex</w:t>
            </w:r>
            <w:proofErr w:type="spellEnd"/>
            <w:r w:rsidRPr="005A4DC8">
              <w:rPr>
                <w:rFonts w:ascii="Tahoma" w:eastAsia="Tahoma" w:hAnsi="Tahoma" w:cs="Tahoma"/>
                <w:bCs/>
                <w:color w:val="808080"/>
                <w:sz w:val="18"/>
                <w:szCs w:val="18"/>
                <w:lang w:val="en-GB"/>
              </w:rPr>
              <w:t xml:space="preserve"> carried out in cooperation with the “</w:t>
            </w:r>
            <w:proofErr w:type="spellStart"/>
            <w:r w:rsidRPr="005A4DC8">
              <w:rPr>
                <w:rFonts w:ascii="Tahoma" w:eastAsia="Tahoma" w:hAnsi="Tahoma" w:cs="Tahoma"/>
                <w:bCs/>
                <w:color w:val="808080"/>
                <w:sz w:val="18"/>
                <w:szCs w:val="18"/>
                <w:lang w:val="en-GB"/>
              </w:rPr>
              <w:t>Zwolnieni</w:t>
            </w:r>
            <w:proofErr w:type="spellEnd"/>
            <w:r w:rsidRPr="005A4DC8">
              <w:rPr>
                <w:rFonts w:ascii="Tahoma" w:eastAsia="Tahoma" w:hAnsi="Tahoma" w:cs="Tahoma"/>
                <w:bCs/>
                <w:color w:val="808080"/>
                <w:sz w:val="18"/>
                <w:szCs w:val="18"/>
                <w:lang w:val="en-GB"/>
              </w:rPr>
              <w:t xml:space="preserve"> z </w:t>
            </w:r>
            <w:proofErr w:type="spellStart"/>
            <w:r w:rsidRPr="005A4DC8">
              <w:rPr>
                <w:rFonts w:ascii="Tahoma" w:eastAsia="Tahoma" w:hAnsi="Tahoma" w:cs="Tahoma"/>
                <w:bCs/>
                <w:color w:val="808080"/>
                <w:sz w:val="18"/>
                <w:szCs w:val="18"/>
                <w:lang w:val="en-GB"/>
              </w:rPr>
              <w:t>Teorii</w:t>
            </w:r>
            <w:proofErr w:type="spellEnd"/>
            <w:r w:rsidRPr="005A4DC8">
              <w:rPr>
                <w:rFonts w:ascii="Tahoma" w:eastAsia="Tahoma" w:hAnsi="Tahoma" w:cs="Tahoma"/>
                <w:bCs/>
                <w:color w:val="808080"/>
                <w:sz w:val="18"/>
                <w:szCs w:val="18"/>
                <w:lang w:val="en-GB"/>
              </w:rPr>
              <w:t xml:space="preserve">” Foundation.  The winners - a group of students from the Energy Technical School in </w:t>
            </w:r>
            <w:proofErr w:type="spellStart"/>
            <w:r w:rsidRPr="005A4DC8">
              <w:rPr>
                <w:rFonts w:ascii="Tahoma" w:eastAsia="Tahoma" w:hAnsi="Tahoma" w:cs="Tahoma"/>
                <w:bCs/>
                <w:color w:val="808080"/>
                <w:sz w:val="18"/>
                <w:szCs w:val="18"/>
                <w:lang w:val="en-GB"/>
              </w:rPr>
              <w:t>Bełchatów</w:t>
            </w:r>
            <w:proofErr w:type="spellEnd"/>
            <w:r w:rsidRPr="005A4DC8">
              <w:rPr>
                <w:rFonts w:ascii="Tahoma" w:eastAsia="Tahoma" w:hAnsi="Tahoma" w:cs="Tahoma"/>
                <w:bCs/>
                <w:color w:val="808080"/>
                <w:sz w:val="18"/>
                <w:szCs w:val="18"/>
                <w:lang w:val="en-GB"/>
              </w:rPr>
              <w:t xml:space="preserve"> - decided to use the construction skills they had acquired at school and renovated a flat for a family from Ukraine. We supported the “Lunchbox” campaign aimed at elementary school ‎first-year students in </w:t>
            </w:r>
            <w:proofErr w:type="spellStart"/>
            <w:r w:rsidRPr="005A4DC8">
              <w:rPr>
                <w:rFonts w:ascii="Tahoma" w:eastAsia="Tahoma" w:hAnsi="Tahoma" w:cs="Tahoma"/>
                <w:bCs/>
                <w:color w:val="808080"/>
                <w:sz w:val="18"/>
                <w:szCs w:val="18"/>
                <w:lang w:val="en-GB"/>
              </w:rPr>
              <w:t>Ełk</w:t>
            </w:r>
            <w:proofErr w:type="spellEnd"/>
            <w:r w:rsidRPr="005A4DC8">
              <w:rPr>
                <w:rFonts w:ascii="Tahoma" w:eastAsia="Tahoma" w:hAnsi="Tahoma" w:cs="Tahoma"/>
                <w:bCs/>
                <w:color w:val="808080"/>
                <w:sz w:val="18"/>
                <w:szCs w:val="18"/>
                <w:lang w:val="en-GB"/>
              </w:rPr>
              <w:t xml:space="preserve">. ‎ </w:t>
            </w:r>
          </w:p>
          <w:p w14:paraId="1CF8BB96" w14:textId="77777777" w:rsidR="005A4DC8" w:rsidRPr="005A4DC8" w:rsidRDefault="005A4DC8" w:rsidP="005A4DC8">
            <w:pPr>
              <w:spacing w:line="360" w:lineRule="auto"/>
              <w:jc w:val="both"/>
              <w:rPr>
                <w:rFonts w:ascii="Tahoma" w:eastAsia="Tahoma" w:hAnsi="Tahoma" w:cs="Tahoma"/>
                <w:bCs/>
                <w:color w:val="808080"/>
                <w:sz w:val="18"/>
                <w:szCs w:val="18"/>
                <w:lang w:val="en-GB"/>
              </w:rPr>
            </w:pPr>
          </w:p>
          <w:p w14:paraId="77933AE1" w14:textId="77777777" w:rsidR="005A4DC8" w:rsidRDefault="005A4DC8" w:rsidP="005A4DC8">
            <w:pPr>
              <w:spacing w:line="360" w:lineRule="auto"/>
              <w:jc w:val="both"/>
              <w:rPr>
                <w:rFonts w:ascii="Tahoma" w:eastAsia="Tahoma" w:hAnsi="Tahoma" w:cs="Tahoma"/>
                <w:bCs/>
                <w:color w:val="808080"/>
                <w:sz w:val="18"/>
                <w:szCs w:val="18"/>
                <w:lang w:val="en-GB"/>
              </w:rPr>
            </w:pPr>
            <w:r w:rsidRPr="005A4DC8">
              <w:rPr>
                <w:rFonts w:ascii="Tahoma" w:eastAsia="Tahoma" w:hAnsi="Tahoma" w:cs="Tahoma"/>
                <w:bCs/>
                <w:color w:val="808080"/>
                <w:sz w:val="18"/>
                <w:szCs w:val="18"/>
                <w:lang w:val="en-GB"/>
              </w:rPr>
              <w:t xml:space="preserve">More than 30 housing communities and cooperatives joined two editions ‎of the “Green Stop” programme in Warsaw. </w:t>
            </w:r>
            <w:proofErr w:type="spellStart"/>
            <w:r w:rsidRPr="005A4DC8">
              <w:rPr>
                <w:rFonts w:ascii="Tahoma" w:eastAsia="Tahoma" w:hAnsi="Tahoma" w:cs="Tahoma"/>
                <w:bCs/>
                <w:color w:val="808080"/>
                <w:sz w:val="18"/>
                <w:szCs w:val="18"/>
                <w:lang w:val="en-GB"/>
              </w:rPr>
              <w:t>Budimex</w:t>
            </w:r>
            <w:proofErr w:type="spellEnd"/>
            <w:r w:rsidRPr="005A4DC8">
              <w:rPr>
                <w:rFonts w:ascii="Tahoma" w:eastAsia="Tahoma" w:hAnsi="Tahoma" w:cs="Tahoma"/>
                <w:bCs/>
                <w:color w:val="808080"/>
                <w:sz w:val="18"/>
                <w:szCs w:val="18"/>
                <w:lang w:val="en-GB"/>
              </w:rPr>
              <w:t xml:space="preserve"> continues its internship programme for male and female students of construction technical schools. We started a collaboration with more than 40 technical schools and colleges in the field of internships and joint research. We locally supported more than 50 associations and foundations conducting support and educational activities in the vicinity of our construction sites. </w:t>
            </w:r>
          </w:p>
          <w:p w14:paraId="0D413B51" w14:textId="77777777" w:rsidR="005A4DC8" w:rsidRPr="005A4DC8" w:rsidRDefault="005A4DC8" w:rsidP="005A4DC8">
            <w:pPr>
              <w:spacing w:line="360" w:lineRule="auto"/>
              <w:jc w:val="both"/>
              <w:rPr>
                <w:rFonts w:ascii="Tahoma" w:eastAsia="Tahoma" w:hAnsi="Tahoma" w:cs="Tahoma"/>
                <w:bCs/>
                <w:color w:val="808080"/>
                <w:sz w:val="18"/>
                <w:szCs w:val="18"/>
                <w:lang w:val="en-GB"/>
              </w:rPr>
            </w:pPr>
          </w:p>
          <w:p w14:paraId="6646D46E" w14:textId="77777777" w:rsidR="005A4DC8" w:rsidRPr="005A4DC8" w:rsidRDefault="005A4DC8" w:rsidP="005A4DC8">
            <w:pPr>
              <w:spacing w:line="360" w:lineRule="auto"/>
              <w:jc w:val="both"/>
              <w:rPr>
                <w:rFonts w:ascii="Tahoma" w:eastAsia="Tahoma" w:hAnsi="Tahoma" w:cs="Tahoma"/>
                <w:bCs/>
                <w:color w:val="808080"/>
                <w:sz w:val="18"/>
                <w:szCs w:val="18"/>
                <w:lang w:val="en-GB"/>
              </w:rPr>
            </w:pPr>
            <w:r w:rsidRPr="005A4DC8">
              <w:rPr>
                <w:rFonts w:ascii="Tahoma" w:eastAsia="Tahoma" w:hAnsi="Tahoma" w:cs="Tahoma"/>
                <w:bCs/>
                <w:color w:val="808080"/>
                <w:sz w:val="18"/>
                <w:szCs w:val="18"/>
                <w:lang w:val="en-GB"/>
              </w:rPr>
              <w:t>‎</w:t>
            </w:r>
            <w:proofErr w:type="spellStart"/>
            <w:r w:rsidRPr="005A4DC8">
              <w:rPr>
                <w:rFonts w:ascii="Tahoma" w:eastAsia="Tahoma" w:hAnsi="Tahoma" w:cs="Tahoma"/>
                <w:bCs/>
                <w:color w:val="808080"/>
                <w:sz w:val="18"/>
                <w:szCs w:val="18"/>
                <w:lang w:val="en-GB"/>
              </w:rPr>
              <w:t>Budimex's</w:t>
            </w:r>
            <w:proofErr w:type="spellEnd"/>
            <w:r w:rsidRPr="005A4DC8">
              <w:rPr>
                <w:rFonts w:ascii="Tahoma" w:eastAsia="Tahoma" w:hAnsi="Tahoma" w:cs="Tahoma"/>
                <w:bCs/>
                <w:color w:val="808080"/>
                <w:sz w:val="18"/>
                <w:szCs w:val="18"/>
                <w:lang w:val="en-GB"/>
              </w:rPr>
              <w:t xml:space="preserve"> projects won prestigious awards. The modernization of the ‎Planetarium in </w:t>
            </w:r>
            <w:proofErr w:type="spellStart"/>
            <w:r w:rsidRPr="005A4DC8">
              <w:rPr>
                <w:rFonts w:ascii="Tahoma" w:eastAsia="Tahoma" w:hAnsi="Tahoma" w:cs="Tahoma"/>
                <w:bCs/>
                <w:color w:val="808080"/>
                <w:sz w:val="18"/>
                <w:szCs w:val="18"/>
                <w:lang w:val="en-GB"/>
              </w:rPr>
              <w:t>Chorzów</w:t>
            </w:r>
            <w:proofErr w:type="spellEnd"/>
            <w:r w:rsidRPr="005A4DC8">
              <w:rPr>
                <w:rFonts w:ascii="Tahoma" w:eastAsia="Tahoma" w:hAnsi="Tahoma" w:cs="Tahoma"/>
                <w:bCs/>
                <w:color w:val="808080"/>
                <w:sz w:val="18"/>
                <w:szCs w:val="18"/>
                <w:lang w:val="en-GB"/>
              </w:rPr>
              <w:t xml:space="preserve"> received the title of Modernization of the Year 2023 in ‎the 27th edition of the Modernization of the Year - Construction of the 21st ‎Century competition. The site carried out by </w:t>
            </w:r>
            <w:proofErr w:type="spellStart"/>
            <w:r w:rsidRPr="005A4DC8">
              <w:rPr>
                <w:rFonts w:ascii="Tahoma" w:eastAsia="Tahoma" w:hAnsi="Tahoma" w:cs="Tahoma"/>
                <w:bCs/>
                <w:color w:val="808080"/>
                <w:sz w:val="18"/>
                <w:szCs w:val="18"/>
                <w:lang w:val="en-GB"/>
              </w:rPr>
              <w:t>Budimex</w:t>
            </w:r>
            <w:proofErr w:type="spellEnd"/>
            <w:r w:rsidRPr="005A4DC8">
              <w:rPr>
                <w:rFonts w:ascii="Tahoma" w:eastAsia="Tahoma" w:hAnsi="Tahoma" w:cs="Tahoma"/>
                <w:bCs/>
                <w:color w:val="808080"/>
                <w:sz w:val="18"/>
                <w:szCs w:val="18"/>
                <w:lang w:val="en-GB"/>
              </w:rPr>
              <w:t xml:space="preserve"> in 2019 - 2022 ‎received the highest score from the jury in the category of public buildings.  More than ‎‎500 projects were submitted for the competition. Only the best 20 of them ‎were awarded. </w:t>
            </w:r>
            <w:proofErr w:type="spellStart"/>
            <w:r w:rsidRPr="005A4DC8">
              <w:rPr>
                <w:rFonts w:ascii="Tahoma" w:eastAsia="Tahoma" w:hAnsi="Tahoma" w:cs="Tahoma"/>
                <w:bCs/>
                <w:color w:val="808080"/>
                <w:sz w:val="18"/>
                <w:szCs w:val="18"/>
                <w:lang w:val="en-GB"/>
              </w:rPr>
              <w:t>Budimex</w:t>
            </w:r>
            <w:proofErr w:type="spellEnd"/>
            <w:r w:rsidRPr="005A4DC8">
              <w:rPr>
                <w:rFonts w:ascii="Tahoma" w:eastAsia="Tahoma" w:hAnsi="Tahoma" w:cs="Tahoma"/>
                <w:bCs/>
                <w:color w:val="808080"/>
                <w:sz w:val="18"/>
                <w:szCs w:val="18"/>
                <w:lang w:val="en-GB"/>
              </w:rPr>
              <w:t xml:space="preserve"> received 2 awards in the 2023 edition of the ‎‎"Construction Site of the Year" competition, organized by the </w:t>
            </w:r>
            <w:r w:rsidRPr="005A4DC8">
              <w:rPr>
                <w:rFonts w:ascii="Tahoma" w:eastAsia="Tahoma" w:hAnsi="Tahoma" w:cs="Tahoma"/>
                <w:bCs/>
                <w:color w:val="808080"/>
                <w:sz w:val="18"/>
                <w:szCs w:val="18"/>
                <w:lang w:val="en-GB"/>
              </w:rPr>
              <w:lastRenderedPageBreak/>
              <w:t xml:space="preserve">Polish Association of ‎Construction Engineers and Technicians. The construction of the </w:t>
            </w:r>
            <w:proofErr w:type="spellStart"/>
            <w:r w:rsidRPr="005A4DC8">
              <w:rPr>
                <w:rFonts w:ascii="Tahoma" w:eastAsia="Tahoma" w:hAnsi="Tahoma" w:cs="Tahoma"/>
                <w:bCs/>
                <w:color w:val="808080"/>
                <w:sz w:val="18"/>
                <w:szCs w:val="18"/>
                <w:lang w:val="en-GB"/>
              </w:rPr>
              <w:t>Łagiewnicka</w:t>
            </w:r>
            <w:proofErr w:type="spellEnd"/>
            <w:r w:rsidRPr="005A4DC8">
              <w:rPr>
                <w:rFonts w:ascii="Tahoma" w:eastAsia="Tahoma" w:hAnsi="Tahoma" w:cs="Tahoma"/>
                <w:bCs/>
                <w:color w:val="808080"/>
                <w:sz w:val="18"/>
                <w:szCs w:val="18"/>
                <w:lang w:val="en-GB"/>
              </w:rPr>
              <w:t xml:space="preserve"> Route in </w:t>
            </w:r>
            <w:proofErr w:type="spellStart"/>
            <w:r w:rsidRPr="005A4DC8">
              <w:rPr>
                <w:rFonts w:ascii="Tahoma" w:eastAsia="Tahoma" w:hAnsi="Tahoma" w:cs="Tahoma"/>
                <w:bCs/>
                <w:color w:val="808080"/>
                <w:sz w:val="18"/>
                <w:szCs w:val="18"/>
                <w:lang w:val="en-GB"/>
              </w:rPr>
              <w:t>Kraków</w:t>
            </w:r>
            <w:proofErr w:type="spellEnd"/>
            <w:r w:rsidRPr="005A4DC8">
              <w:rPr>
                <w:rFonts w:ascii="Tahoma" w:eastAsia="Tahoma" w:hAnsi="Tahoma" w:cs="Tahoma"/>
                <w:bCs/>
                <w:color w:val="808080"/>
                <w:sz w:val="18"/>
                <w:szCs w:val="18"/>
                <w:lang w:val="en-GB"/>
              </w:rPr>
              <w:t xml:space="preserve"> and the modernisation of the Institute of Thermal Engineering at the Warsaw University of Technology were the projects awarded with the Construction Oscars. </w:t>
            </w:r>
            <w:proofErr w:type="spellStart"/>
            <w:r w:rsidRPr="005A4DC8">
              <w:rPr>
                <w:rFonts w:ascii="Tahoma" w:eastAsia="Tahoma" w:hAnsi="Tahoma" w:cs="Tahoma"/>
                <w:bCs/>
                <w:color w:val="808080"/>
                <w:sz w:val="18"/>
                <w:szCs w:val="18"/>
                <w:lang w:val="en-GB"/>
              </w:rPr>
              <w:t>Budimex</w:t>
            </w:r>
            <w:proofErr w:type="spellEnd"/>
            <w:r w:rsidRPr="005A4DC8">
              <w:rPr>
                <w:rFonts w:ascii="Tahoma" w:eastAsia="Tahoma" w:hAnsi="Tahoma" w:cs="Tahoma"/>
                <w:bCs/>
                <w:color w:val="808080"/>
                <w:sz w:val="18"/>
                <w:szCs w:val="18"/>
                <w:lang w:val="en-GB"/>
              </w:rPr>
              <w:t xml:space="preserve"> was ranked among the top ten construction ‎companies in the world in the Financial Times - Diversity Leaders 2024 ‎ranking. The Polish company scored 71.6 out of 100 possible points and was ‎ahead of many leading players in the international market.  The award is the result of a consistent policy of supporting diversity and the professional development of women.</w:t>
            </w:r>
          </w:p>
          <w:p w14:paraId="5B731F0D" w14:textId="77777777" w:rsidR="005A4DC8" w:rsidRDefault="005A4DC8" w:rsidP="00433509">
            <w:pPr>
              <w:spacing w:line="360" w:lineRule="auto"/>
              <w:jc w:val="both"/>
              <w:rPr>
                <w:rFonts w:ascii="Tahoma" w:eastAsia="Tahoma" w:hAnsi="Tahoma" w:cs="Tahoma"/>
                <w:bCs/>
                <w:color w:val="808080"/>
                <w:sz w:val="18"/>
                <w:szCs w:val="18"/>
                <w:lang w:val="en-GB"/>
              </w:rPr>
            </w:pPr>
          </w:p>
          <w:p w14:paraId="640917F5" w14:textId="01E943D7" w:rsidR="005A4DC8" w:rsidRPr="00294955" w:rsidRDefault="005A4DC8" w:rsidP="00433509">
            <w:pPr>
              <w:spacing w:line="360" w:lineRule="auto"/>
              <w:jc w:val="both"/>
              <w:rPr>
                <w:rFonts w:ascii="Tahoma" w:eastAsia="Tahoma" w:hAnsi="Tahoma" w:cs="Tahoma"/>
                <w:bCs/>
                <w:color w:val="808080"/>
                <w:sz w:val="18"/>
                <w:szCs w:val="18"/>
                <w:lang w:val="en-GB"/>
              </w:rPr>
            </w:pPr>
          </w:p>
        </w:tc>
        <w:tc>
          <w:tcPr>
            <w:tcW w:w="2552" w:type="dxa"/>
          </w:tcPr>
          <w:p w14:paraId="4BE905EB" w14:textId="77777777" w:rsidR="00D824D3" w:rsidRPr="00294955" w:rsidRDefault="00D824D3">
            <w:pPr>
              <w:spacing w:line="360" w:lineRule="auto"/>
              <w:jc w:val="center"/>
              <w:rPr>
                <w:rFonts w:ascii="Tahoma" w:eastAsia="Tahoma" w:hAnsi="Tahoma" w:cs="Tahoma"/>
                <w:bCs/>
                <w:color w:val="FFC000"/>
                <w:lang w:val="en-GB"/>
              </w:rPr>
            </w:pPr>
          </w:p>
          <w:p w14:paraId="4594E223" w14:textId="77777777" w:rsidR="00D824D3" w:rsidRPr="00294955" w:rsidRDefault="00D824D3">
            <w:pPr>
              <w:spacing w:line="360" w:lineRule="auto"/>
              <w:jc w:val="center"/>
              <w:rPr>
                <w:rFonts w:ascii="Tahoma" w:eastAsia="Tahoma" w:hAnsi="Tahoma" w:cs="Tahoma"/>
                <w:bCs/>
                <w:color w:val="FFC000"/>
                <w:lang w:val="en-GB"/>
              </w:rPr>
            </w:pPr>
          </w:p>
          <w:p w14:paraId="7BB4236A" w14:textId="77777777" w:rsidR="00D824D3" w:rsidRPr="00294955" w:rsidRDefault="00D824D3">
            <w:pPr>
              <w:spacing w:line="360" w:lineRule="auto"/>
              <w:jc w:val="center"/>
              <w:rPr>
                <w:rFonts w:ascii="Tahoma" w:eastAsia="Tahoma" w:hAnsi="Tahoma" w:cs="Tahoma"/>
                <w:bCs/>
                <w:color w:val="FFC000"/>
                <w:lang w:val="en-GB"/>
              </w:rPr>
            </w:pPr>
          </w:p>
          <w:p w14:paraId="48BF9D62" w14:textId="77777777" w:rsidR="00D824D3" w:rsidRPr="00294955" w:rsidRDefault="00D824D3">
            <w:pPr>
              <w:spacing w:line="360" w:lineRule="auto"/>
              <w:jc w:val="center"/>
              <w:rPr>
                <w:rFonts w:ascii="Tahoma" w:eastAsia="Tahoma" w:hAnsi="Tahoma" w:cs="Tahoma"/>
                <w:bCs/>
                <w:color w:val="FFC000"/>
                <w:lang w:val="en-GB"/>
              </w:rPr>
            </w:pPr>
          </w:p>
          <w:p w14:paraId="7A058673" w14:textId="77777777" w:rsidR="00D824D3" w:rsidRPr="00294955" w:rsidRDefault="00D824D3">
            <w:pPr>
              <w:spacing w:line="360" w:lineRule="auto"/>
              <w:jc w:val="center"/>
              <w:rPr>
                <w:rFonts w:ascii="Tahoma" w:eastAsia="Tahoma" w:hAnsi="Tahoma" w:cs="Tahoma"/>
                <w:bCs/>
                <w:color w:val="FFC000"/>
                <w:lang w:val="en-GB"/>
              </w:rPr>
            </w:pPr>
          </w:p>
          <w:p w14:paraId="4103DF6A" w14:textId="77777777" w:rsidR="00D824D3" w:rsidRPr="00294955" w:rsidRDefault="00D824D3">
            <w:pPr>
              <w:spacing w:line="360" w:lineRule="auto"/>
              <w:jc w:val="center"/>
              <w:rPr>
                <w:rFonts w:ascii="Tahoma" w:eastAsia="Tahoma" w:hAnsi="Tahoma" w:cs="Tahoma"/>
                <w:bCs/>
                <w:color w:val="FFC000"/>
                <w:lang w:val="en-GB"/>
              </w:rPr>
            </w:pPr>
          </w:p>
          <w:p w14:paraId="4C9EC63D" w14:textId="77777777" w:rsidR="00D824D3" w:rsidRPr="00294955" w:rsidRDefault="00D824D3">
            <w:pPr>
              <w:spacing w:after="120" w:line="360" w:lineRule="auto"/>
              <w:rPr>
                <w:rFonts w:ascii="Verdana" w:eastAsia="Verdana" w:hAnsi="Verdana" w:cs="Verdana"/>
                <w:bCs/>
                <w:color w:val="FFC000"/>
                <w:sz w:val="20"/>
                <w:szCs w:val="20"/>
                <w:lang w:val="en-GB"/>
              </w:rPr>
            </w:pPr>
          </w:p>
          <w:p w14:paraId="0227FF1C" w14:textId="77777777" w:rsidR="00D824D3" w:rsidRPr="00294955" w:rsidRDefault="00637C06">
            <w:pPr>
              <w:spacing w:after="120" w:line="360" w:lineRule="auto"/>
              <w:rPr>
                <w:rFonts w:ascii="Verdana" w:eastAsia="Verdana" w:hAnsi="Verdana" w:cs="Verdana"/>
                <w:bCs/>
                <w:color w:val="FFC000"/>
                <w:sz w:val="20"/>
                <w:szCs w:val="20"/>
                <w:lang w:val="en-GB"/>
              </w:rPr>
            </w:pPr>
            <w:r w:rsidRPr="00294955">
              <w:rPr>
                <w:rFonts w:ascii="Verdana" w:eastAsia="Verdana" w:hAnsi="Verdana" w:cs="Verdana"/>
                <w:bCs/>
                <w:color w:val="FFC000"/>
                <w:sz w:val="20"/>
                <w:szCs w:val="20"/>
                <w:lang w:val="en-GB"/>
              </w:rPr>
              <w:t xml:space="preserve">Contact details: </w:t>
            </w:r>
          </w:p>
          <w:p w14:paraId="53728CB1" w14:textId="77777777" w:rsidR="00D824D3" w:rsidRPr="00294955" w:rsidRDefault="00637C06">
            <w:pPr>
              <w:spacing w:after="120" w:line="360" w:lineRule="auto"/>
              <w:rPr>
                <w:rFonts w:ascii="Verdana" w:eastAsia="Verdana" w:hAnsi="Verdana" w:cs="Verdana"/>
                <w:bCs/>
                <w:color w:val="808080"/>
                <w:sz w:val="18"/>
                <w:szCs w:val="18"/>
                <w:lang w:val="en-GB"/>
              </w:rPr>
            </w:pPr>
            <w:proofErr w:type="spellStart"/>
            <w:r w:rsidRPr="00294955">
              <w:rPr>
                <w:rFonts w:ascii="Verdana" w:eastAsia="Verdana" w:hAnsi="Verdana" w:cs="Verdana"/>
                <w:bCs/>
                <w:color w:val="808080"/>
                <w:sz w:val="18"/>
                <w:szCs w:val="18"/>
                <w:lang w:val="en-GB"/>
              </w:rPr>
              <w:t>Michał</w:t>
            </w:r>
            <w:proofErr w:type="spellEnd"/>
            <w:r w:rsidRPr="00294955">
              <w:rPr>
                <w:rFonts w:ascii="Verdana" w:eastAsia="Verdana" w:hAnsi="Verdana" w:cs="Verdana"/>
                <w:bCs/>
                <w:color w:val="808080"/>
                <w:sz w:val="18"/>
                <w:szCs w:val="18"/>
                <w:lang w:val="en-GB"/>
              </w:rPr>
              <w:t xml:space="preserve"> </w:t>
            </w:r>
            <w:proofErr w:type="spellStart"/>
            <w:r w:rsidRPr="00294955">
              <w:rPr>
                <w:rFonts w:ascii="Verdana" w:eastAsia="Verdana" w:hAnsi="Verdana" w:cs="Verdana"/>
                <w:bCs/>
                <w:color w:val="808080"/>
                <w:sz w:val="18"/>
                <w:szCs w:val="18"/>
                <w:lang w:val="en-GB"/>
              </w:rPr>
              <w:t>Wrzosek</w:t>
            </w:r>
            <w:proofErr w:type="spellEnd"/>
            <w:r w:rsidRPr="00294955">
              <w:rPr>
                <w:rFonts w:ascii="Verdana" w:eastAsia="Verdana" w:hAnsi="Verdana" w:cs="Verdana"/>
                <w:bCs/>
                <w:color w:val="808080"/>
                <w:sz w:val="18"/>
                <w:szCs w:val="18"/>
                <w:lang w:val="en-GB"/>
              </w:rPr>
              <w:t>, spokesperson</w:t>
            </w:r>
          </w:p>
          <w:p w14:paraId="6C8C52FE" w14:textId="77777777" w:rsidR="00D824D3" w:rsidRPr="00294955" w:rsidRDefault="00637C06">
            <w:pPr>
              <w:spacing w:line="360" w:lineRule="auto"/>
              <w:rPr>
                <w:rFonts w:ascii="Verdana" w:eastAsia="Verdana" w:hAnsi="Verdana" w:cs="Verdana"/>
                <w:bCs/>
                <w:color w:val="808080"/>
                <w:sz w:val="14"/>
                <w:szCs w:val="14"/>
                <w:lang w:val="en-GB"/>
              </w:rPr>
            </w:pPr>
            <w:r w:rsidRPr="00294955">
              <w:rPr>
                <w:rFonts w:ascii="Verdana" w:eastAsia="Verdana" w:hAnsi="Verdana" w:cs="Verdana"/>
                <w:bCs/>
                <w:color w:val="808080"/>
                <w:sz w:val="14"/>
                <w:szCs w:val="14"/>
                <w:lang w:val="en-GB"/>
              </w:rPr>
              <w:t xml:space="preserve">tel. (22) 62 36 164, 512 478 522, </w:t>
            </w:r>
          </w:p>
          <w:p w14:paraId="5E58D24F" w14:textId="77777777" w:rsidR="00D824D3" w:rsidRPr="00294955" w:rsidRDefault="00637C06">
            <w:pPr>
              <w:spacing w:line="360" w:lineRule="auto"/>
              <w:rPr>
                <w:rFonts w:ascii="Verdana" w:eastAsia="Verdana" w:hAnsi="Verdana" w:cs="Verdana"/>
                <w:bCs/>
                <w:color w:val="808080"/>
                <w:sz w:val="14"/>
                <w:szCs w:val="14"/>
                <w:lang w:val="en-GB"/>
              </w:rPr>
            </w:pPr>
            <w:hyperlink r:id="rId13">
              <w:r w:rsidRPr="00294955">
                <w:rPr>
                  <w:rFonts w:ascii="Verdana" w:eastAsia="Verdana" w:hAnsi="Verdana" w:cs="Verdana"/>
                  <w:color w:val="808080"/>
                  <w:sz w:val="14"/>
                  <w:szCs w:val="14"/>
                  <w:u w:val="single"/>
                  <w:lang w:val="en-GB"/>
                </w:rPr>
                <w:t>michal.wrzosek@budimex.pl</w:t>
              </w:r>
            </w:hyperlink>
          </w:p>
          <w:p w14:paraId="1088FA3E" w14:textId="77777777" w:rsidR="00D824D3" w:rsidRPr="00294955" w:rsidRDefault="00637C06">
            <w:pPr>
              <w:spacing w:before="280" w:after="280" w:line="360" w:lineRule="auto"/>
              <w:jc w:val="both"/>
              <w:rPr>
                <w:rFonts w:ascii="Tahoma" w:eastAsia="Tahoma" w:hAnsi="Tahoma" w:cs="Tahoma"/>
                <w:bCs/>
                <w:color w:val="7F7F7F"/>
                <w:sz w:val="14"/>
                <w:szCs w:val="14"/>
                <w:lang w:val="en-GB"/>
              </w:rPr>
            </w:pPr>
            <w:hyperlink r:id="rId14">
              <w:r w:rsidRPr="00294955">
                <w:rPr>
                  <w:rFonts w:ascii="Tahoma" w:eastAsia="Tahoma" w:hAnsi="Tahoma" w:cs="Tahoma"/>
                  <w:color w:val="7F7F7F"/>
                  <w:sz w:val="14"/>
                  <w:szCs w:val="14"/>
                  <w:u w:val="single"/>
                  <w:lang w:val="en-GB"/>
                </w:rPr>
                <w:t>www.media.budimex.pl</w:t>
              </w:r>
            </w:hyperlink>
          </w:p>
          <w:p w14:paraId="71F4D252" w14:textId="77777777" w:rsidR="00D824D3" w:rsidRPr="00294955" w:rsidRDefault="00D824D3">
            <w:pPr>
              <w:spacing w:line="360" w:lineRule="auto"/>
              <w:jc w:val="center"/>
              <w:rPr>
                <w:rFonts w:ascii="Tahoma" w:eastAsia="Tahoma" w:hAnsi="Tahoma" w:cs="Tahoma"/>
                <w:bCs/>
                <w:color w:val="FFC000"/>
                <w:lang w:val="en-GB"/>
              </w:rPr>
            </w:pPr>
          </w:p>
          <w:p w14:paraId="58357DA9" w14:textId="77777777" w:rsidR="00D824D3" w:rsidRPr="00294955" w:rsidRDefault="00D824D3">
            <w:pPr>
              <w:spacing w:line="360" w:lineRule="auto"/>
              <w:jc w:val="center"/>
              <w:rPr>
                <w:rFonts w:ascii="Tahoma" w:eastAsia="Tahoma" w:hAnsi="Tahoma" w:cs="Tahoma"/>
                <w:bCs/>
                <w:color w:val="FFC000"/>
                <w:lang w:val="en-GB"/>
              </w:rPr>
            </w:pPr>
          </w:p>
          <w:p w14:paraId="1722AF90" w14:textId="77777777" w:rsidR="00D824D3" w:rsidRPr="00294955" w:rsidRDefault="00D824D3">
            <w:pPr>
              <w:spacing w:line="360" w:lineRule="auto"/>
              <w:jc w:val="center"/>
              <w:rPr>
                <w:rFonts w:ascii="Tahoma" w:eastAsia="Tahoma" w:hAnsi="Tahoma" w:cs="Tahoma"/>
                <w:bCs/>
                <w:color w:val="FFC000"/>
                <w:lang w:val="en-GB"/>
              </w:rPr>
            </w:pPr>
          </w:p>
          <w:p w14:paraId="28B5E1C2" w14:textId="77777777" w:rsidR="00D824D3" w:rsidRPr="00294955" w:rsidRDefault="00D824D3">
            <w:pPr>
              <w:spacing w:line="360" w:lineRule="auto"/>
              <w:jc w:val="center"/>
              <w:rPr>
                <w:rFonts w:ascii="Tahoma" w:eastAsia="Tahoma" w:hAnsi="Tahoma" w:cs="Tahoma"/>
                <w:bCs/>
                <w:color w:val="FFC000"/>
                <w:lang w:val="en-GB"/>
              </w:rPr>
            </w:pPr>
          </w:p>
        </w:tc>
      </w:tr>
    </w:tbl>
    <w:p w14:paraId="58356856" w14:textId="77777777" w:rsidR="005A4DC8" w:rsidRDefault="005A4DC8" w:rsidP="00AF0EC9">
      <w:pPr>
        <w:spacing w:line="360" w:lineRule="auto"/>
        <w:ind w:right="2552"/>
        <w:jc w:val="both"/>
        <w:rPr>
          <w:rFonts w:ascii="Tahoma" w:eastAsia="Tahoma" w:hAnsi="Tahoma" w:cs="Tahoma"/>
          <w:b/>
          <w:bCs/>
          <w:color w:val="808080"/>
          <w:sz w:val="18"/>
          <w:szCs w:val="18"/>
          <w:lang w:val="en-GB"/>
        </w:rPr>
      </w:pPr>
    </w:p>
    <w:p w14:paraId="58FD48A9" w14:textId="77777777" w:rsidR="00AF0EC9" w:rsidRPr="00294955" w:rsidRDefault="00AF0EC9" w:rsidP="00AF0EC9">
      <w:pPr>
        <w:spacing w:line="360" w:lineRule="auto"/>
        <w:ind w:right="2552"/>
        <w:jc w:val="both"/>
        <w:rPr>
          <w:rFonts w:ascii="Tahoma" w:eastAsia="Tahoma" w:hAnsi="Tahoma" w:cs="Tahoma"/>
          <w:color w:val="808080"/>
          <w:sz w:val="18"/>
          <w:szCs w:val="18"/>
          <w:lang w:val="en-GB"/>
        </w:rPr>
      </w:pPr>
    </w:p>
    <w:sectPr w:rsidR="00AF0EC9" w:rsidRPr="00294955" w:rsidSect="009050C6">
      <w:headerReference w:type="even" r:id="rId15"/>
      <w:headerReference w:type="default" r:id="rId16"/>
      <w:footerReference w:type="even" r:id="rId17"/>
      <w:footerReference w:type="default" r:id="rId18"/>
      <w:headerReference w:type="first" r:id="rId19"/>
      <w:footerReference w:type="first" r:id="rId20"/>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0E033" w14:textId="77777777" w:rsidR="00637C06" w:rsidRDefault="00637C06">
      <w:pPr>
        <w:spacing w:after="0" w:line="240" w:lineRule="auto"/>
      </w:pPr>
      <w:r>
        <w:separator/>
      </w:r>
    </w:p>
  </w:endnote>
  <w:endnote w:type="continuationSeparator" w:id="0">
    <w:p w14:paraId="78458F0A" w14:textId="77777777" w:rsidR="00637C06" w:rsidRDefault="0063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69C2F"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D556"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549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53267" w14:textId="77777777" w:rsidR="00637C06" w:rsidRDefault="00637C06">
      <w:pPr>
        <w:spacing w:after="0" w:line="240" w:lineRule="auto"/>
      </w:pPr>
      <w:r>
        <w:separator/>
      </w:r>
    </w:p>
  </w:footnote>
  <w:footnote w:type="continuationSeparator" w:id="0">
    <w:p w14:paraId="20F71B49" w14:textId="77777777" w:rsidR="00637C06" w:rsidRDefault="0063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EA696"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0713" w14:textId="77777777" w:rsidR="00D824D3" w:rsidRDefault="00637C06">
    <w:pPr>
      <w:pBdr>
        <w:top w:val="nil"/>
        <w:left w:val="nil"/>
        <w:bottom w:val="nil"/>
        <w:right w:val="nil"/>
        <w:between w:val="nil"/>
      </w:pBdr>
      <w:tabs>
        <w:tab w:val="left" w:pos="785"/>
        <w:tab w:val="left" w:pos="3828"/>
        <w:tab w:val="center" w:pos="4536"/>
        <w:tab w:val="right" w:pos="9072"/>
      </w:tabs>
      <w:spacing w:after="0" w:line="240" w:lineRule="auto"/>
      <w:rPr>
        <w:rFonts w:ascii="Tahoma" w:eastAsia="Tahoma" w:hAnsi="Tahoma" w:cs="Tahoma"/>
        <w:b/>
        <w:color w:val="808080"/>
        <w:sz w:val="28"/>
        <w:szCs w:val="28"/>
      </w:rPr>
    </w:pPr>
    <w:r>
      <w:rPr>
        <w:noProof/>
      </w:rPr>
      <w:drawing>
        <wp:anchor distT="0" distB="0" distL="114300" distR="114300" simplePos="0" relativeHeight="251658240" behindDoc="0" locked="0" layoutInCell="1" allowOverlap="1" wp14:anchorId="6D437291" wp14:editId="4F8F07F5">
          <wp:simplePos x="0" y="0"/>
          <wp:positionH relativeFrom="column">
            <wp:posOffset>764</wp:posOffset>
          </wp:positionH>
          <wp:positionV relativeFrom="paragraph">
            <wp:posOffset>693</wp:posOffset>
          </wp:positionV>
          <wp:extent cx="1396800" cy="478800"/>
          <wp:effectExtent l="0" t="0" r="0" b="0"/>
          <wp:wrapNone/>
          <wp:docPr id="2107996332" name="image3.jpg"/>
          <wp:cNvGraphicFramePr/>
          <a:graphic xmlns:a="http://schemas.openxmlformats.org/drawingml/2006/main">
            <a:graphicData uri="http://schemas.openxmlformats.org/drawingml/2006/picture">
              <pic:pic xmlns:pic="http://schemas.openxmlformats.org/drawingml/2006/picture">
                <pic:nvPicPr>
                  <pic:cNvPr id="2107996332" name="image3.jpg"/>
                  <pic:cNvPicPr/>
                </pic:nvPicPr>
                <pic:blipFill>
                  <a:blip r:embed="rId1"/>
                  <a:stretch>
                    <a:fillRect/>
                  </a:stretch>
                </pic:blipFill>
                <pic:spPr>
                  <a:xfrm>
                    <a:off x="0" y="0"/>
                    <a:ext cx="1396800" cy="478800"/>
                  </a:xfrm>
                  <a:prstGeom prst="rect">
                    <a:avLst/>
                  </a:prstGeom>
                </pic:spPr>
              </pic:pic>
            </a:graphicData>
          </a:graphic>
        </wp:anchor>
      </w:drawing>
    </w:r>
  </w:p>
  <w:p w14:paraId="495F2491" w14:textId="77777777" w:rsidR="00D824D3" w:rsidRDefault="00637C06">
    <w:pPr>
      <w:pBdr>
        <w:top w:val="nil"/>
        <w:left w:val="nil"/>
        <w:bottom w:val="nil"/>
        <w:right w:val="nil"/>
        <w:between w:val="nil"/>
      </w:pBdr>
      <w:tabs>
        <w:tab w:val="left" w:pos="785"/>
        <w:tab w:val="center" w:pos="4536"/>
        <w:tab w:val="right" w:pos="9072"/>
      </w:tabs>
      <w:spacing w:after="0" w:line="240" w:lineRule="auto"/>
      <w:jc w:val="right"/>
      <w:rPr>
        <w:rFonts w:ascii="Tahoma" w:eastAsia="Tahoma" w:hAnsi="Tahoma" w:cs="Tahoma"/>
        <w:b/>
        <w:color w:val="808080"/>
        <w:sz w:val="28"/>
        <w:szCs w:val="28"/>
      </w:rPr>
    </w:pPr>
    <w:r>
      <w:rPr>
        <w:rFonts w:ascii="Tahoma" w:eastAsia="Tahoma" w:hAnsi="Tahoma" w:cs="Tahoma"/>
        <w:b/>
        <w:bCs/>
        <w:color w:val="808080"/>
        <w:sz w:val="28"/>
        <w:szCs w:val="28"/>
        <w:lang w:val="en-US"/>
      </w:rPr>
      <w:t>Press release</w:t>
    </w:r>
  </w:p>
  <w:p w14:paraId="620A9F26" w14:textId="77777777" w:rsidR="00D824D3" w:rsidRDefault="00D824D3">
    <w:pPr>
      <w:pBdr>
        <w:top w:val="nil"/>
        <w:left w:val="nil"/>
        <w:bottom w:val="nil"/>
        <w:right w:val="nil"/>
        <w:between w:val="nil"/>
      </w:pBdr>
      <w:tabs>
        <w:tab w:val="left" w:pos="785"/>
        <w:tab w:val="center" w:pos="4536"/>
        <w:tab w:val="right" w:pos="9072"/>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AE9E8"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672"/>
    <w:multiLevelType w:val="multilevel"/>
    <w:tmpl w:val="CC9AE5D8"/>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9235F9D"/>
    <w:multiLevelType w:val="hybridMultilevel"/>
    <w:tmpl w:val="8EA4C3A2"/>
    <w:lvl w:ilvl="0" w:tplc="D52CA37A">
      <w:start w:val="1"/>
      <w:numFmt w:val="bullet"/>
      <w:lvlText w:val=""/>
      <w:lvlJc w:val="left"/>
      <w:pPr>
        <w:ind w:left="1440" w:hanging="360"/>
      </w:pPr>
      <w:rPr>
        <w:rFonts w:ascii="Symbol" w:hAnsi="Symbol"/>
      </w:rPr>
    </w:lvl>
    <w:lvl w:ilvl="1" w:tplc="22BCC7F2">
      <w:start w:val="1"/>
      <w:numFmt w:val="bullet"/>
      <w:lvlText w:val=""/>
      <w:lvlJc w:val="left"/>
      <w:pPr>
        <w:ind w:left="1440" w:hanging="360"/>
      </w:pPr>
      <w:rPr>
        <w:rFonts w:ascii="Symbol" w:hAnsi="Symbol"/>
      </w:rPr>
    </w:lvl>
    <w:lvl w:ilvl="2" w:tplc="231C73AA">
      <w:start w:val="1"/>
      <w:numFmt w:val="bullet"/>
      <w:lvlText w:val=""/>
      <w:lvlJc w:val="left"/>
      <w:pPr>
        <w:ind w:left="1440" w:hanging="360"/>
      </w:pPr>
      <w:rPr>
        <w:rFonts w:ascii="Symbol" w:hAnsi="Symbol"/>
      </w:rPr>
    </w:lvl>
    <w:lvl w:ilvl="3" w:tplc="A31CDBF2">
      <w:start w:val="1"/>
      <w:numFmt w:val="bullet"/>
      <w:lvlText w:val=""/>
      <w:lvlJc w:val="left"/>
      <w:pPr>
        <w:ind w:left="1440" w:hanging="360"/>
      </w:pPr>
      <w:rPr>
        <w:rFonts w:ascii="Symbol" w:hAnsi="Symbol"/>
      </w:rPr>
    </w:lvl>
    <w:lvl w:ilvl="4" w:tplc="8C3C4616">
      <w:start w:val="1"/>
      <w:numFmt w:val="bullet"/>
      <w:lvlText w:val=""/>
      <w:lvlJc w:val="left"/>
      <w:pPr>
        <w:ind w:left="1440" w:hanging="360"/>
      </w:pPr>
      <w:rPr>
        <w:rFonts w:ascii="Symbol" w:hAnsi="Symbol"/>
      </w:rPr>
    </w:lvl>
    <w:lvl w:ilvl="5" w:tplc="2F867EF4">
      <w:start w:val="1"/>
      <w:numFmt w:val="bullet"/>
      <w:lvlText w:val=""/>
      <w:lvlJc w:val="left"/>
      <w:pPr>
        <w:ind w:left="1440" w:hanging="360"/>
      </w:pPr>
      <w:rPr>
        <w:rFonts w:ascii="Symbol" w:hAnsi="Symbol"/>
      </w:rPr>
    </w:lvl>
    <w:lvl w:ilvl="6" w:tplc="D0AE26AC">
      <w:start w:val="1"/>
      <w:numFmt w:val="bullet"/>
      <w:lvlText w:val=""/>
      <w:lvlJc w:val="left"/>
      <w:pPr>
        <w:ind w:left="1440" w:hanging="360"/>
      </w:pPr>
      <w:rPr>
        <w:rFonts w:ascii="Symbol" w:hAnsi="Symbol"/>
      </w:rPr>
    </w:lvl>
    <w:lvl w:ilvl="7" w:tplc="0388EA0C">
      <w:start w:val="1"/>
      <w:numFmt w:val="bullet"/>
      <w:lvlText w:val=""/>
      <w:lvlJc w:val="left"/>
      <w:pPr>
        <w:ind w:left="1440" w:hanging="360"/>
      </w:pPr>
      <w:rPr>
        <w:rFonts w:ascii="Symbol" w:hAnsi="Symbol"/>
      </w:rPr>
    </w:lvl>
    <w:lvl w:ilvl="8" w:tplc="6D74530C">
      <w:start w:val="1"/>
      <w:numFmt w:val="bullet"/>
      <w:lvlText w:val=""/>
      <w:lvlJc w:val="left"/>
      <w:pPr>
        <w:ind w:left="1440" w:hanging="360"/>
      </w:pPr>
      <w:rPr>
        <w:rFonts w:ascii="Symbol" w:hAnsi="Symbol"/>
      </w:rPr>
    </w:lvl>
  </w:abstractNum>
  <w:abstractNum w:abstractNumId="2">
    <w:nsid w:val="2ABB07B9"/>
    <w:multiLevelType w:val="hybridMultilevel"/>
    <w:tmpl w:val="FFAAB1F4"/>
    <w:lvl w:ilvl="0" w:tplc="F5D0B6DA">
      <w:start w:val="1"/>
      <w:numFmt w:val="bullet"/>
      <w:lvlText w:val=""/>
      <w:lvlJc w:val="left"/>
      <w:pPr>
        <w:ind w:left="720" w:hanging="360"/>
      </w:pPr>
      <w:rPr>
        <w:rFonts w:ascii="Wingdings" w:hAnsi="Wingdings" w:hint="default"/>
        <w:color w:val="F2B800"/>
        <w:sz w:val="22"/>
      </w:rPr>
    </w:lvl>
    <w:lvl w:ilvl="1" w:tplc="67E2A090" w:tentative="1">
      <w:start w:val="1"/>
      <w:numFmt w:val="bullet"/>
      <w:lvlText w:val="o"/>
      <w:lvlJc w:val="left"/>
      <w:pPr>
        <w:ind w:left="1440" w:hanging="360"/>
      </w:pPr>
      <w:rPr>
        <w:rFonts w:ascii="Courier New" w:hAnsi="Courier New" w:cs="Courier New" w:hint="default"/>
      </w:rPr>
    </w:lvl>
    <w:lvl w:ilvl="2" w:tplc="344CA9E0" w:tentative="1">
      <w:start w:val="1"/>
      <w:numFmt w:val="bullet"/>
      <w:lvlText w:val=""/>
      <w:lvlJc w:val="left"/>
      <w:pPr>
        <w:ind w:left="2160" w:hanging="360"/>
      </w:pPr>
      <w:rPr>
        <w:rFonts w:ascii="Wingdings" w:hAnsi="Wingdings" w:hint="default"/>
      </w:rPr>
    </w:lvl>
    <w:lvl w:ilvl="3" w:tplc="A9A484A6" w:tentative="1">
      <w:start w:val="1"/>
      <w:numFmt w:val="bullet"/>
      <w:lvlText w:val=""/>
      <w:lvlJc w:val="left"/>
      <w:pPr>
        <w:ind w:left="2880" w:hanging="360"/>
      </w:pPr>
      <w:rPr>
        <w:rFonts w:ascii="Symbol" w:hAnsi="Symbol" w:hint="default"/>
      </w:rPr>
    </w:lvl>
    <w:lvl w:ilvl="4" w:tplc="57BA0896" w:tentative="1">
      <w:start w:val="1"/>
      <w:numFmt w:val="bullet"/>
      <w:lvlText w:val="o"/>
      <w:lvlJc w:val="left"/>
      <w:pPr>
        <w:ind w:left="3600" w:hanging="360"/>
      </w:pPr>
      <w:rPr>
        <w:rFonts w:ascii="Courier New" w:hAnsi="Courier New" w:cs="Courier New" w:hint="default"/>
      </w:rPr>
    </w:lvl>
    <w:lvl w:ilvl="5" w:tplc="CF04803C" w:tentative="1">
      <w:start w:val="1"/>
      <w:numFmt w:val="bullet"/>
      <w:lvlText w:val=""/>
      <w:lvlJc w:val="left"/>
      <w:pPr>
        <w:ind w:left="4320" w:hanging="360"/>
      </w:pPr>
      <w:rPr>
        <w:rFonts w:ascii="Wingdings" w:hAnsi="Wingdings" w:hint="default"/>
      </w:rPr>
    </w:lvl>
    <w:lvl w:ilvl="6" w:tplc="DA6CF9E0" w:tentative="1">
      <w:start w:val="1"/>
      <w:numFmt w:val="bullet"/>
      <w:lvlText w:val=""/>
      <w:lvlJc w:val="left"/>
      <w:pPr>
        <w:ind w:left="5040" w:hanging="360"/>
      </w:pPr>
      <w:rPr>
        <w:rFonts w:ascii="Symbol" w:hAnsi="Symbol" w:hint="default"/>
      </w:rPr>
    </w:lvl>
    <w:lvl w:ilvl="7" w:tplc="9D622E4C" w:tentative="1">
      <w:start w:val="1"/>
      <w:numFmt w:val="bullet"/>
      <w:lvlText w:val="o"/>
      <w:lvlJc w:val="left"/>
      <w:pPr>
        <w:ind w:left="5760" w:hanging="360"/>
      </w:pPr>
      <w:rPr>
        <w:rFonts w:ascii="Courier New" w:hAnsi="Courier New" w:cs="Courier New" w:hint="default"/>
      </w:rPr>
    </w:lvl>
    <w:lvl w:ilvl="8" w:tplc="71346E76" w:tentative="1">
      <w:start w:val="1"/>
      <w:numFmt w:val="bullet"/>
      <w:lvlText w:val=""/>
      <w:lvlJc w:val="left"/>
      <w:pPr>
        <w:ind w:left="6480" w:hanging="360"/>
      </w:pPr>
      <w:rPr>
        <w:rFonts w:ascii="Wingdings" w:hAnsi="Wingdings" w:hint="default"/>
      </w:rPr>
    </w:lvl>
  </w:abstractNum>
  <w:abstractNum w:abstractNumId="3">
    <w:nsid w:val="2E6C0F3B"/>
    <w:multiLevelType w:val="hybridMultilevel"/>
    <w:tmpl w:val="049630C4"/>
    <w:lvl w:ilvl="0" w:tplc="50482BE2">
      <w:start w:val="1"/>
      <w:numFmt w:val="bullet"/>
      <w:lvlText w:val="•"/>
      <w:lvlJc w:val="left"/>
      <w:pPr>
        <w:tabs>
          <w:tab w:val="num" w:pos="720"/>
        </w:tabs>
        <w:ind w:left="720" w:hanging="360"/>
      </w:pPr>
      <w:rPr>
        <w:rFonts w:ascii="Arial" w:hAnsi="Arial" w:hint="default"/>
      </w:rPr>
    </w:lvl>
    <w:lvl w:ilvl="1" w:tplc="D5DC127E" w:tentative="1">
      <w:start w:val="1"/>
      <w:numFmt w:val="bullet"/>
      <w:lvlText w:val="•"/>
      <w:lvlJc w:val="left"/>
      <w:pPr>
        <w:tabs>
          <w:tab w:val="num" w:pos="1440"/>
        </w:tabs>
        <w:ind w:left="1440" w:hanging="360"/>
      </w:pPr>
      <w:rPr>
        <w:rFonts w:ascii="Arial" w:hAnsi="Arial" w:hint="default"/>
      </w:rPr>
    </w:lvl>
    <w:lvl w:ilvl="2" w:tplc="DC924F5C" w:tentative="1">
      <w:start w:val="1"/>
      <w:numFmt w:val="bullet"/>
      <w:lvlText w:val="•"/>
      <w:lvlJc w:val="left"/>
      <w:pPr>
        <w:tabs>
          <w:tab w:val="num" w:pos="2160"/>
        </w:tabs>
        <w:ind w:left="2160" w:hanging="360"/>
      </w:pPr>
      <w:rPr>
        <w:rFonts w:ascii="Arial" w:hAnsi="Arial" w:hint="default"/>
      </w:rPr>
    </w:lvl>
    <w:lvl w:ilvl="3" w:tplc="EBB4F936" w:tentative="1">
      <w:start w:val="1"/>
      <w:numFmt w:val="bullet"/>
      <w:lvlText w:val="•"/>
      <w:lvlJc w:val="left"/>
      <w:pPr>
        <w:tabs>
          <w:tab w:val="num" w:pos="2880"/>
        </w:tabs>
        <w:ind w:left="2880" w:hanging="360"/>
      </w:pPr>
      <w:rPr>
        <w:rFonts w:ascii="Arial" w:hAnsi="Arial" w:hint="default"/>
      </w:rPr>
    </w:lvl>
    <w:lvl w:ilvl="4" w:tplc="417C7E74" w:tentative="1">
      <w:start w:val="1"/>
      <w:numFmt w:val="bullet"/>
      <w:lvlText w:val="•"/>
      <w:lvlJc w:val="left"/>
      <w:pPr>
        <w:tabs>
          <w:tab w:val="num" w:pos="3600"/>
        </w:tabs>
        <w:ind w:left="3600" w:hanging="360"/>
      </w:pPr>
      <w:rPr>
        <w:rFonts w:ascii="Arial" w:hAnsi="Arial" w:hint="default"/>
      </w:rPr>
    </w:lvl>
    <w:lvl w:ilvl="5" w:tplc="8D2414B6" w:tentative="1">
      <w:start w:val="1"/>
      <w:numFmt w:val="bullet"/>
      <w:lvlText w:val="•"/>
      <w:lvlJc w:val="left"/>
      <w:pPr>
        <w:tabs>
          <w:tab w:val="num" w:pos="4320"/>
        </w:tabs>
        <w:ind w:left="4320" w:hanging="360"/>
      </w:pPr>
      <w:rPr>
        <w:rFonts w:ascii="Arial" w:hAnsi="Arial" w:hint="default"/>
      </w:rPr>
    </w:lvl>
    <w:lvl w:ilvl="6" w:tplc="F1061FB2" w:tentative="1">
      <w:start w:val="1"/>
      <w:numFmt w:val="bullet"/>
      <w:lvlText w:val="•"/>
      <w:lvlJc w:val="left"/>
      <w:pPr>
        <w:tabs>
          <w:tab w:val="num" w:pos="5040"/>
        </w:tabs>
        <w:ind w:left="5040" w:hanging="360"/>
      </w:pPr>
      <w:rPr>
        <w:rFonts w:ascii="Arial" w:hAnsi="Arial" w:hint="default"/>
      </w:rPr>
    </w:lvl>
    <w:lvl w:ilvl="7" w:tplc="74E0589A" w:tentative="1">
      <w:start w:val="1"/>
      <w:numFmt w:val="bullet"/>
      <w:lvlText w:val="•"/>
      <w:lvlJc w:val="left"/>
      <w:pPr>
        <w:tabs>
          <w:tab w:val="num" w:pos="5760"/>
        </w:tabs>
        <w:ind w:left="5760" w:hanging="360"/>
      </w:pPr>
      <w:rPr>
        <w:rFonts w:ascii="Arial" w:hAnsi="Arial" w:hint="default"/>
      </w:rPr>
    </w:lvl>
    <w:lvl w:ilvl="8" w:tplc="7A00EA06" w:tentative="1">
      <w:start w:val="1"/>
      <w:numFmt w:val="bullet"/>
      <w:lvlText w:val="•"/>
      <w:lvlJc w:val="left"/>
      <w:pPr>
        <w:tabs>
          <w:tab w:val="num" w:pos="6480"/>
        </w:tabs>
        <w:ind w:left="6480" w:hanging="360"/>
      </w:pPr>
      <w:rPr>
        <w:rFonts w:ascii="Arial" w:hAnsi="Arial" w:hint="default"/>
      </w:rPr>
    </w:lvl>
  </w:abstractNum>
  <w:abstractNum w:abstractNumId="4">
    <w:nsid w:val="366E6820"/>
    <w:multiLevelType w:val="hybridMultilevel"/>
    <w:tmpl w:val="C59CA3F4"/>
    <w:lvl w:ilvl="0" w:tplc="78163F4A">
      <w:start w:val="1"/>
      <w:numFmt w:val="bullet"/>
      <w:lvlText w:val="•"/>
      <w:lvlJc w:val="left"/>
      <w:pPr>
        <w:tabs>
          <w:tab w:val="num" w:pos="720"/>
        </w:tabs>
        <w:ind w:left="720" w:hanging="360"/>
      </w:pPr>
      <w:rPr>
        <w:rFonts w:ascii="Arial" w:hAnsi="Arial" w:hint="default"/>
      </w:rPr>
    </w:lvl>
    <w:lvl w:ilvl="1" w:tplc="67C46B44" w:tentative="1">
      <w:start w:val="1"/>
      <w:numFmt w:val="bullet"/>
      <w:lvlText w:val="•"/>
      <w:lvlJc w:val="left"/>
      <w:pPr>
        <w:tabs>
          <w:tab w:val="num" w:pos="1440"/>
        </w:tabs>
        <w:ind w:left="1440" w:hanging="360"/>
      </w:pPr>
      <w:rPr>
        <w:rFonts w:ascii="Arial" w:hAnsi="Arial" w:hint="default"/>
      </w:rPr>
    </w:lvl>
    <w:lvl w:ilvl="2" w:tplc="7D6E6884" w:tentative="1">
      <w:start w:val="1"/>
      <w:numFmt w:val="bullet"/>
      <w:lvlText w:val="•"/>
      <w:lvlJc w:val="left"/>
      <w:pPr>
        <w:tabs>
          <w:tab w:val="num" w:pos="2160"/>
        </w:tabs>
        <w:ind w:left="2160" w:hanging="360"/>
      </w:pPr>
      <w:rPr>
        <w:rFonts w:ascii="Arial" w:hAnsi="Arial" w:hint="default"/>
      </w:rPr>
    </w:lvl>
    <w:lvl w:ilvl="3" w:tplc="F8965ED6" w:tentative="1">
      <w:start w:val="1"/>
      <w:numFmt w:val="bullet"/>
      <w:lvlText w:val="•"/>
      <w:lvlJc w:val="left"/>
      <w:pPr>
        <w:tabs>
          <w:tab w:val="num" w:pos="2880"/>
        </w:tabs>
        <w:ind w:left="2880" w:hanging="360"/>
      </w:pPr>
      <w:rPr>
        <w:rFonts w:ascii="Arial" w:hAnsi="Arial" w:hint="default"/>
      </w:rPr>
    </w:lvl>
    <w:lvl w:ilvl="4" w:tplc="C3CA90EA" w:tentative="1">
      <w:start w:val="1"/>
      <w:numFmt w:val="bullet"/>
      <w:lvlText w:val="•"/>
      <w:lvlJc w:val="left"/>
      <w:pPr>
        <w:tabs>
          <w:tab w:val="num" w:pos="3600"/>
        </w:tabs>
        <w:ind w:left="3600" w:hanging="360"/>
      </w:pPr>
      <w:rPr>
        <w:rFonts w:ascii="Arial" w:hAnsi="Arial" w:hint="default"/>
      </w:rPr>
    </w:lvl>
    <w:lvl w:ilvl="5" w:tplc="D33EAA8A" w:tentative="1">
      <w:start w:val="1"/>
      <w:numFmt w:val="bullet"/>
      <w:lvlText w:val="•"/>
      <w:lvlJc w:val="left"/>
      <w:pPr>
        <w:tabs>
          <w:tab w:val="num" w:pos="4320"/>
        </w:tabs>
        <w:ind w:left="4320" w:hanging="360"/>
      </w:pPr>
      <w:rPr>
        <w:rFonts w:ascii="Arial" w:hAnsi="Arial" w:hint="default"/>
      </w:rPr>
    </w:lvl>
    <w:lvl w:ilvl="6" w:tplc="DA8A8DBA" w:tentative="1">
      <w:start w:val="1"/>
      <w:numFmt w:val="bullet"/>
      <w:lvlText w:val="•"/>
      <w:lvlJc w:val="left"/>
      <w:pPr>
        <w:tabs>
          <w:tab w:val="num" w:pos="5040"/>
        </w:tabs>
        <w:ind w:left="5040" w:hanging="360"/>
      </w:pPr>
      <w:rPr>
        <w:rFonts w:ascii="Arial" w:hAnsi="Arial" w:hint="default"/>
      </w:rPr>
    </w:lvl>
    <w:lvl w:ilvl="7" w:tplc="A5D43360" w:tentative="1">
      <w:start w:val="1"/>
      <w:numFmt w:val="bullet"/>
      <w:lvlText w:val="•"/>
      <w:lvlJc w:val="left"/>
      <w:pPr>
        <w:tabs>
          <w:tab w:val="num" w:pos="5760"/>
        </w:tabs>
        <w:ind w:left="5760" w:hanging="360"/>
      </w:pPr>
      <w:rPr>
        <w:rFonts w:ascii="Arial" w:hAnsi="Arial" w:hint="default"/>
      </w:rPr>
    </w:lvl>
    <w:lvl w:ilvl="8" w:tplc="3776FF20" w:tentative="1">
      <w:start w:val="1"/>
      <w:numFmt w:val="bullet"/>
      <w:lvlText w:val="•"/>
      <w:lvlJc w:val="left"/>
      <w:pPr>
        <w:tabs>
          <w:tab w:val="num" w:pos="6480"/>
        </w:tabs>
        <w:ind w:left="6480" w:hanging="360"/>
      </w:pPr>
      <w:rPr>
        <w:rFonts w:ascii="Arial" w:hAnsi="Arial" w:hint="default"/>
      </w:rPr>
    </w:lvl>
  </w:abstractNum>
  <w:abstractNum w:abstractNumId="5">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9660AA0"/>
    <w:multiLevelType w:val="multilevel"/>
    <w:tmpl w:val="77F47152"/>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E2NDQ1MDOysLA0MzRT0lEKTi0uzszPAykwrAUAP32WMywAAAA="/>
  </w:docVars>
  <w:rsids>
    <w:rsidRoot w:val="00D824D3"/>
    <w:rsid w:val="00000972"/>
    <w:rsid w:val="0000116D"/>
    <w:rsid w:val="00002FA2"/>
    <w:rsid w:val="00005901"/>
    <w:rsid w:val="0001222E"/>
    <w:rsid w:val="000150C1"/>
    <w:rsid w:val="0001727E"/>
    <w:rsid w:val="00025B15"/>
    <w:rsid w:val="00027A52"/>
    <w:rsid w:val="00031486"/>
    <w:rsid w:val="00031C8A"/>
    <w:rsid w:val="000320CA"/>
    <w:rsid w:val="00032F3D"/>
    <w:rsid w:val="00033E4A"/>
    <w:rsid w:val="00033EEE"/>
    <w:rsid w:val="0003473D"/>
    <w:rsid w:val="0003691C"/>
    <w:rsid w:val="00044B01"/>
    <w:rsid w:val="000471E4"/>
    <w:rsid w:val="000535E9"/>
    <w:rsid w:val="00053E58"/>
    <w:rsid w:val="0005619E"/>
    <w:rsid w:val="000602EE"/>
    <w:rsid w:val="0006084D"/>
    <w:rsid w:val="00061B68"/>
    <w:rsid w:val="00061F85"/>
    <w:rsid w:val="0006314F"/>
    <w:rsid w:val="000644F6"/>
    <w:rsid w:val="000653AD"/>
    <w:rsid w:val="00077D5C"/>
    <w:rsid w:val="00080EA6"/>
    <w:rsid w:val="00081F90"/>
    <w:rsid w:val="00083EB2"/>
    <w:rsid w:val="0008411D"/>
    <w:rsid w:val="00084D2C"/>
    <w:rsid w:val="00084DAA"/>
    <w:rsid w:val="000908AD"/>
    <w:rsid w:val="0009261F"/>
    <w:rsid w:val="000935B7"/>
    <w:rsid w:val="00093C5B"/>
    <w:rsid w:val="00094318"/>
    <w:rsid w:val="00096E60"/>
    <w:rsid w:val="000A0D19"/>
    <w:rsid w:val="000A29DB"/>
    <w:rsid w:val="000A4C94"/>
    <w:rsid w:val="000B0FF0"/>
    <w:rsid w:val="000B2C44"/>
    <w:rsid w:val="000B38FA"/>
    <w:rsid w:val="000B4EAD"/>
    <w:rsid w:val="000B570C"/>
    <w:rsid w:val="000B7985"/>
    <w:rsid w:val="000C0857"/>
    <w:rsid w:val="000C4215"/>
    <w:rsid w:val="000C5A43"/>
    <w:rsid w:val="000C60FB"/>
    <w:rsid w:val="000D29F3"/>
    <w:rsid w:val="000D4CA2"/>
    <w:rsid w:val="000D51F1"/>
    <w:rsid w:val="000D6166"/>
    <w:rsid w:val="000E4D10"/>
    <w:rsid w:val="000E5514"/>
    <w:rsid w:val="000F478F"/>
    <w:rsid w:val="000F734A"/>
    <w:rsid w:val="000F7CDD"/>
    <w:rsid w:val="00102CF5"/>
    <w:rsid w:val="00103FBA"/>
    <w:rsid w:val="00106347"/>
    <w:rsid w:val="00111CE9"/>
    <w:rsid w:val="0011328D"/>
    <w:rsid w:val="0011438D"/>
    <w:rsid w:val="001168A4"/>
    <w:rsid w:val="00120F42"/>
    <w:rsid w:val="00121797"/>
    <w:rsid w:val="00125739"/>
    <w:rsid w:val="0012600E"/>
    <w:rsid w:val="00131EA2"/>
    <w:rsid w:val="00135A1E"/>
    <w:rsid w:val="001378BE"/>
    <w:rsid w:val="001415FC"/>
    <w:rsid w:val="00145D8E"/>
    <w:rsid w:val="00146C8B"/>
    <w:rsid w:val="00147473"/>
    <w:rsid w:val="0015239C"/>
    <w:rsid w:val="00152702"/>
    <w:rsid w:val="00154AF9"/>
    <w:rsid w:val="001605AA"/>
    <w:rsid w:val="00164288"/>
    <w:rsid w:val="001652FF"/>
    <w:rsid w:val="0016660D"/>
    <w:rsid w:val="00166669"/>
    <w:rsid w:val="00171E71"/>
    <w:rsid w:val="00176796"/>
    <w:rsid w:val="00176B23"/>
    <w:rsid w:val="00177F03"/>
    <w:rsid w:val="00180426"/>
    <w:rsid w:val="00180DCA"/>
    <w:rsid w:val="00183716"/>
    <w:rsid w:val="00184033"/>
    <w:rsid w:val="00184B5B"/>
    <w:rsid w:val="00185CBD"/>
    <w:rsid w:val="0019013E"/>
    <w:rsid w:val="001906A3"/>
    <w:rsid w:val="00191813"/>
    <w:rsid w:val="00192F14"/>
    <w:rsid w:val="00193800"/>
    <w:rsid w:val="0019472A"/>
    <w:rsid w:val="00196E4D"/>
    <w:rsid w:val="001A02F1"/>
    <w:rsid w:val="001A13BD"/>
    <w:rsid w:val="001A4444"/>
    <w:rsid w:val="001A4687"/>
    <w:rsid w:val="001A5E03"/>
    <w:rsid w:val="001A7665"/>
    <w:rsid w:val="001B18F8"/>
    <w:rsid w:val="001B318B"/>
    <w:rsid w:val="001B3A88"/>
    <w:rsid w:val="001B53AC"/>
    <w:rsid w:val="001C04E7"/>
    <w:rsid w:val="001C05E8"/>
    <w:rsid w:val="001C1C48"/>
    <w:rsid w:val="001C6BED"/>
    <w:rsid w:val="001C759E"/>
    <w:rsid w:val="001C78CD"/>
    <w:rsid w:val="001D1508"/>
    <w:rsid w:val="001D3BBF"/>
    <w:rsid w:val="001D4924"/>
    <w:rsid w:val="001D6D47"/>
    <w:rsid w:val="001E2FCE"/>
    <w:rsid w:val="001E3718"/>
    <w:rsid w:val="001E5D2F"/>
    <w:rsid w:val="001E5F16"/>
    <w:rsid w:val="001E6465"/>
    <w:rsid w:val="001E655D"/>
    <w:rsid w:val="001E6E9D"/>
    <w:rsid w:val="001E7216"/>
    <w:rsid w:val="001F3AC1"/>
    <w:rsid w:val="001F3B78"/>
    <w:rsid w:val="001F4890"/>
    <w:rsid w:val="001F540C"/>
    <w:rsid w:val="001F6968"/>
    <w:rsid w:val="00200282"/>
    <w:rsid w:val="00205C0B"/>
    <w:rsid w:val="00207D56"/>
    <w:rsid w:val="00210B3A"/>
    <w:rsid w:val="00210B70"/>
    <w:rsid w:val="0021267C"/>
    <w:rsid w:val="00212FA6"/>
    <w:rsid w:val="00214B6B"/>
    <w:rsid w:val="0022070B"/>
    <w:rsid w:val="00220B1D"/>
    <w:rsid w:val="00224B03"/>
    <w:rsid w:val="00224D91"/>
    <w:rsid w:val="00232C8A"/>
    <w:rsid w:val="002332A6"/>
    <w:rsid w:val="00234145"/>
    <w:rsid w:val="00235BCA"/>
    <w:rsid w:val="0023777F"/>
    <w:rsid w:val="00241059"/>
    <w:rsid w:val="002431E6"/>
    <w:rsid w:val="0024368F"/>
    <w:rsid w:val="00244B52"/>
    <w:rsid w:val="002451CA"/>
    <w:rsid w:val="00246369"/>
    <w:rsid w:val="00247108"/>
    <w:rsid w:val="0025047C"/>
    <w:rsid w:val="00255A62"/>
    <w:rsid w:val="002560E2"/>
    <w:rsid w:val="002572B2"/>
    <w:rsid w:val="0026041E"/>
    <w:rsid w:val="002606E5"/>
    <w:rsid w:val="0026199D"/>
    <w:rsid w:val="002666B2"/>
    <w:rsid w:val="00267E0B"/>
    <w:rsid w:val="00270259"/>
    <w:rsid w:val="002705D2"/>
    <w:rsid w:val="00271E13"/>
    <w:rsid w:val="002756E4"/>
    <w:rsid w:val="002759CA"/>
    <w:rsid w:val="00276417"/>
    <w:rsid w:val="00277101"/>
    <w:rsid w:val="002773EE"/>
    <w:rsid w:val="002831E6"/>
    <w:rsid w:val="00286464"/>
    <w:rsid w:val="00287756"/>
    <w:rsid w:val="00291889"/>
    <w:rsid w:val="002925D8"/>
    <w:rsid w:val="00294955"/>
    <w:rsid w:val="0029747F"/>
    <w:rsid w:val="002977A5"/>
    <w:rsid w:val="002A381C"/>
    <w:rsid w:val="002A5397"/>
    <w:rsid w:val="002A572C"/>
    <w:rsid w:val="002A6649"/>
    <w:rsid w:val="002A6AC8"/>
    <w:rsid w:val="002A6E36"/>
    <w:rsid w:val="002B1C9B"/>
    <w:rsid w:val="002B24AA"/>
    <w:rsid w:val="002B2FB1"/>
    <w:rsid w:val="002B47CE"/>
    <w:rsid w:val="002B4A1E"/>
    <w:rsid w:val="002B6F72"/>
    <w:rsid w:val="002C0A13"/>
    <w:rsid w:val="002C4D36"/>
    <w:rsid w:val="002C6B44"/>
    <w:rsid w:val="002C71F2"/>
    <w:rsid w:val="002C72FF"/>
    <w:rsid w:val="002D0A73"/>
    <w:rsid w:val="002D0D72"/>
    <w:rsid w:val="002D3F9A"/>
    <w:rsid w:val="002D52EE"/>
    <w:rsid w:val="002E2815"/>
    <w:rsid w:val="002E348B"/>
    <w:rsid w:val="002E4678"/>
    <w:rsid w:val="002E4732"/>
    <w:rsid w:val="002F2A15"/>
    <w:rsid w:val="002F35F7"/>
    <w:rsid w:val="003023A0"/>
    <w:rsid w:val="0030310D"/>
    <w:rsid w:val="00310980"/>
    <w:rsid w:val="00312C4B"/>
    <w:rsid w:val="00314819"/>
    <w:rsid w:val="003148D1"/>
    <w:rsid w:val="0031612E"/>
    <w:rsid w:val="00322BDB"/>
    <w:rsid w:val="00323D83"/>
    <w:rsid w:val="003242A3"/>
    <w:rsid w:val="00330315"/>
    <w:rsid w:val="00330932"/>
    <w:rsid w:val="003355E9"/>
    <w:rsid w:val="00335E0E"/>
    <w:rsid w:val="003371B4"/>
    <w:rsid w:val="00337C34"/>
    <w:rsid w:val="00337F4C"/>
    <w:rsid w:val="003413EC"/>
    <w:rsid w:val="00342FCE"/>
    <w:rsid w:val="00343F41"/>
    <w:rsid w:val="00352719"/>
    <w:rsid w:val="003542F5"/>
    <w:rsid w:val="00356480"/>
    <w:rsid w:val="00357B9B"/>
    <w:rsid w:val="00360B0E"/>
    <w:rsid w:val="003615FB"/>
    <w:rsid w:val="003711C0"/>
    <w:rsid w:val="003734D3"/>
    <w:rsid w:val="00374264"/>
    <w:rsid w:val="00375A37"/>
    <w:rsid w:val="00377098"/>
    <w:rsid w:val="0037731B"/>
    <w:rsid w:val="00380BE2"/>
    <w:rsid w:val="00382683"/>
    <w:rsid w:val="0038295F"/>
    <w:rsid w:val="00383BB6"/>
    <w:rsid w:val="00384766"/>
    <w:rsid w:val="0038504E"/>
    <w:rsid w:val="003858D5"/>
    <w:rsid w:val="00392AC2"/>
    <w:rsid w:val="00394C94"/>
    <w:rsid w:val="003A0B81"/>
    <w:rsid w:val="003A320C"/>
    <w:rsid w:val="003A74B7"/>
    <w:rsid w:val="003B17EA"/>
    <w:rsid w:val="003B19D7"/>
    <w:rsid w:val="003B2692"/>
    <w:rsid w:val="003B3277"/>
    <w:rsid w:val="003B7F94"/>
    <w:rsid w:val="003C0EF3"/>
    <w:rsid w:val="003C1C0C"/>
    <w:rsid w:val="003C2CDF"/>
    <w:rsid w:val="003C6385"/>
    <w:rsid w:val="003C69DD"/>
    <w:rsid w:val="003C6FEF"/>
    <w:rsid w:val="003D46A5"/>
    <w:rsid w:val="003D4B50"/>
    <w:rsid w:val="003D66BD"/>
    <w:rsid w:val="003E1C5E"/>
    <w:rsid w:val="003E4795"/>
    <w:rsid w:val="003E5175"/>
    <w:rsid w:val="003F0366"/>
    <w:rsid w:val="003F1D1E"/>
    <w:rsid w:val="003F301D"/>
    <w:rsid w:val="003F479C"/>
    <w:rsid w:val="003F7F86"/>
    <w:rsid w:val="00400E28"/>
    <w:rsid w:val="00406D9D"/>
    <w:rsid w:val="004077DC"/>
    <w:rsid w:val="004151F3"/>
    <w:rsid w:val="00417A3F"/>
    <w:rsid w:val="0042081D"/>
    <w:rsid w:val="0042119F"/>
    <w:rsid w:val="004226D7"/>
    <w:rsid w:val="00423508"/>
    <w:rsid w:val="00424ADA"/>
    <w:rsid w:val="00426430"/>
    <w:rsid w:val="004264BF"/>
    <w:rsid w:val="00433509"/>
    <w:rsid w:val="00434999"/>
    <w:rsid w:val="0044439A"/>
    <w:rsid w:val="00445FCD"/>
    <w:rsid w:val="00447762"/>
    <w:rsid w:val="00450B7A"/>
    <w:rsid w:val="004510B2"/>
    <w:rsid w:val="00452E75"/>
    <w:rsid w:val="00453309"/>
    <w:rsid w:val="00456535"/>
    <w:rsid w:val="00456A67"/>
    <w:rsid w:val="004572A8"/>
    <w:rsid w:val="004609BE"/>
    <w:rsid w:val="0046106B"/>
    <w:rsid w:val="00463013"/>
    <w:rsid w:val="00463ABF"/>
    <w:rsid w:val="00463DBB"/>
    <w:rsid w:val="00464544"/>
    <w:rsid w:val="00467362"/>
    <w:rsid w:val="00467924"/>
    <w:rsid w:val="00471B82"/>
    <w:rsid w:val="00475BFB"/>
    <w:rsid w:val="004763AA"/>
    <w:rsid w:val="00486407"/>
    <w:rsid w:val="00493212"/>
    <w:rsid w:val="00497761"/>
    <w:rsid w:val="004A002F"/>
    <w:rsid w:val="004A25A7"/>
    <w:rsid w:val="004A417F"/>
    <w:rsid w:val="004A4455"/>
    <w:rsid w:val="004A571D"/>
    <w:rsid w:val="004A57C9"/>
    <w:rsid w:val="004B19B6"/>
    <w:rsid w:val="004B4F60"/>
    <w:rsid w:val="004C06D4"/>
    <w:rsid w:val="004C1457"/>
    <w:rsid w:val="004C1B05"/>
    <w:rsid w:val="004C2725"/>
    <w:rsid w:val="004C7FFA"/>
    <w:rsid w:val="004D0CC7"/>
    <w:rsid w:val="004D1903"/>
    <w:rsid w:val="004D5354"/>
    <w:rsid w:val="004D578B"/>
    <w:rsid w:val="004D57DB"/>
    <w:rsid w:val="004D5A7C"/>
    <w:rsid w:val="004D6574"/>
    <w:rsid w:val="004D7BB2"/>
    <w:rsid w:val="004E039F"/>
    <w:rsid w:val="004E053D"/>
    <w:rsid w:val="004E2005"/>
    <w:rsid w:val="004E25E2"/>
    <w:rsid w:val="004E3670"/>
    <w:rsid w:val="004E381F"/>
    <w:rsid w:val="004E3BF3"/>
    <w:rsid w:val="004E4375"/>
    <w:rsid w:val="004E514D"/>
    <w:rsid w:val="004E664B"/>
    <w:rsid w:val="004E6EA9"/>
    <w:rsid w:val="004E7219"/>
    <w:rsid w:val="004E7872"/>
    <w:rsid w:val="004F295D"/>
    <w:rsid w:val="004F35B2"/>
    <w:rsid w:val="004F5F2B"/>
    <w:rsid w:val="004F656D"/>
    <w:rsid w:val="004F76E3"/>
    <w:rsid w:val="0050050B"/>
    <w:rsid w:val="0050128F"/>
    <w:rsid w:val="005030B7"/>
    <w:rsid w:val="005106E9"/>
    <w:rsid w:val="00511640"/>
    <w:rsid w:val="00513957"/>
    <w:rsid w:val="005170F0"/>
    <w:rsid w:val="00517459"/>
    <w:rsid w:val="00522577"/>
    <w:rsid w:val="00522CB9"/>
    <w:rsid w:val="00523279"/>
    <w:rsid w:val="0052392A"/>
    <w:rsid w:val="00523965"/>
    <w:rsid w:val="00523C63"/>
    <w:rsid w:val="005279D7"/>
    <w:rsid w:val="0053162C"/>
    <w:rsid w:val="005319A4"/>
    <w:rsid w:val="0053398D"/>
    <w:rsid w:val="00533CB6"/>
    <w:rsid w:val="0053503C"/>
    <w:rsid w:val="005403F2"/>
    <w:rsid w:val="00543269"/>
    <w:rsid w:val="00544A7C"/>
    <w:rsid w:val="0055003D"/>
    <w:rsid w:val="00551364"/>
    <w:rsid w:val="005525D3"/>
    <w:rsid w:val="00552AF7"/>
    <w:rsid w:val="00553801"/>
    <w:rsid w:val="005539C6"/>
    <w:rsid w:val="00553A39"/>
    <w:rsid w:val="00553D50"/>
    <w:rsid w:val="00556C60"/>
    <w:rsid w:val="0056066B"/>
    <w:rsid w:val="005623F5"/>
    <w:rsid w:val="00562455"/>
    <w:rsid w:val="0056314F"/>
    <w:rsid w:val="00563A0B"/>
    <w:rsid w:val="005717E9"/>
    <w:rsid w:val="00574EC5"/>
    <w:rsid w:val="00577B5C"/>
    <w:rsid w:val="0058424C"/>
    <w:rsid w:val="00584EAB"/>
    <w:rsid w:val="005863A7"/>
    <w:rsid w:val="00593858"/>
    <w:rsid w:val="0059770F"/>
    <w:rsid w:val="00597B7F"/>
    <w:rsid w:val="005A4DC8"/>
    <w:rsid w:val="005A5043"/>
    <w:rsid w:val="005B039B"/>
    <w:rsid w:val="005B155B"/>
    <w:rsid w:val="005B248C"/>
    <w:rsid w:val="005B3CF6"/>
    <w:rsid w:val="005B4DB0"/>
    <w:rsid w:val="005B5026"/>
    <w:rsid w:val="005C07AB"/>
    <w:rsid w:val="005C58F7"/>
    <w:rsid w:val="005C7276"/>
    <w:rsid w:val="005D0189"/>
    <w:rsid w:val="005D20DD"/>
    <w:rsid w:val="005D25D3"/>
    <w:rsid w:val="005D7C59"/>
    <w:rsid w:val="005E0107"/>
    <w:rsid w:val="005E090C"/>
    <w:rsid w:val="005E2831"/>
    <w:rsid w:val="005E4881"/>
    <w:rsid w:val="005E6ABC"/>
    <w:rsid w:val="005F1CF1"/>
    <w:rsid w:val="005F3B41"/>
    <w:rsid w:val="005F4BD2"/>
    <w:rsid w:val="005F65B4"/>
    <w:rsid w:val="005F6802"/>
    <w:rsid w:val="005F6D3C"/>
    <w:rsid w:val="005F75ED"/>
    <w:rsid w:val="005F7CFF"/>
    <w:rsid w:val="006073ED"/>
    <w:rsid w:val="00607CC8"/>
    <w:rsid w:val="00610F49"/>
    <w:rsid w:val="00611BD0"/>
    <w:rsid w:val="006137A4"/>
    <w:rsid w:val="0061486F"/>
    <w:rsid w:val="00615980"/>
    <w:rsid w:val="006217C8"/>
    <w:rsid w:val="006221EC"/>
    <w:rsid w:val="00622393"/>
    <w:rsid w:val="00624E80"/>
    <w:rsid w:val="006273F5"/>
    <w:rsid w:val="006335D0"/>
    <w:rsid w:val="00634818"/>
    <w:rsid w:val="00634ACE"/>
    <w:rsid w:val="0063575A"/>
    <w:rsid w:val="00636727"/>
    <w:rsid w:val="00636F6F"/>
    <w:rsid w:val="00637C06"/>
    <w:rsid w:val="00641D3B"/>
    <w:rsid w:val="0064310D"/>
    <w:rsid w:val="006449AE"/>
    <w:rsid w:val="00650F76"/>
    <w:rsid w:val="006511B1"/>
    <w:rsid w:val="006514B7"/>
    <w:rsid w:val="00651C48"/>
    <w:rsid w:val="00651C6F"/>
    <w:rsid w:val="00652414"/>
    <w:rsid w:val="00653204"/>
    <w:rsid w:val="00654549"/>
    <w:rsid w:val="00655A99"/>
    <w:rsid w:val="00660924"/>
    <w:rsid w:val="00660A27"/>
    <w:rsid w:val="00661489"/>
    <w:rsid w:val="00661E49"/>
    <w:rsid w:val="00662B0E"/>
    <w:rsid w:val="00663C56"/>
    <w:rsid w:val="00664FA5"/>
    <w:rsid w:val="00665EE0"/>
    <w:rsid w:val="006670FF"/>
    <w:rsid w:val="0067655C"/>
    <w:rsid w:val="00684AEF"/>
    <w:rsid w:val="00685FB2"/>
    <w:rsid w:val="006908D3"/>
    <w:rsid w:val="00691304"/>
    <w:rsid w:val="006913B6"/>
    <w:rsid w:val="00693096"/>
    <w:rsid w:val="0069312F"/>
    <w:rsid w:val="00693AAB"/>
    <w:rsid w:val="006943AF"/>
    <w:rsid w:val="0069685B"/>
    <w:rsid w:val="006A0319"/>
    <w:rsid w:val="006A1C56"/>
    <w:rsid w:val="006A293C"/>
    <w:rsid w:val="006A7081"/>
    <w:rsid w:val="006B02FE"/>
    <w:rsid w:val="006B12A4"/>
    <w:rsid w:val="006B342C"/>
    <w:rsid w:val="006B4024"/>
    <w:rsid w:val="006B4545"/>
    <w:rsid w:val="006B4A0C"/>
    <w:rsid w:val="006B4EE8"/>
    <w:rsid w:val="006B683D"/>
    <w:rsid w:val="006B7429"/>
    <w:rsid w:val="006C0560"/>
    <w:rsid w:val="006C26EC"/>
    <w:rsid w:val="006C7212"/>
    <w:rsid w:val="006D060D"/>
    <w:rsid w:val="006D1428"/>
    <w:rsid w:val="006D5288"/>
    <w:rsid w:val="006D546B"/>
    <w:rsid w:val="006D640A"/>
    <w:rsid w:val="006D721C"/>
    <w:rsid w:val="006E072B"/>
    <w:rsid w:val="006E130B"/>
    <w:rsid w:val="006E238E"/>
    <w:rsid w:val="006E566D"/>
    <w:rsid w:val="006E5944"/>
    <w:rsid w:val="006E61C6"/>
    <w:rsid w:val="006E716B"/>
    <w:rsid w:val="006F30C5"/>
    <w:rsid w:val="006F3FA9"/>
    <w:rsid w:val="007012C0"/>
    <w:rsid w:val="00702E01"/>
    <w:rsid w:val="00703F19"/>
    <w:rsid w:val="00704F7D"/>
    <w:rsid w:val="00705048"/>
    <w:rsid w:val="007065F1"/>
    <w:rsid w:val="007076C4"/>
    <w:rsid w:val="00707906"/>
    <w:rsid w:val="0071028C"/>
    <w:rsid w:val="00710618"/>
    <w:rsid w:val="00710E33"/>
    <w:rsid w:val="00712B2C"/>
    <w:rsid w:val="007143D6"/>
    <w:rsid w:val="00715551"/>
    <w:rsid w:val="007157E1"/>
    <w:rsid w:val="00717052"/>
    <w:rsid w:val="0071725F"/>
    <w:rsid w:val="007172F7"/>
    <w:rsid w:val="00717A8C"/>
    <w:rsid w:val="00725A96"/>
    <w:rsid w:val="00726BDF"/>
    <w:rsid w:val="00734DF8"/>
    <w:rsid w:val="007426FD"/>
    <w:rsid w:val="007429FA"/>
    <w:rsid w:val="00745755"/>
    <w:rsid w:val="00747599"/>
    <w:rsid w:val="00756852"/>
    <w:rsid w:val="007615A5"/>
    <w:rsid w:val="00762BB9"/>
    <w:rsid w:val="00763536"/>
    <w:rsid w:val="007659C0"/>
    <w:rsid w:val="0076767E"/>
    <w:rsid w:val="00770099"/>
    <w:rsid w:val="00770BC3"/>
    <w:rsid w:val="007724D1"/>
    <w:rsid w:val="00775CAB"/>
    <w:rsid w:val="007760E7"/>
    <w:rsid w:val="0077747E"/>
    <w:rsid w:val="00777A92"/>
    <w:rsid w:val="007843E3"/>
    <w:rsid w:val="00794031"/>
    <w:rsid w:val="007A6067"/>
    <w:rsid w:val="007B060D"/>
    <w:rsid w:val="007B4EE7"/>
    <w:rsid w:val="007C0D80"/>
    <w:rsid w:val="007C3807"/>
    <w:rsid w:val="007C69AF"/>
    <w:rsid w:val="007C6D66"/>
    <w:rsid w:val="007C79AA"/>
    <w:rsid w:val="007D043C"/>
    <w:rsid w:val="007D0F2F"/>
    <w:rsid w:val="007D1D38"/>
    <w:rsid w:val="007D2158"/>
    <w:rsid w:val="007D3A36"/>
    <w:rsid w:val="007D42C6"/>
    <w:rsid w:val="007D5978"/>
    <w:rsid w:val="007D6975"/>
    <w:rsid w:val="007D7046"/>
    <w:rsid w:val="007D790E"/>
    <w:rsid w:val="007D7917"/>
    <w:rsid w:val="007E19BC"/>
    <w:rsid w:val="007E21D6"/>
    <w:rsid w:val="007F0AAC"/>
    <w:rsid w:val="007F4369"/>
    <w:rsid w:val="007F54CB"/>
    <w:rsid w:val="007F775D"/>
    <w:rsid w:val="00803A9E"/>
    <w:rsid w:val="00804DC5"/>
    <w:rsid w:val="00806358"/>
    <w:rsid w:val="00806625"/>
    <w:rsid w:val="008071F7"/>
    <w:rsid w:val="0080729F"/>
    <w:rsid w:val="00807471"/>
    <w:rsid w:val="00807C4C"/>
    <w:rsid w:val="00810CB0"/>
    <w:rsid w:val="00811901"/>
    <w:rsid w:val="00815619"/>
    <w:rsid w:val="00815E45"/>
    <w:rsid w:val="008166BC"/>
    <w:rsid w:val="00817323"/>
    <w:rsid w:val="008230DA"/>
    <w:rsid w:val="00824271"/>
    <w:rsid w:val="00825812"/>
    <w:rsid w:val="00825FA7"/>
    <w:rsid w:val="008300BE"/>
    <w:rsid w:val="008373EA"/>
    <w:rsid w:val="00840917"/>
    <w:rsid w:val="00841029"/>
    <w:rsid w:val="00842EA5"/>
    <w:rsid w:val="00850178"/>
    <w:rsid w:val="00850757"/>
    <w:rsid w:val="008507A5"/>
    <w:rsid w:val="0085210D"/>
    <w:rsid w:val="00853843"/>
    <w:rsid w:val="00854FCC"/>
    <w:rsid w:val="00857523"/>
    <w:rsid w:val="0086463D"/>
    <w:rsid w:val="00864650"/>
    <w:rsid w:val="00867B13"/>
    <w:rsid w:val="00871CAB"/>
    <w:rsid w:val="00875D93"/>
    <w:rsid w:val="0088164D"/>
    <w:rsid w:val="00887135"/>
    <w:rsid w:val="00890BCD"/>
    <w:rsid w:val="00893D6E"/>
    <w:rsid w:val="00895F6D"/>
    <w:rsid w:val="008A0044"/>
    <w:rsid w:val="008A1549"/>
    <w:rsid w:val="008A32BF"/>
    <w:rsid w:val="008A6A8C"/>
    <w:rsid w:val="008B17C9"/>
    <w:rsid w:val="008B19CA"/>
    <w:rsid w:val="008B1D6D"/>
    <w:rsid w:val="008B4670"/>
    <w:rsid w:val="008B5B79"/>
    <w:rsid w:val="008C2D2B"/>
    <w:rsid w:val="008C3396"/>
    <w:rsid w:val="008C3407"/>
    <w:rsid w:val="008C6503"/>
    <w:rsid w:val="008D3344"/>
    <w:rsid w:val="008D3B53"/>
    <w:rsid w:val="008D3DEC"/>
    <w:rsid w:val="008D6295"/>
    <w:rsid w:val="008E179B"/>
    <w:rsid w:val="008E49DC"/>
    <w:rsid w:val="008E5974"/>
    <w:rsid w:val="008E6AC7"/>
    <w:rsid w:val="008F0F82"/>
    <w:rsid w:val="008F47AB"/>
    <w:rsid w:val="008F662C"/>
    <w:rsid w:val="009004D4"/>
    <w:rsid w:val="00903035"/>
    <w:rsid w:val="0090320E"/>
    <w:rsid w:val="00904BD3"/>
    <w:rsid w:val="009050C6"/>
    <w:rsid w:val="009060CB"/>
    <w:rsid w:val="00912059"/>
    <w:rsid w:val="009146E7"/>
    <w:rsid w:val="00916A8F"/>
    <w:rsid w:val="00917D66"/>
    <w:rsid w:val="00917E35"/>
    <w:rsid w:val="00917F22"/>
    <w:rsid w:val="0092398F"/>
    <w:rsid w:val="00926AB4"/>
    <w:rsid w:val="00934D02"/>
    <w:rsid w:val="00934E3C"/>
    <w:rsid w:val="009359E8"/>
    <w:rsid w:val="00935CAC"/>
    <w:rsid w:val="009412FA"/>
    <w:rsid w:val="009423FC"/>
    <w:rsid w:val="009440A3"/>
    <w:rsid w:val="009463EB"/>
    <w:rsid w:val="00947490"/>
    <w:rsid w:val="00950989"/>
    <w:rsid w:val="00950CD1"/>
    <w:rsid w:val="00951D6E"/>
    <w:rsid w:val="0095225C"/>
    <w:rsid w:val="00953058"/>
    <w:rsid w:val="00954753"/>
    <w:rsid w:val="0095559D"/>
    <w:rsid w:val="009625D9"/>
    <w:rsid w:val="00975819"/>
    <w:rsid w:val="00980272"/>
    <w:rsid w:val="00981BE9"/>
    <w:rsid w:val="00985437"/>
    <w:rsid w:val="00985A8D"/>
    <w:rsid w:val="00985D5B"/>
    <w:rsid w:val="00986024"/>
    <w:rsid w:val="0099010B"/>
    <w:rsid w:val="00990A62"/>
    <w:rsid w:val="009923E1"/>
    <w:rsid w:val="009934D7"/>
    <w:rsid w:val="009966F7"/>
    <w:rsid w:val="009A0BA1"/>
    <w:rsid w:val="009A2A41"/>
    <w:rsid w:val="009A6A6A"/>
    <w:rsid w:val="009B023E"/>
    <w:rsid w:val="009B24AE"/>
    <w:rsid w:val="009B2924"/>
    <w:rsid w:val="009B5EAF"/>
    <w:rsid w:val="009B7B45"/>
    <w:rsid w:val="009C59A0"/>
    <w:rsid w:val="009C79F3"/>
    <w:rsid w:val="009C7D4A"/>
    <w:rsid w:val="009C7EB1"/>
    <w:rsid w:val="009D0F56"/>
    <w:rsid w:val="009D744F"/>
    <w:rsid w:val="009E34F6"/>
    <w:rsid w:val="009E38EC"/>
    <w:rsid w:val="009E474E"/>
    <w:rsid w:val="009E4C4D"/>
    <w:rsid w:val="009F1CBA"/>
    <w:rsid w:val="009F6C68"/>
    <w:rsid w:val="009F768E"/>
    <w:rsid w:val="00A01C61"/>
    <w:rsid w:val="00A04962"/>
    <w:rsid w:val="00A04EE4"/>
    <w:rsid w:val="00A10619"/>
    <w:rsid w:val="00A113AD"/>
    <w:rsid w:val="00A11950"/>
    <w:rsid w:val="00A13CA8"/>
    <w:rsid w:val="00A14906"/>
    <w:rsid w:val="00A2286E"/>
    <w:rsid w:val="00A242D0"/>
    <w:rsid w:val="00A2774D"/>
    <w:rsid w:val="00A30070"/>
    <w:rsid w:val="00A30799"/>
    <w:rsid w:val="00A356C3"/>
    <w:rsid w:val="00A405AF"/>
    <w:rsid w:val="00A40E99"/>
    <w:rsid w:val="00A427E8"/>
    <w:rsid w:val="00A44C74"/>
    <w:rsid w:val="00A508CB"/>
    <w:rsid w:val="00A542E3"/>
    <w:rsid w:val="00A56E7C"/>
    <w:rsid w:val="00A66652"/>
    <w:rsid w:val="00A67FDE"/>
    <w:rsid w:val="00A70255"/>
    <w:rsid w:val="00A75A99"/>
    <w:rsid w:val="00A85A81"/>
    <w:rsid w:val="00A91984"/>
    <w:rsid w:val="00A9414D"/>
    <w:rsid w:val="00A9421C"/>
    <w:rsid w:val="00A94DDE"/>
    <w:rsid w:val="00A95921"/>
    <w:rsid w:val="00A96B52"/>
    <w:rsid w:val="00AA6CD3"/>
    <w:rsid w:val="00AA6F3B"/>
    <w:rsid w:val="00AB0617"/>
    <w:rsid w:val="00AB0BC8"/>
    <w:rsid w:val="00AB123B"/>
    <w:rsid w:val="00AB2D79"/>
    <w:rsid w:val="00AB2DD9"/>
    <w:rsid w:val="00AB3C2E"/>
    <w:rsid w:val="00AB5794"/>
    <w:rsid w:val="00AC4603"/>
    <w:rsid w:val="00AC6E6F"/>
    <w:rsid w:val="00AD1935"/>
    <w:rsid w:val="00AD1A09"/>
    <w:rsid w:val="00AD1C65"/>
    <w:rsid w:val="00AD64EA"/>
    <w:rsid w:val="00AD7834"/>
    <w:rsid w:val="00AD7A82"/>
    <w:rsid w:val="00AE43FD"/>
    <w:rsid w:val="00AE4646"/>
    <w:rsid w:val="00AE7510"/>
    <w:rsid w:val="00AF0EC9"/>
    <w:rsid w:val="00AF215D"/>
    <w:rsid w:val="00AF4889"/>
    <w:rsid w:val="00B011E4"/>
    <w:rsid w:val="00B03683"/>
    <w:rsid w:val="00B06344"/>
    <w:rsid w:val="00B11EAE"/>
    <w:rsid w:val="00B133ED"/>
    <w:rsid w:val="00B220A6"/>
    <w:rsid w:val="00B2487A"/>
    <w:rsid w:val="00B2537D"/>
    <w:rsid w:val="00B27AAF"/>
    <w:rsid w:val="00B31685"/>
    <w:rsid w:val="00B335BA"/>
    <w:rsid w:val="00B36AEC"/>
    <w:rsid w:val="00B37B89"/>
    <w:rsid w:val="00B40E99"/>
    <w:rsid w:val="00B45602"/>
    <w:rsid w:val="00B47F50"/>
    <w:rsid w:val="00B50CA0"/>
    <w:rsid w:val="00B51181"/>
    <w:rsid w:val="00B51709"/>
    <w:rsid w:val="00B5735A"/>
    <w:rsid w:val="00B60995"/>
    <w:rsid w:val="00B63B5B"/>
    <w:rsid w:val="00B669D5"/>
    <w:rsid w:val="00B72AF4"/>
    <w:rsid w:val="00B7408F"/>
    <w:rsid w:val="00B763A5"/>
    <w:rsid w:val="00B76DEA"/>
    <w:rsid w:val="00B82BD2"/>
    <w:rsid w:val="00B83EAA"/>
    <w:rsid w:val="00B84905"/>
    <w:rsid w:val="00B855F5"/>
    <w:rsid w:val="00B8647C"/>
    <w:rsid w:val="00B86B9D"/>
    <w:rsid w:val="00B90474"/>
    <w:rsid w:val="00B94D5E"/>
    <w:rsid w:val="00B96C47"/>
    <w:rsid w:val="00BA0CED"/>
    <w:rsid w:val="00BA120C"/>
    <w:rsid w:val="00BA165C"/>
    <w:rsid w:val="00BA3215"/>
    <w:rsid w:val="00BA352E"/>
    <w:rsid w:val="00BA6BC8"/>
    <w:rsid w:val="00BB1B86"/>
    <w:rsid w:val="00BB20C3"/>
    <w:rsid w:val="00BB37BF"/>
    <w:rsid w:val="00BB574B"/>
    <w:rsid w:val="00BB5EFD"/>
    <w:rsid w:val="00BB6BF7"/>
    <w:rsid w:val="00BC3261"/>
    <w:rsid w:val="00BC351E"/>
    <w:rsid w:val="00BD0353"/>
    <w:rsid w:val="00BD0F23"/>
    <w:rsid w:val="00BD24EB"/>
    <w:rsid w:val="00BD399A"/>
    <w:rsid w:val="00BD63C9"/>
    <w:rsid w:val="00BD708C"/>
    <w:rsid w:val="00BE0D51"/>
    <w:rsid w:val="00BE0EAA"/>
    <w:rsid w:val="00BE0F4A"/>
    <w:rsid w:val="00BE1816"/>
    <w:rsid w:val="00BE194F"/>
    <w:rsid w:val="00BE2321"/>
    <w:rsid w:val="00BE3FC4"/>
    <w:rsid w:val="00BE4E23"/>
    <w:rsid w:val="00BE7948"/>
    <w:rsid w:val="00BF116E"/>
    <w:rsid w:val="00BF1497"/>
    <w:rsid w:val="00BF1ADB"/>
    <w:rsid w:val="00BF2F6F"/>
    <w:rsid w:val="00BF549F"/>
    <w:rsid w:val="00BF55EE"/>
    <w:rsid w:val="00BF615C"/>
    <w:rsid w:val="00C00B8F"/>
    <w:rsid w:val="00C01170"/>
    <w:rsid w:val="00C02D68"/>
    <w:rsid w:val="00C040ED"/>
    <w:rsid w:val="00C050CB"/>
    <w:rsid w:val="00C06355"/>
    <w:rsid w:val="00C07082"/>
    <w:rsid w:val="00C07D71"/>
    <w:rsid w:val="00C07D7B"/>
    <w:rsid w:val="00C1161C"/>
    <w:rsid w:val="00C11B8B"/>
    <w:rsid w:val="00C11EDC"/>
    <w:rsid w:val="00C12F0F"/>
    <w:rsid w:val="00C15058"/>
    <w:rsid w:val="00C1552F"/>
    <w:rsid w:val="00C1683A"/>
    <w:rsid w:val="00C17AB5"/>
    <w:rsid w:val="00C21BFC"/>
    <w:rsid w:val="00C220E3"/>
    <w:rsid w:val="00C22311"/>
    <w:rsid w:val="00C2526F"/>
    <w:rsid w:val="00C25482"/>
    <w:rsid w:val="00C2719B"/>
    <w:rsid w:val="00C3176E"/>
    <w:rsid w:val="00C32C83"/>
    <w:rsid w:val="00C3756A"/>
    <w:rsid w:val="00C40A1C"/>
    <w:rsid w:val="00C41615"/>
    <w:rsid w:val="00C43084"/>
    <w:rsid w:val="00C44E46"/>
    <w:rsid w:val="00C45404"/>
    <w:rsid w:val="00C46009"/>
    <w:rsid w:val="00C47A3A"/>
    <w:rsid w:val="00C47CAD"/>
    <w:rsid w:val="00C51318"/>
    <w:rsid w:val="00C51F92"/>
    <w:rsid w:val="00C55A9C"/>
    <w:rsid w:val="00C56073"/>
    <w:rsid w:val="00C611C9"/>
    <w:rsid w:val="00C6200A"/>
    <w:rsid w:val="00C6502C"/>
    <w:rsid w:val="00C66C0B"/>
    <w:rsid w:val="00C71D6B"/>
    <w:rsid w:val="00C743F6"/>
    <w:rsid w:val="00C7760B"/>
    <w:rsid w:val="00C808F2"/>
    <w:rsid w:val="00C81D11"/>
    <w:rsid w:val="00C81E1B"/>
    <w:rsid w:val="00C82D9C"/>
    <w:rsid w:val="00C83974"/>
    <w:rsid w:val="00C84E31"/>
    <w:rsid w:val="00C853EF"/>
    <w:rsid w:val="00C874E5"/>
    <w:rsid w:val="00C927B2"/>
    <w:rsid w:val="00C93B45"/>
    <w:rsid w:val="00C93FA1"/>
    <w:rsid w:val="00C960B7"/>
    <w:rsid w:val="00C96A98"/>
    <w:rsid w:val="00C96B2F"/>
    <w:rsid w:val="00CA1190"/>
    <w:rsid w:val="00CA4090"/>
    <w:rsid w:val="00CA732D"/>
    <w:rsid w:val="00CA7F9C"/>
    <w:rsid w:val="00CC00E4"/>
    <w:rsid w:val="00CC47BA"/>
    <w:rsid w:val="00CC4B59"/>
    <w:rsid w:val="00CC52EC"/>
    <w:rsid w:val="00CD1EBE"/>
    <w:rsid w:val="00CD548E"/>
    <w:rsid w:val="00CD57DA"/>
    <w:rsid w:val="00CD6CED"/>
    <w:rsid w:val="00CE063A"/>
    <w:rsid w:val="00CE1ED2"/>
    <w:rsid w:val="00CE292D"/>
    <w:rsid w:val="00CE37C5"/>
    <w:rsid w:val="00CE45B6"/>
    <w:rsid w:val="00CE6FB8"/>
    <w:rsid w:val="00CF024B"/>
    <w:rsid w:val="00CF0586"/>
    <w:rsid w:val="00CF7BF1"/>
    <w:rsid w:val="00D02632"/>
    <w:rsid w:val="00D03B68"/>
    <w:rsid w:val="00D06C6B"/>
    <w:rsid w:val="00D07BAF"/>
    <w:rsid w:val="00D136C3"/>
    <w:rsid w:val="00D156F0"/>
    <w:rsid w:val="00D17042"/>
    <w:rsid w:val="00D22E38"/>
    <w:rsid w:val="00D23E56"/>
    <w:rsid w:val="00D2623A"/>
    <w:rsid w:val="00D265B4"/>
    <w:rsid w:val="00D26886"/>
    <w:rsid w:val="00D26CD1"/>
    <w:rsid w:val="00D2740A"/>
    <w:rsid w:val="00D31DC8"/>
    <w:rsid w:val="00D35BF0"/>
    <w:rsid w:val="00D36DA6"/>
    <w:rsid w:val="00D40A41"/>
    <w:rsid w:val="00D41A04"/>
    <w:rsid w:val="00D42ACC"/>
    <w:rsid w:val="00D4399C"/>
    <w:rsid w:val="00D46F70"/>
    <w:rsid w:val="00D473D3"/>
    <w:rsid w:val="00D47FF3"/>
    <w:rsid w:val="00D504A3"/>
    <w:rsid w:val="00D505B8"/>
    <w:rsid w:val="00D51161"/>
    <w:rsid w:val="00D5155E"/>
    <w:rsid w:val="00D51FBF"/>
    <w:rsid w:val="00D603CB"/>
    <w:rsid w:val="00D609D1"/>
    <w:rsid w:val="00D63EA5"/>
    <w:rsid w:val="00D65068"/>
    <w:rsid w:val="00D660C1"/>
    <w:rsid w:val="00D66BC0"/>
    <w:rsid w:val="00D66FC2"/>
    <w:rsid w:val="00D67C64"/>
    <w:rsid w:val="00D67FAC"/>
    <w:rsid w:val="00D72565"/>
    <w:rsid w:val="00D74729"/>
    <w:rsid w:val="00D74BF9"/>
    <w:rsid w:val="00D824D3"/>
    <w:rsid w:val="00D872A4"/>
    <w:rsid w:val="00D904EF"/>
    <w:rsid w:val="00D90E88"/>
    <w:rsid w:val="00D911F2"/>
    <w:rsid w:val="00D93DDA"/>
    <w:rsid w:val="00D93F38"/>
    <w:rsid w:val="00D942B1"/>
    <w:rsid w:val="00D97058"/>
    <w:rsid w:val="00DA12A6"/>
    <w:rsid w:val="00DA19CD"/>
    <w:rsid w:val="00DB09FE"/>
    <w:rsid w:val="00DB1AAB"/>
    <w:rsid w:val="00DB3075"/>
    <w:rsid w:val="00DC08D2"/>
    <w:rsid w:val="00DC48AE"/>
    <w:rsid w:val="00DC5519"/>
    <w:rsid w:val="00DD0598"/>
    <w:rsid w:val="00DD2632"/>
    <w:rsid w:val="00DD2B25"/>
    <w:rsid w:val="00DD51A5"/>
    <w:rsid w:val="00DD5C87"/>
    <w:rsid w:val="00DD6379"/>
    <w:rsid w:val="00DD7855"/>
    <w:rsid w:val="00DE0B69"/>
    <w:rsid w:val="00DE14C7"/>
    <w:rsid w:val="00DE23F2"/>
    <w:rsid w:val="00DE3C90"/>
    <w:rsid w:val="00DE3D22"/>
    <w:rsid w:val="00DE4D7D"/>
    <w:rsid w:val="00DE5AC6"/>
    <w:rsid w:val="00DF138C"/>
    <w:rsid w:val="00DF1B7A"/>
    <w:rsid w:val="00DF4A77"/>
    <w:rsid w:val="00DF554A"/>
    <w:rsid w:val="00DF6A22"/>
    <w:rsid w:val="00DF6F79"/>
    <w:rsid w:val="00DF7CA2"/>
    <w:rsid w:val="00E0076A"/>
    <w:rsid w:val="00E02292"/>
    <w:rsid w:val="00E05EDA"/>
    <w:rsid w:val="00E11DAD"/>
    <w:rsid w:val="00E122F1"/>
    <w:rsid w:val="00E12ADB"/>
    <w:rsid w:val="00E229C5"/>
    <w:rsid w:val="00E22AAD"/>
    <w:rsid w:val="00E25398"/>
    <w:rsid w:val="00E25B72"/>
    <w:rsid w:val="00E31F2A"/>
    <w:rsid w:val="00E335F9"/>
    <w:rsid w:val="00E33BD7"/>
    <w:rsid w:val="00E35E1A"/>
    <w:rsid w:val="00E45030"/>
    <w:rsid w:val="00E45930"/>
    <w:rsid w:val="00E45B9D"/>
    <w:rsid w:val="00E46B83"/>
    <w:rsid w:val="00E50E54"/>
    <w:rsid w:val="00E52A46"/>
    <w:rsid w:val="00E5451A"/>
    <w:rsid w:val="00E54E6C"/>
    <w:rsid w:val="00E55A63"/>
    <w:rsid w:val="00E56278"/>
    <w:rsid w:val="00E56327"/>
    <w:rsid w:val="00E617F8"/>
    <w:rsid w:val="00E645EB"/>
    <w:rsid w:val="00E67E20"/>
    <w:rsid w:val="00E70471"/>
    <w:rsid w:val="00E7157F"/>
    <w:rsid w:val="00E71F38"/>
    <w:rsid w:val="00E72990"/>
    <w:rsid w:val="00E7344B"/>
    <w:rsid w:val="00E73BA4"/>
    <w:rsid w:val="00E762B6"/>
    <w:rsid w:val="00E808DB"/>
    <w:rsid w:val="00E80F4B"/>
    <w:rsid w:val="00E82BA3"/>
    <w:rsid w:val="00E83C60"/>
    <w:rsid w:val="00E90772"/>
    <w:rsid w:val="00E90EDE"/>
    <w:rsid w:val="00E92562"/>
    <w:rsid w:val="00E94DE1"/>
    <w:rsid w:val="00E95C5C"/>
    <w:rsid w:val="00E97B5F"/>
    <w:rsid w:val="00EA176A"/>
    <w:rsid w:val="00EA1A0A"/>
    <w:rsid w:val="00EA1E5B"/>
    <w:rsid w:val="00EA5DB3"/>
    <w:rsid w:val="00EA7734"/>
    <w:rsid w:val="00EB1D28"/>
    <w:rsid w:val="00EB1ECE"/>
    <w:rsid w:val="00EB2AA4"/>
    <w:rsid w:val="00EB40E2"/>
    <w:rsid w:val="00EB553C"/>
    <w:rsid w:val="00EC21EA"/>
    <w:rsid w:val="00EC76D5"/>
    <w:rsid w:val="00ED37CE"/>
    <w:rsid w:val="00EE53F4"/>
    <w:rsid w:val="00EE667C"/>
    <w:rsid w:val="00EE6ED3"/>
    <w:rsid w:val="00EF05BC"/>
    <w:rsid w:val="00EF0A90"/>
    <w:rsid w:val="00EF26DC"/>
    <w:rsid w:val="00EF28BA"/>
    <w:rsid w:val="00EF2D8F"/>
    <w:rsid w:val="00F0006A"/>
    <w:rsid w:val="00F00CA9"/>
    <w:rsid w:val="00F0217B"/>
    <w:rsid w:val="00F03ED2"/>
    <w:rsid w:val="00F04AEE"/>
    <w:rsid w:val="00F04F62"/>
    <w:rsid w:val="00F0573C"/>
    <w:rsid w:val="00F06A02"/>
    <w:rsid w:val="00F07828"/>
    <w:rsid w:val="00F110BA"/>
    <w:rsid w:val="00F11899"/>
    <w:rsid w:val="00F122BB"/>
    <w:rsid w:val="00F12F8A"/>
    <w:rsid w:val="00F140FF"/>
    <w:rsid w:val="00F156F3"/>
    <w:rsid w:val="00F16B5D"/>
    <w:rsid w:val="00F20985"/>
    <w:rsid w:val="00F2191E"/>
    <w:rsid w:val="00F21BA7"/>
    <w:rsid w:val="00F221C4"/>
    <w:rsid w:val="00F243DA"/>
    <w:rsid w:val="00F26121"/>
    <w:rsid w:val="00F306FD"/>
    <w:rsid w:val="00F30C90"/>
    <w:rsid w:val="00F30FD5"/>
    <w:rsid w:val="00F33731"/>
    <w:rsid w:val="00F35A29"/>
    <w:rsid w:val="00F41795"/>
    <w:rsid w:val="00F42CC4"/>
    <w:rsid w:val="00F44AEC"/>
    <w:rsid w:val="00F450AF"/>
    <w:rsid w:val="00F47FCC"/>
    <w:rsid w:val="00F50280"/>
    <w:rsid w:val="00F56A92"/>
    <w:rsid w:val="00F57825"/>
    <w:rsid w:val="00F57A15"/>
    <w:rsid w:val="00F61211"/>
    <w:rsid w:val="00F64BAE"/>
    <w:rsid w:val="00F65CEF"/>
    <w:rsid w:val="00F72D5F"/>
    <w:rsid w:val="00F73AAF"/>
    <w:rsid w:val="00F8117A"/>
    <w:rsid w:val="00F81B2F"/>
    <w:rsid w:val="00F85DD5"/>
    <w:rsid w:val="00F87957"/>
    <w:rsid w:val="00F922B5"/>
    <w:rsid w:val="00F9365D"/>
    <w:rsid w:val="00F97203"/>
    <w:rsid w:val="00F972A2"/>
    <w:rsid w:val="00F97B52"/>
    <w:rsid w:val="00FA0597"/>
    <w:rsid w:val="00FA1922"/>
    <w:rsid w:val="00FA1BB6"/>
    <w:rsid w:val="00FA2F9E"/>
    <w:rsid w:val="00FA321D"/>
    <w:rsid w:val="00FA36B8"/>
    <w:rsid w:val="00FA715E"/>
    <w:rsid w:val="00FB0F22"/>
    <w:rsid w:val="00FB1CEB"/>
    <w:rsid w:val="00FB3D83"/>
    <w:rsid w:val="00FC0473"/>
    <w:rsid w:val="00FC1BEE"/>
    <w:rsid w:val="00FC43CA"/>
    <w:rsid w:val="00FC48AB"/>
    <w:rsid w:val="00FC60E2"/>
    <w:rsid w:val="00FC7783"/>
    <w:rsid w:val="00FD01B0"/>
    <w:rsid w:val="00FD14F3"/>
    <w:rsid w:val="00FD1BEC"/>
    <w:rsid w:val="00FD252F"/>
    <w:rsid w:val="00FD5083"/>
    <w:rsid w:val="00FD63B7"/>
    <w:rsid w:val="00FD7691"/>
    <w:rsid w:val="00FE00A1"/>
    <w:rsid w:val="00FE1AB3"/>
    <w:rsid w:val="00FE2F6B"/>
    <w:rsid w:val="00FE712E"/>
    <w:rsid w:val="00FF3ABE"/>
    <w:rsid w:val="00FF5A97"/>
    <w:rsid w:val="00FF6C45"/>
    <w:rsid w:val="00FF7703"/>
    <w:rsid w:val="00FF7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table" w:customStyle="1" w:styleId="TableNormal4">
    <w:name w:val="Table Normal_4"/>
    <w:tblPr>
      <w:tblCellMar>
        <w:top w:w="0" w:type="dxa"/>
        <w:left w:w="0" w:type="dxa"/>
        <w:bottom w:w="0" w:type="dxa"/>
        <w:right w:w="0" w:type="dxa"/>
      </w:tblCellMar>
    </w:tblPr>
  </w:style>
  <w:style w:type="table" w:customStyle="1" w:styleId="TableNormal5">
    <w:name w:val="Table Normal_5"/>
    <w:tblPr>
      <w:tblCellMar>
        <w:top w:w="0" w:type="dxa"/>
        <w:left w:w="0" w:type="dxa"/>
        <w:bottom w:w="0" w:type="dxa"/>
        <w:right w:w="0" w:type="dxa"/>
      </w:tblCellMar>
    </w:tblPr>
  </w:style>
  <w:style w:type="table" w:customStyle="1" w:styleId="TableNormal6">
    <w:name w:val="Table Normal_6"/>
    <w:tblPr>
      <w:tblCellMar>
        <w:top w:w="0" w:type="dxa"/>
        <w:left w:w="0" w:type="dxa"/>
        <w:bottom w:w="0" w:type="dxa"/>
        <w:right w:w="0" w:type="dxa"/>
      </w:tblCellMar>
    </w:tblPr>
  </w:style>
  <w:style w:type="table" w:customStyle="1" w:styleId="TableNormal7">
    <w:name w:val="Table Normal_7"/>
    <w:tblPr>
      <w:tblCellMar>
        <w:top w:w="0" w:type="dxa"/>
        <w:left w:w="0" w:type="dxa"/>
        <w:bottom w:w="0" w:type="dxa"/>
        <w:right w:w="0" w:type="dxa"/>
      </w:tblCellMar>
    </w:tblPr>
  </w:style>
  <w:style w:type="table" w:customStyle="1" w:styleId="TableNormal8">
    <w:name w:val="Table Normal_8"/>
    <w:tblPr>
      <w:tblCellMar>
        <w:top w:w="0" w:type="dxa"/>
        <w:left w:w="0" w:type="dxa"/>
        <w:bottom w:w="0" w:type="dxa"/>
        <w:right w:w="0" w:type="dxa"/>
      </w:tblCellMar>
    </w:tblPr>
  </w:style>
  <w:style w:type="table" w:customStyle="1" w:styleId="TableNormal9">
    <w:name w:val="Table Normal_9"/>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name w:val="a"/>
    <w:basedOn w:val="TableNormal9"/>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name w:val="a0"/>
    <w:basedOn w:val="TableNormal9"/>
    <w:pPr>
      <w:spacing w:after="0" w:line="240" w:lineRule="auto"/>
    </w:pPr>
    <w:tblPr>
      <w:tblStyleRowBandSize w:val="1"/>
      <w:tblStyleColBandSize w:val="1"/>
      <w:tblCellMar>
        <w:left w:w="255" w:type="dxa"/>
        <w:right w:w="108" w:type="dxa"/>
      </w:tblCellMar>
    </w:tblPr>
  </w:style>
  <w:style w:type="table" w:customStyle="1" w:styleId="a1">
    <w:name w:val="a1"/>
    <w:basedOn w:val="TableNormal9"/>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name w:val="a2"/>
    <w:basedOn w:val="TableNormal7"/>
    <w:pPr>
      <w:spacing w:after="0" w:line="240" w:lineRule="auto"/>
    </w:pPr>
    <w:tblPr>
      <w:tblStyleRowBandSize w:val="1"/>
      <w:tblStyleColBandSize w:val="1"/>
      <w:tblCellMar>
        <w:left w:w="255" w:type="dxa"/>
        <w:right w:w="108" w:type="dxa"/>
      </w:tblCellMar>
    </w:tblPr>
  </w:style>
  <w:style w:type="table" w:customStyle="1" w:styleId="a3">
    <w:name w:val="a3"/>
    <w:basedOn w:val="TableNormal6"/>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name w:val="a4"/>
    <w:basedOn w:val="TableNormal5"/>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name w:val="a5"/>
    <w:basedOn w:val="TableNormal4"/>
    <w:pPr>
      <w:spacing w:after="0" w:line="240" w:lineRule="auto"/>
    </w:pPr>
    <w:tblPr>
      <w:tblStyleRowBandSize w:val="1"/>
      <w:tblStyleColBandSize w:val="1"/>
      <w:tblCellMar>
        <w:left w:w="255" w:type="dxa"/>
        <w:right w:w="108" w:type="dxa"/>
      </w:tblCellMar>
    </w:tblPr>
  </w:style>
  <w:style w:type="table" w:customStyle="1" w:styleId="a6">
    <w:name w:val="a6"/>
    <w:basedOn w:val="TableNormal3"/>
    <w:pPr>
      <w:spacing w:after="0" w:line="240" w:lineRule="auto"/>
    </w:pPr>
    <w:tblPr>
      <w:tblStyleRowBandSize w:val="1"/>
      <w:tblStyleColBandSize w:val="1"/>
      <w:tblCellMar>
        <w:left w:w="255" w:type="dxa"/>
        <w:right w:w="108" w:type="dxa"/>
      </w:tblCellMar>
    </w:tblPr>
  </w:style>
  <w:style w:type="table" w:customStyle="1" w:styleId="a7">
    <w:name w:val="a7"/>
    <w:basedOn w:val="TableNormal2"/>
    <w:pPr>
      <w:spacing w:after="0" w:line="240" w:lineRule="auto"/>
    </w:pPr>
    <w:tblPr>
      <w:tblStyleRowBandSize w:val="1"/>
      <w:tblStyleColBandSize w:val="1"/>
      <w:tblCellMar>
        <w:left w:w="255" w:type="dxa"/>
        <w:right w:w="108" w:type="dxa"/>
      </w:tblCellMar>
    </w:tblPr>
  </w:style>
  <w:style w:type="table" w:customStyle="1" w:styleId="a8">
    <w:name w:val="a8"/>
    <w:basedOn w:val="TableNormal2"/>
    <w:pPr>
      <w:spacing w:after="0" w:line="240" w:lineRule="auto"/>
    </w:pPr>
    <w:tblPr>
      <w:tblStyleRowBandSize w:val="1"/>
      <w:tblStyleColBandSize w:val="1"/>
      <w:tblCellMar>
        <w:left w:w="255" w:type="dxa"/>
        <w:right w:w="108" w:type="dxa"/>
      </w:tblCellMar>
    </w:tblPr>
  </w:style>
  <w:style w:type="paragraph" w:styleId="Tekstprzypisudolnego">
    <w:name w:val="footnote text"/>
    <w:basedOn w:val="Normalny"/>
    <w:link w:val="TekstprzypisudolnegoZnak"/>
    <w:uiPriority w:val="99"/>
    <w:semiHidden/>
    <w:unhideWhenUsed/>
    <w:rsid w:val="00D51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1161"/>
    <w:rPr>
      <w:sz w:val="20"/>
      <w:szCs w:val="20"/>
    </w:rPr>
  </w:style>
  <w:style w:type="character" w:styleId="Odwoanieprzypisudolnego">
    <w:name w:val="footnote reference"/>
    <w:basedOn w:val="Domylnaczcionkaakapitu"/>
    <w:uiPriority w:val="99"/>
    <w:semiHidden/>
    <w:unhideWhenUsed/>
    <w:rsid w:val="00D51161"/>
    <w:rPr>
      <w:vertAlign w:val="superscript"/>
    </w:rPr>
  </w:style>
  <w:style w:type="paragraph" w:styleId="Poprawka">
    <w:name w:val="Revision"/>
    <w:hidden/>
    <w:uiPriority w:val="99"/>
    <w:semiHidden/>
    <w:rsid w:val="00770099"/>
    <w:pPr>
      <w:spacing w:after="0" w:line="240" w:lineRule="auto"/>
    </w:pPr>
  </w:style>
  <w:style w:type="paragraph" w:styleId="Tekstprzypisukocowego">
    <w:name w:val="endnote text"/>
    <w:basedOn w:val="Normalny"/>
    <w:link w:val="TekstprzypisukocowegoZnak"/>
    <w:uiPriority w:val="99"/>
    <w:semiHidden/>
    <w:unhideWhenUsed/>
    <w:rsid w:val="00556C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C60"/>
    <w:rPr>
      <w:sz w:val="20"/>
      <w:szCs w:val="20"/>
    </w:rPr>
  </w:style>
  <w:style w:type="character" w:styleId="Odwoanieprzypisukocowego">
    <w:name w:val="endnote reference"/>
    <w:basedOn w:val="Domylnaczcionkaakapitu"/>
    <w:uiPriority w:val="99"/>
    <w:semiHidden/>
    <w:unhideWhenUsed/>
    <w:rsid w:val="00556C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table" w:customStyle="1" w:styleId="TableNormal4">
    <w:name w:val="Table Normal_4"/>
    <w:tblPr>
      <w:tblCellMar>
        <w:top w:w="0" w:type="dxa"/>
        <w:left w:w="0" w:type="dxa"/>
        <w:bottom w:w="0" w:type="dxa"/>
        <w:right w:w="0" w:type="dxa"/>
      </w:tblCellMar>
    </w:tblPr>
  </w:style>
  <w:style w:type="table" w:customStyle="1" w:styleId="TableNormal5">
    <w:name w:val="Table Normal_5"/>
    <w:tblPr>
      <w:tblCellMar>
        <w:top w:w="0" w:type="dxa"/>
        <w:left w:w="0" w:type="dxa"/>
        <w:bottom w:w="0" w:type="dxa"/>
        <w:right w:w="0" w:type="dxa"/>
      </w:tblCellMar>
    </w:tblPr>
  </w:style>
  <w:style w:type="table" w:customStyle="1" w:styleId="TableNormal6">
    <w:name w:val="Table Normal_6"/>
    <w:tblPr>
      <w:tblCellMar>
        <w:top w:w="0" w:type="dxa"/>
        <w:left w:w="0" w:type="dxa"/>
        <w:bottom w:w="0" w:type="dxa"/>
        <w:right w:w="0" w:type="dxa"/>
      </w:tblCellMar>
    </w:tblPr>
  </w:style>
  <w:style w:type="table" w:customStyle="1" w:styleId="TableNormal7">
    <w:name w:val="Table Normal_7"/>
    <w:tblPr>
      <w:tblCellMar>
        <w:top w:w="0" w:type="dxa"/>
        <w:left w:w="0" w:type="dxa"/>
        <w:bottom w:w="0" w:type="dxa"/>
        <w:right w:w="0" w:type="dxa"/>
      </w:tblCellMar>
    </w:tblPr>
  </w:style>
  <w:style w:type="table" w:customStyle="1" w:styleId="TableNormal8">
    <w:name w:val="Table Normal_8"/>
    <w:tblPr>
      <w:tblCellMar>
        <w:top w:w="0" w:type="dxa"/>
        <w:left w:w="0" w:type="dxa"/>
        <w:bottom w:w="0" w:type="dxa"/>
        <w:right w:w="0" w:type="dxa"/>
      </w:tblCellMar>
    </w:tblPr>
  </w:style>
  <w:style w:type="table" w:customStyle="1" w:styleId="TableNormal9">
    <w:name w:val="Table Normal_9"/>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name w:val="a"/>
    <w:basedOn w:val="TableNormal9"/>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name w:val="a0"/>
    <w:basedOn w:val="TableNormal9"/>
    <w:pPr>
      <w:spacing w:after="0" w:line="240" w:lineRule="auto"/>
    </w:pPr>
    <w:tblPr>
      <w:tblStyleRowBandSize w:val="1"/>
      <w:tblStyleColBandSize w:val="1"/>
      <w:tblCellMar>
        <w:left w:w="255" w:type="dxa"/>
        <w:right w:w="108" w:type="dxa"/>
      </w:tblCellMar>
    </w:tblPr>
  </w:style>
  <w:style w:type="table" w:customStyle="1" w:styleId="a1">
    <w:name w:val="a1"/>
    <w:basedOn w:val="TableNormal9"/>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name w:val="a2"/>
    <w:basedOn w:val="TableNormal7"/>
    <w:pPr>
      <w:spacing w:after="0" w:line="240" w:lineRule="auto"/>
    </w:pPr>
    <w:tblPr>
      <w:tblStyleRowBandSize w:val="1"/>
      <w:tblStyleColBandSize w:val="1"/>
      <w:tblCellMar>
        <w:left w:w="255" w:type="dxa"/>
        <w:right w:w="108" w:type="dxa"/>
      </w:tblCellMar>
    </w:tblPr>
  </w:style>
  <w:style w:type="table" w:customStyle="1" w:styleId="a3">
    <w:name w:val="a3"/>
    <w:basedOn w:val="TableNormal6"/>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name w:val="a4"/>
    <w:basedOn w:val="TableNormal5"/>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name w:val="a5"/>
    <w:basedOn w:val="TableNormal4"/>
    <w:pPr>
      <w:spacing w:after="0" w:line="240" w:lineRule="auto"/>
    </w:pPr>
    <w:tblPr>
      <w:tblStyleRowBandSize w:val="1"/>
      <w:tblStyleColBandSize w:val="1"/>
      <w:tblCellMar>
        <w:left w:w="255" w:type="dxa"/>
        <w:right w:w="108" w:type="dxa"/>
      </w:tblCellMar>
    </w:tblPr>
  </w:style>
  <w:style w:type="table" w:customStyle="1" w:styleId="a6">
    <w:name w:val="a6"/>
    <w:basedOn w:val="TableNormal3"/>
    <w:pPr>
      <w:spacing w:after="0" w:line="240" w:lineRule="auto"/>
    </w:pPr>
    <w:tblPr>
      <w:tblStyleRowBandSize w:val="1"/>
      <w:tblStyleColBandSize w:val="1"/>
      <w:tblCellMar>
        <w:left w:w="255" w:type="dxa"/>
        <w:right w:w="108" w:type="dxa"/>
      </w:tblCellMar>
    </w:tblPr>
  </w:style>
  <w:style w:type="table" w:customStyle="1" w:styleId="a7">
    <w:name w:val="a7"/>
    <w:basedOn w:val="TableNormal2"/>
    <w:pPr>
      <w:spacing w:after="0" w:line="240" w:lineRule="auto"/>
    </w:pPr>
    <w:tblPr>
      <w:tblStyleRowBandSize w:val="1"/>
      <w:tblStyleColBandSize w:val="1"/>
      <w:tblCellMar>
        <w:left w:w="255" w:type="dxa"/>
        <w:right w:w="108" w:type="dxa"/>
      </w:tblCellMar>
    </w:tblPr>
  </w:style>
  <w:style w:type="table" w:customStyle="1" w:styleId="a8">
    <w:name w:val="a8"/>
    <w:basedOn w:val="TableNormal2"/>
    <w:pPr>
      <w:spacing w:after="0" w:line="240" w:lineRule="auto"/>
    </w:pPr>
    <w:tblPr>
      <w:tblStyleRowBandSize w:val="1"/>
      <w:tblStyleColBandSize w:val="1"/>
      <w:tblCellMar>
        <w:left w:w="255" w:type="dxa"/>
        <w:right w:w="108" w:type="dxa"/>
      </w:tblCellMar>
    </w:tblPr>
  </w:style>
  <w:style w:type="paragraph" w:styleId="Tekstprzypisudolnego">
    <w:name w:val="footnote text"/>
    <w:basedOn w:val="Normalny"/>
    <w:link w:val="TekstprzypisudolnegoZnak"/>
    <w:uiPriority w:val="99"/>
    <w:semiHidden/>
    <w:unhideWhenUsed/>
    <w:rsid w:val="00D51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1161"/>
    <w:rPr>
      <w:sz w:val="20"/>
      <w:szCs w:val="20"/>
    </w:rPr>
  </w:style>
  <w:style w:type="character" w:styleId="Odwoanieprzypisudolnego">
    <w:name w:val="footnote reference"/>
    <w:basedOn w:val="Domylnaczcionkaakapitu"/>
    <w:uiPriority w:val="99"/>
    <w:semiHidden/>
    <w:unhideWhenUsed/>
    <w:rsid w:val="00D51161"/>
    <w:rPr>
      <w:vertAlign w:val="superscript"/>
    </w:rPr>
  </w:style>
  <w:style w:type="paragraph" w:styleId="Poprawka">
    <w:name w:val="Revision"/>
    <w:hidden/>
    <w:uiPriority w:val="99"/>
    <w:semiHidden/>
    <w:rsid w:val="00770099"/>
    <w:pPr>
      <w:spacing w:after="0" w:line="240" w:lineRule="auto"/>
    </w:pPr>
  </w:style>
  <w:style w:type="paragraph" w:styleId="Tekstprzypisukocowego">
    <w:name w:val="endnote text"/>
    <w:basedOn w:val="Normalny"/>
    <w:link w:val="TekstprzypisukocowegoZnak"/>
    <w:uiPriority w:val="99"/>
    <w:semiHidden/>
    <w:unhideWhenUsed/>
    <w:rsid w:val="00556C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C60"/>
    <w:rPr>
      <w:sz w:val="20"/>
      <w:szCs w:val="20"/>
    </w:rPr>
  </w:style>
  <w:style w:type="character" w:styleId="Odwoanieprzypisukocowego">
    <w:name w:val="endnote reference"/>
    <w:basedOn w:val="Domylnaczcionkaakapitu"/>
    <w:uiPriority w:val="99"/>
    <w:semiHidden/>
    <w:unhideWhenUsed/>
    <w:rsid w:val="00556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l.wrzosek@budimex.p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edia.budimex.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23bhZiq9gIJc2H6Ifib6JsTyw==">AMUW2mUxnMf2l6g7cEe03YceFHGW7RsJmkmY4cBNkhj7hAmSFzS6Wj4IC0z4guUoq5kFp31sT6fnmUdqVOmx+z9fhSaoZCbggrsr/yX+1ow2mQww0y5B8+pelFlr/b6OreRGoMprXVru3gV4FUDPM7N0q9217hTYGA==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CF224E-AE78-4881-BC60-B9E82BE3EF6A}">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Template>
  <TotalTime>32</TotalTime>
  <Pages>1</Pages>
  <Words>1972</Words>
  <Characters>11838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Wójcik</dc:creator>
  <cp:lastModifiedBy>Zuzanna Karasiewicz</cp:lastModifiedBy>
  <cp:revision>5</cp:revision>
  <cp:lastPrinted>2023-10-27T06:57:00Z</cp:lastPrinted>
  <dcterms:created xsi:type="dcterms:W3CDTF">2024-02-28T09:17:00Z</dcterms:created>
  <dcterms:modified xsi:type="dcterms:W3CDTF">2024-02-29T13:08:00Z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44989d6e3b91d1ddfcd11d0e5060d34ac46ff7391e28517136f43d5258acc987</vt:lpwstr>
  </property>
</Properties>
</file>